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0A8" w:rsidRDefault="002F1062" w:rsidP="002F1062">
      <w:pPr>
        <w:pStyle w:val="Heading1"/>
      </w:pPr>
      <w:r>
        <w:t>Capstone Project Ideas</w:t>
      </w:r>
    </w:p>
    <w:p w:rsidR="002F1062" w:rsidRDefault="002F1062" w:rsidP="002F1062"/>
    <w:p w:rsidR="002F1062" w:rsidRDefault="002F1062" w:rsidP="002F1062"/>
    <w:p w:rsidR="002F1062" w:rsidRDefault="002F1062" w:rsidP="002F1062">
      <w:pPr>
        <w:pStyle w:val="ListParagraph"/>
        <w:numPr>
          <w:ilvl w:val="0"/>
          <w:numId w:val="2"/>
        </w:numPr>
      </w:pPr>
      <w:r>
        <w:t xml:space="preserve">Santander </w:t>
      </w:r>
      <w:r w:rsidR="0066105D">
        <w:t xml:space="preserve">Product </w:t>
      </w:r>
      <w:r w:rsidR="00460C83">
        <w:t>Recommendation</w:t>
      </w:r>
    </w:p>
    <w:p w:rsidR="004C527D" w:rsidRDefault="0066105D" w:rsidP="002F1062">
      <w:pPr>
        <w:pStyle w:val="ListParagraph"/>
      </w:pPr>
      <w:r w:rsidRPr="0066105D">
        <w:t>https://www.kaggle.com/c/santander-product-recommendation/data</w:t>
      </w:r>
    </w:p>
    <w:p w:rsidR="004C527D" w:rsidRDefault="00173062" w:rsidP="002F1062">
      <w:pPr>
        <w:pStyle w:val="ListParagraph"/>
      </w:pPr>
      <w:hyperlink r:id="rId8" w:history="1">
        <w:r w:rsidR="004C527D" w:rsidRPr="00F56E54">
          <w:rPr>
            <w:rStyle w:val="Hyperlink"/>
          </w:rPr>
          <w:t>https://www.kaggle.com/c/santander-customer-satisfaction</w:t>
        </w:r>
      </w:hyperlink>
    </w:p>
    <w:p w:rsidR="004C527D" w:rsidRDefault="004C527D" w:rsidP="002F1062">
      <w:pPr>
        <w:pStyle w:val="ListParagraph"/>
      </w:pPr>
    </w:p>
    <w:p w:rsidR="003C4588" w:rsidRPr="003C4588" w:rsidRDefault="003C4588" w:rsidP="003C4588">
      <w:pPr>
        <w:ind w:left="720"/>
      </w:pPr>
      <w:r w:rsidRPr="003C4588">
        <w:t xml:space="preserve">Under their current system, a small number of Santander’s customers receive many recommendations while many others rarely see any resulting in an uneven customer experience. In their second competition, Santander is challenging </w:t>
      </w:r>
      <w:proofErr w:type="spellStart"/>
      <w:r w:rsidRPr="003C4588">
        <w:t>Kagglers</w:t>
      </w:r>
      <w:proofErr w:type="spellEnd"/>
      <w:r w:rsidRPr="003C4588">
        <w:t xml:space="preserve"> to predict which products their existing customers will use in the next month based on their past behavior and that of similar customers.</w:t>
      </w:r>
    </w:p>
    <w:p w:rsidR="003C4588" w:rsidRPr="003C4588" w:rsidRDefault="003C4588" w:rsidP="003C4588">
      <w:pPr>
        <w:ind w:left="720"/>
      </w:pPr>
      <w:r w:rsidRPr="003C4588">
        <w:t>With a more effective recommendation system in place, Santander can better meet the individual needs of all customers and ensure their satisfaction no matter where they are in life.</w:t>
      </w:r>
    </w:p>
    <w:p w:rsidR="004C527D" w:rsidRDefault="004C527D" w:rsidP="004C527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4C527D" w:rsidRDefault="004C527D" w:rsidP="002F1062">
      <w:pPr>
        <w:pStyle w:val="ListParagraph"/>
      </w:pPr>
    </w:p>
    <w:p w:rsidR="00ED354D" w:rsidRDefault="00ED354D" w:rsidP="002F1062">
      <w:pPr>
        <w:pStyle w:val="ListParagraph"/>
      </w:pPr>
    </w:p>
    <w:p w:rsidR="00D25722" w:rsidRPr="00D25722" w:rsidRDefault="00D25722" w:rsidP="00D257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25722">
        <w:rPr>
          <w:rFonts w:asciiTheme="minorHAnsi" w:eastAsiaTheme="minorHAnsi" w:hAnsiTheme="minorHAnsi" w:cstheme="minorBidi"/>
          <w:sz w:val="22"/>
          <w:szCs w:val="22"/>
        </w:rPr>
        <w:t>In this competition, you are provided with 1.5 years of customers behavior data from Santander bank to predict what new products customers will purchase. The data starts at 2015-01-28 and has monthly records of products a customer has, such as "credit card", "savings account", etc. You will predict what </w:t>
      </w:r>
      <w:r w:rsidRPr="00D25722">
        <w:rPr>
          <w:rFonts w:asciiTheme="minorHAnsi" w:eastAsiaTheme="minorHAnsi" w:hAnsiTheme="minorHAnsi" w:cstheme="minorBidi"/>
          <w:sz w:val="22"/>
          <w:szCs w:val="22"/>
        </w:rPr>
        <w:t>additional</w:t>
      </w:r>
      <w:r w:rsidRPr="00D25722">
        <w:rPr>
          <w:rFonts w:asciiTheme="minorHAnsi" w:eastAsiaTheme="minorHAnsi" w:hAnsiTheme="minorHAnsi" w:cstheme="minorBidi"/>
          <w:sz w:val="22"/>
          <w:szCs w:val="22"/>
        </w:rPr>
        <w:t> products a customer will get in the last month, 2016-06-28, in addition to what they already have at 2016-05-28. These products are the columns named: </w:t>
      </w:r>
      <w:proofErr w:type="spellStart"/>
      <w:r w:rsidRPr="00D25722">
        <w:rPr>
          <w:rFonts w:asciiTheme="minorHAnsi" w:eastAsiaTheme="minorHAnsi" w:hAnsiTheme="minorHAnsi" w:cstheme="minorBidi"/>
          <w:sz w:val="22"/>
          <w:szCs w:val="22"/>
        </w:rPr>
        <w:t>ind</w:t>
      </w:r>
      <w:proofErr w:type="spellEnd"/>
      <w:r w:rsidRPr="00D25722">
        <w:rPr>
          <w:rFonts w:asciiTheme="minorHAnsi" w:eastAsiaTheme="minorHAnsi" w:hAnsiTheme="minorHAnsi" w:cstheme="minorBidi"/>
          <w:sz w:val="22"/>
          <w:szCs w:val="22"/>
        </w:rPr>
        <w:t>_(</w:t>
      </w:r>
      <w:proofErr w:type="spellStart"/>
      <w:r w:rsidRPr="00D25722">
        <w:rPr>
          <w:rFonts w:asciiTheme="minorHAnsi" w:eastAsiaTheme="minorHAnsi" w:hAnsiTheme="minorHAnsi" w:cstheme="minorBidi"/>
          <w:sz w:val="22"/>
          <w:szCs w:val="22"/>
        </w:rPr>
        <w:t>xyz</w:t>
      </w:r>
      <w:proofErr w:type="spellEnd"/>
      <w:r w:rsidRPr="00D25722">
        <w:rPr>
          <w:rFonts w:asciiTheme="minorHAnsi" w:eastAsiaTheme="minorHAnsi" w:hAnsiTheme="minorHAnsi" w:cstheme="minorBidi"/>
          <w:sz w:val="22"/>
          <w:szCs w:val="22"/>
        </w:rPr>
        <w:t>)_ult1, which are the columns #25 - #48 in the training data. You will predict what a customer will buy </w:t>
      </w:r>
      <w:r w:rsidRPr="00D25722">
        <w:rPr>
          <w:rFonts w:asciiTheme="minorHAnsi" w:eastAsiaTheme="minorHAnsi" w:hAnsiTheme="minorHAnsi" w:cstheme="minorBidi"/>
          <w:sz w:val="22"/>
          <w:szCs w:val="22"/>
        </w:rPr>
        <w:t>in addition to what they already had at 2016-05-28</w:t>
      </w:r>
      <w:r w:rsidRPr="00D25722">
        <w:rPr>
          <w:rFonts w:asciiTheme="minorHAnsi" w:eastAsiaTheme="minorHAnsi" w:hAnsiTheme="minorHAnsi" w:cstheme="minorBidi"/>
          <w:sz w:val="22"/>
          <w:szCs w:val="22"/>
        </w:rPr>
        <w:t>. </w:t>
      </w:r>
    </w:p>
    <w:p w:rsidR="00D25722" w:rsidRPr="00D25722" w:rsidRDefault="00D25722" w:rsidP="00D25722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25722">
        <w:rPr>
          <w:rFonts w:asciiTheme="minorHAnsi" w:eastAsiaTheme="minorHAnsi" w:hAnsiTheme="minorHAnsi" w:cstheme="minorBidi"/>
          <w:sz w:val="22"/>
          <w:szCs w:val="22"/>
        </w:rPr>
        <w:t>The test and train sets are split by time, and public and private leaderboard sets are split randomly.</w:t>
      </w:r>
    </w:p>
    <w:p w:rsidR="00D25722" w:rsidRPr="00D25722" w:rsidRDefault="00D25722" w:rsidP="00D257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25722">
        <w:rPr>
          <w:rFonts w:asciiTheme="minorHAnsi" w:eastAsiaTheme="minorHAnsi" w:hAnsiTheme="minorHAnsi" w:cstheme="minorBidi"/>
          <w:sz w:val="22"/>
          <w:szCs w:val="22"/>
        </w:rPr>
        <w:t>Please note: This sample does not include any real Santander Spain customers, and thus it is not representative of Spain's customer base. </w:t>
      </w:r>
    </w:p>
    <w:p w:rsidR="00D25722" w:rsidRPr="00D25722" w:rsidRDefault="00D25722" w:rsidP="00D25722">
      <w:pPr>
        <w:pStyle w:val="Heading2"/>
        <w:shd w:val="clear" w:color="auto" w:fill="FFFFFF"/>
        <w:spacing w:before="480" w:after="240"/>
        <w:textAlignment w:val="baseline"/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</w:pPr>
      <w:r w:rsidRPr="00D25722"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lastRenderedPageBreak/>
        <w:t>File descriptions</w:t>
      </w:r>
    </w:p>
    <w:p w:rsidR="00D25722" w:rsidRDefault="00D25722" w:rsidP="00D25722">
      <w:pPr>
        <w:pStyle w:val="Heading2"/>
        <w:shd w:val="clear" w:color="auto" w:fill="FFFFFF"/>
        <w:spacing w:before="480" w:after="240"/>
        <w:ind w:left="720"/>
        <w:textAlignment w:val="baseline"/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</w:pPr>
      <w:r w:rsidRPr="00D25722">
        <w:rPr>
          <w:rFonts w:ascii="Arial" w:eastAsia="Times New Roman" w:hAnsi="Arial"/>
          <w:color w:val="auto"/>
        </w:rPr>
        <w:t>train.csv</w:t>
      </w:r>
      <w:r w:rsidRPr="00D25722"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t> - the training set</w:t>
      </w:r>
      <w:r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br/>
      </w:r>
      <w:r w:rsidRPr="00D25722">
        <w:rPr>
          <w:rFonts w:ascii="Arial" w:eastAsia="Times New Roman" w:hAnsi="Arial"/>
          <w:color w:val="auto"/>
        </w:rPr>
        <w:t>test.csv</w:t>
      </w:r>
      <w:r w:rsidRPr="00D25722"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t> - the test set</w:t>
      </w:r>
      <w:r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br/>
      </w:r>
      <w:r w:rsidRPr="00D25722">
        <w:rPr>
          <w:rFonts w:ascii="Arial" w:eastAsia="Times New Roman" w:hAnsi="Arial"/>
          <w:color w:val="auto"/>
        </w:rPr>
        <w:t>sample_submission.csv</w:t>
      </w:r>
      <w:r w:rsidRPr="00D25722"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t> - a sample submission file in the correct format</w:t>
      </w:r>
      <w:r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  <w:br/>
      </w:r>
    </w:p>
    <w:tbl>
      <w:tblPr>
        <w:tblW w:w="9270" w:type="dxa"/>
        <w:tblInd w:w="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320"/>
      </w:tblGrid>
      <w:tr w:rsidR="00D25722" w:rsidRPr="00D25722" w:rsidTr="00D25722">
        <w:trPr>
          <w:tblHeader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D25722">
            <w:pPr>
              <w:pStyle w:val="Heading2"/>
              <w:shd w:val="clear" w:color="auto" w:fill="FFFFFF"/>
              <w:spacing w:before="480" w:after="24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Data fields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br/>
            </w: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D25722">
            <w:pPr>
              <w:pStyle w:val="Heading2"/>
              <w:shd w:val="clear" w:color="auto" w:fill="FFFFFF"/>
              <w:spacing w:before="480" w:after="24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Description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fecha_dato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The table is partitioned for this column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ncodpers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Customer code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ind_empleado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 xml:space="preserve">Employee index: A active, B ex employed, F filial, N not employee, P </w:t>
            </w: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pasive</w:t>
            </w:r>
            <w:proofErr w:type="spellEnd"/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pais_residencia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Customer's Country residence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sexo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Customer's sex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Age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fecha_alta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The date in which the customer became as the first holder of a contract in the bank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ind_nuevo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New customer Index. 1 if the customer registered in the last 6 months.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antiguedad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Customer seniority (in months)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indrel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1 (First/Primary), 99 (Primary customer during the month but not at the end of the month)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ult_fec_cli_1t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Last date as primary customer (if he isn't at the end of the month)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lastRenderedPageBreak/>
              <w:t>indrel_1mes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Customer type at the beginning of the month ,1 (First/Primary customer), 2 (co-</w:t>
            </w:r>
            <w:proofErr w:type="gram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owner ),P</w:t>
            </w:r>
            <w:proofErr w:type="gramEnd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 xml:space="preserve"> (Potential),3 (former primary), 4(former co-owner)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tiprel_1mes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Customer relation type at the beginning of the month, A (active), I (inactive), P (former customer</w:t>
            </w:r>
            <w:proofErr w:type="gram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),R</w:t>
            </w:r>
            <w:proofErr w:type="gramEnd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 xml:space="preserve"> (Potential)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indresi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Residence index (S (Yes) or N (No) if the residence country is the same than the bank country)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Foreigner index (S (Yes) or N (No) if the customer's birth country is different than the bank country)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conyuemp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Spouse index. 1 if the customer is spouse of an employee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canal_entrada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channel used by the customer to join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indfall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Deceased index. N/S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tipodom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Addres</w:t>
            </w:r>
            <w:proofErr w:type="spellEnd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 xml:space="preserve"> type. 1, primary address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cod_prov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Province code (customer's address)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nomprov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Province name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ind_actividad_cliente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Activity index (1, active customer; 0, inactive customer)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renta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Gross income of the household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segmento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segmentation: 01 - VIP, 02 - Individuals 03 - college graduated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lastRenderedPageBreak/>
              <w:t>ind_ahor_fin_ult1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Saving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ind_aval_fin_ult1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Guarantees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ind_cco_fin_ult1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Current Accounts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ind_cder_fin_ult1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proofErr w:type="spellStart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Derivada</w:t>
            </w:r>
            <w:proofErr w:type="spellEnd"/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 xml:space="preserve">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ind_cno_fin_ult1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Payroll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ind_ctju_fin_ult1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Junior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ind_ctma_fin_ult1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Más particular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ind_ctop_fin_ult1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particular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ind_ctpp_fin_ult1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particular Plus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ind_deco_fin_ult1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Short-term deposits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ind_deme_fin_ult1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Medium-term deposits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ind_dela_fin_ult1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Long-term deposits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ind_ecue_fin_ult1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e-account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ind_fond_fin_ult1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Funds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ind_hip_fin_ult1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Mortgage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lastRenderedPageBreak/>
              <w:t>ind_plan_fin_ult1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Pensions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ind_pres_fin_ult1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Loans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ind_reca_fin_ult1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Taxes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ind_tjcr_fin_ult1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Credit Card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ind_valo_fin_ult1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Securities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ind_viv_fin_ult1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Home Account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ind_nomina_ult1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Payroll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ind_nom_pens_ult1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Pensions</w:t>
            </w:r>
          </w:p>
        </w:tc>
      </w:tr>
      <w:tr w:rsidR="00D25722" w:rsidRPr="00D25722" w:rsidTr="00D25722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ind_recibo_ult1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722" w:rsidRPr="00D25722" w:rsidRDefault="00D25722" w:rsidP="003E2248">
            <w:pPr>
              <w:pStyle w:val="Heading2"/>
              <w:shd w:val="clear" w:color="auto" w:fill="FFFFFF"/>
              <w:spacing w:before="480"/>
              <w:textAlignment w:val="baseline"/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</w:pPr>
            <w:r w:rsidRPr="00D25722">
              <w:rPr>
                <w:rFonts w:ascii="Arial" w:eastAsia="Times New Roman" w:hAnsi="Arial" w:cs="Arial"/>
                <w:b w:val="0"/>
                <w:bCs w:val="0"/>
                <w:color w:val="auto"/>
                <w:sz w:val="21"/>
                <w:szCs w:val="21"/>
              </w:rPr>
              <w:t>Direct Debit</w:t>
            </w:r>
          </w:p>
        </w:tc>
      </w:tr>
    </w:tbl>
    <w:p w:rsidR="00ED354D" w:rsidRPr="00D25722" w:rsidRDefault="00ED354D" w:rsidP="003E2248">
      <w:pPr>
        <w:pStyle w:val="Heading2"/>
        <w:shd w:val="clear" w:color="auto" w:fill="FFFFFF"/>
        <w:spacing w:before="480"/>
        <w:ind w:left="720"/>
        <w:textAlignment w:val="baseline"/>
        <w:rPr>
          <w:rFonts w:ascii="Arial" w:eastAsia="Times New Roman" w:hAnsi="Arial" w:cs="Arial"/>
          <w:b w:val="0"/>
          <w:bCs w:val="0"/>
          <w:color w:val="auto"/>
          <w:sz w:val="21"/>
          <w:szCs w:val="21"/>
        </w:rPr>
      </w:pPr>
      <w:bookmarkStart w:id="0" w:name="_GoBack"/>
      <w:bookmarkEnd w:id="0"/>
    </w:p>
    <w:sectPr w:rsidR="00ED354D" w:rsidRPr="00D257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062" w:rsidRDefault="00173062" w:rsidP="002F1062">
      <w:pPr>
        <w:spacing w:after="0" w:line="240" w:lineRule="auto"/>
      </w:pPr>
      <w:r>
        <w:separator/>
      </w:r>
    </w:p>
  </w:endnote>
  <w:endnote w:type="continuationSeparator" w:id="0">
    <w:p w:rsidR="00173062" w:rsidRDefault="00173062" w:rsidP="002F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2" w:rsidRPr="00405EE1" w:rsidRDefault="00173062" w:rsidP="00405EE1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405EE1" w:rsidRPr="00405EE1">
      <w:rPr>
        <w:rFonts w:ascii="Arial" w:hAnsi="Arial" w:cs="Arial"/>
        <w:color w:val="000000"/>
        <w:sz w:val="16"/>
      </w:rPr>
      <w:t>Internal</w:t>
    </w:r>
    <w:r>
      <w:rPr>
        <w:rFonts w:ascii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2" w:rsidRPr="00405EE1" w:rsidRDefault="00173062" w:rsidP="00405EE1">
    <w:pPr>
      <w:pStyle w:val="Footer"/>
      <w:jc w:val="cen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405EE1" w:rsidRPr="00405EE1">
      <w:rPr>
        <w:rFonts w:ascii="Arial" w:hAnsi="Arial" w:cs="Arial"/>
        <w:color w:val="000000"/>
        <w:sz w:val="16"/>
      </w:rPr>
      <w:t>Internal</w:t>
    </w:r>
    <w:r>
      <w:rPr>
        <w:rFonts w:ascii="Arial" w:hAnsi="Arial" w:cs="Arial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2" w:rsidRPr="00405EE1" w:rsidRDefault="00173062" w:rsidP="00405EE1">
    <w:pPr>
      <w:pStyle w:val="Footer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405EE1" w:rsidRPr="00405EE1">
      <w:rPr>
        <w:rFonts w:ascii="Arial" w:hAnsi="Arial" w:cs="Arial"/>
        <w:color w:val="000000"/>
        <w:sz w:val="16"/>
      </w:rPr>
      <w:t>Internal</w:t>
    </w:r>
    <w:r>
      <w:rPr>
        <w:rFonts w:ascii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062" w:rsidRDefault="00173062" w:rsidP="002F1062">
      <w:pPr>
        <w:spacing w:after="0" w:line="240" w:lineRule="auto"/>
      </w:pPr>
      <w:r>
        <w:separator/>
      </w:r>
    </w:p>
  </w:footnote>
  <w:footnote w:type="continuationSeparator" w:id="0">
    <w:p w:rsidR="00173062" w:rsidRDefault="00173062" w:rsidP="002F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2" w:rsidRDefault="002F1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2" w:rsidRDefault="002F1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2" w:rsidRDefault="002F1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05B4"/>
    <w:multiLevelType w:val="hybridMultilevel"/>
    <w:tmpl w:val="57F01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46E07"/>
    <w:multiLevelType w:val="hybridMultilevel"/>
    <w:tmpl w:val="F8186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0AFA"/>
    <w:multiLevelType w:val="hybridMultilevel"/>
    <w:tmpl w:val="91029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F281E"/>
    <w:multiLevelType w:val="multilevel"/>
    <w:tmpl w:val="9BA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062"/>
    <w:rsid w:val="00173062"/>
    <w:rsid w:val="002312DC"/>
    <w:rsid w:val="002600AC"/>
    <w:rsid w:val="002F1062"/>
    <w:rsid w:val="003C4588"/>
    <w:rsid w:val="003E2248"/>
    <w:rsid w:val="00405EE1"/>
    <w:rsid w:val="00460C83"/>
    <w:rsid w:val="004C527D"/>
    <w:rsid w:val="00574DFD"/>
    <w:rsid w:val="0066105D"/>
    <w:rsid w:val="006D1D4F"/>
    <w:rsid w:val="009432BC"/>
    <w:rsid w:val="00C00E31"/>
    <w:rsid w:val="00D25722"/>
    <w:rsid w:val="00E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872D"/>
  <w15:docId w15:val="{4B8011D2-A347-4B40-949A-08FD5A5D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2"/>
  </w:style>
  <w:style w:type="paragraph" w:styleId="Footer">
    <w:name w:val="footer"/>
    <w:basedOn w:val="Normal"/>
    <w:link w:val="FooterChar"/>
    <w:uiPriority w:val="99"/>
    <w:unhideWhenUsed/>
    <w:rsid w:val="002F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2"/>
  </w:style>
  <w:style w:type="character" w:customStyle="1" w:styleId="Heading1Char">
    <w:name w:val="Heading 1 Char"/>
    <w:basedOn w:val="DefaultParagraphFont"/>
    <w:link w:val="Heading1"/>
    <w:uiPriority w:val="9"/>
    <w:rsid w:val="002F1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0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10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antander-customer-satisfac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12A85085-DF4C-4E6B-8B58-7DCB138A000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Investors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Jhaveri, Saurabh (AllianzGI)</dc:creator>
  <cp:keywords>Internal</cp:keywords>
  <cp:lastModifiedBy>Saurabh Jhaveri</cp:lastModifiedBy>
  <cp:revision>4</cp:revision>
  <dcterms:created xsi:type="dcterms:W3CDTF">2018-01-08T16:35:00Z</dcterms:created>
  <dcterms:modified xsi:type="dcterms:W3CDTF">2018-01-15T22:37:00Z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12c866d3-5942-4de6-a3ba-5901f83f9349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cw8KMF+ck/TqkLdZdrQ/oCIMh5Ed0TUd</vt:lpwstr>
  </property>
</Properties>
</file>