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570D4" w14:textId="61DB4348" w:rsidR="00CD59F6" w:rsidRPr="00CD59F6" w:rsidRDefault="00CD59F6" w:rsidP="00CD59F6">
      <w:pPr>
        <w:jc w:val="center"/>
        <w:rPr>
          <w:rFonts w:ascii="Arial" w:hAnsi="Arial" w:cs="Arial"/>
          <w:sz w:val="32"/>
          <w:szCs w:val="32"/>
        </w:rPr>
      </w:pPr>
      <w:r w:rsidRPr="00CD59F6">
        <w:rPr>
          <w:rFonts w:ascii="Arial" w:hAnsi="Arial" w:cs="Arial"/>
          <w:sz w:val="32"/>
          <w:szCs w:val="32"/>
        </w:rPr>
        <w:t>AI in Finance, Credit Scoring, and Fraud Detection</w:t>
      </w:r>
    </w:p>
    <w:p w14:paraId="79D97E62" w14:textId="77777777" w:rsidR="00CD59F6" w:rsidRPr="00CD59F6" w:rsidRDefault="00CD59F6" w:rsidP="00CD59F6">
      <w:pPr>
        <w:rPr>
          <w:rFonts w:ascii="Arial" w:hAnsi="Arial" w:cs="Arial"/>
        </w:rPr>
      </w:pPr>
    </w:p>
    <w:p w14:paraId="598A9755" w14:textId="25BBDA77" w:rsidR="0017022E" w:rsidRDefault="00CD59F6" w:rsidP="0017022E">
      <w:pPr>
        <w:jc w:val="center"/>
        <w:rPr>
          <w:rFonts w:ascii="Arial" w:hAnsi="Arial" w:cs="Arial"/>
          <w:sz w:val="24"/>
          <w:szCs w:val="24"/>
        </w:rPr>
      </w:pPr>
      <w:r w:rsidRPr="00CD59F6">
        <w:rPr>
          <w:rFonts w:ascii="Arial" w:hAnsi="Arial" w:cs="Arial"/>
          <w:sz w:val="24"/>
          <w:szCs w:val="24"/>
        </w:rPr>
        <w:t>Course: Concepts and Technologies of AI (5CS037)</w:t>
      </w:r>
      <w:r w:rsidRPr="00CD59F6">
        <w:rPr>
          <w:rFonts w:ascii="Arial" w:hAnsi="Arial" w:cs="Arial"/>
          <w:sz w:val="24"/>
          <w:szCs w:val="24"/>
        </w:rPr>
        <w:br/>
        <w:t>Institution: Herald College, Kathmandu</w:t>
      </w:r>
      <w:r w:rsidRPr="00CD59F6">
        <w:rPr>
          <w:rFonts w:ascii="Arial" w:hAnsi="Arial" w:cs="Arial"/>
          <w:sz w:val="24"/>
          <w:szCs w:val="24"/>
        </w:rPr>
        <w:br/>
      </w:r>
      <w:proofErr w:type="spellStart"/>
      <w:r w:rsidRPr="00CD59F6">
        <w:rPr>
          <w:rFonts w:ascii="Arial" w:hAnsi="Arial" w:cs="Arial"/>
          <w:sz w:val="24"/>
          <w:szCs w:val="24"/>
        </w:rPr>
        <w:t>StudentName</w:t>
      </w:r>
      <w:proofErr w:type="spellEnd"/>
      <w:r w:rsidRPr="00CD59F6">
        <w:rPr>
          <w:rFonts w:ascii="Arial" w:hAnsi="Arial" w:cs="Arial"/>
          <w:sz w:val="24"/>
          <w:szCs w:val="24"/>
        </w:rPr>
        <w:t xml:space="preserve">: Saurav </w:t>
      </w:r>
      <w:proofErr w:type="spellStart"/>
      <w:r w:rsidRPr="00CD59F6">
        <w:rPr>
          <w:rFonts w:ascii="Arial" w:hAnsi="Arial" w:cs="Arial"/>
          <w:sz w:val="24"/>
          <w:szCs w:val="24"/>
        </w:rPr>
        <w:t>Thakulla</w:t>
      </w:r>
      <w:proofErr w:type="spellEnd"/>
      <w:r w:rsidRPr="00CD59F6">
        <w:rPr>
          <w:rFonts w:ascii="Arial" w:hAnsi="Arial" w:cs="Arial"/>
          <w:sz w:val="24"/>
          <w:szCs w:val="24"/>
        </w:rPr>
        <w:br/>
        <w:t>StudentID:2548378</w:t>
      </w:r>
      <w:r w:rsidRPr="00CD59F6">
        <w:rPr>
          <w:rFonts w:ascii="Arial" w:hAnsi="Arial" w:cs="Arial"/>
          <w:sz w:val="24"/>
          <w:szCs w:val="24"/>
        </w:rPr>
        <w:br/>
        <w:t>Date of Submission: 2026-01-17</w:t>
      </w:r>
    </w:p>
    <w:p w14:paraId="7785D065" w14:textId="77777777" w:rsidR="0017022E" w:rsidRPr="0017022E" w:rsidRDefault="0017022E" w:rsidP="0017022E">
      <w:pPr>
        <w:jc w:val="center"/>
        <w:rPr>
          <w:rFonts w:ascii="Arial" w:eastAsiaTheme="minorHAnsi" w:hAnsi="Arial" w:cs="Arial"/>
          <w:sz w:val="24"/>
          <w:szCs w:val="24"/>
        </w:rPr>
      </w:pPr>
    </w:p>
    <w:p w14:paraId="4B145C4F" w14:textId="39E91E95" w:rsidR="00CD59F6" w:rsidRPr="00E67979" w:rsidRDefault="00000000" w:rsidP="0017022E">
      <w:pPr>
        <w:pStyle w:val="Heading2"/>
        <w:rPr>
          <w:sz w:val="28"/>
          <w:szCs w:val="28"/>
        </w:rPr>
      </w:pPr>
      <w:r w:rsidRPr="00E67979">
        <w:rPr>
          <w:sz w:val="28"/>
          <w:szCs w:val="28"/>
        </w:rPr>
        <w:t>Ethical Implications of Automated Loan Approval</w:t>
      </w:r>
    </w:p>
    <w:p w14:paraId="6C87BBDC" w14:textId="597149C3" w:rsidR="00CD59F6" w:rsidRPr="00E67979" w:rsidRDefault="00000000" w:rsidP="00E67979">
      <w:pPr>
        <w:rPr>
          <w:rFonts w:ascii="Arial" w:hAnsi="Arial" w:cs="Arial"/>
          <w:sz w:val="24"/>
          <w:szCs w:val="24"/>
        </w:rPr>
      </w:pPr>
      <w:r w:rsidRPr="00DC6C00">
        <w:rPr>
          <w:rFonts w:ascii="Arial" w:hAnsi="Arial" w:cs="Arial"/>
          <w:sz w:val="24"/>
          <w:szCs w:val="24"/>
        </w:rPr>
        <w:t>AI-driven loan approval systems increasingly replace or heavily influence human decision-making in financial institutions (OECD, 2019). While automation improves efficiency and consistency, it can lead to a significant loss of human oversight. Without meaningful human review, algorithms may fail to recognise exceptional personal circumstances such as temporary unemployment or informal income, resulting in rigid and impersonal decisions (European Union, 2024).</w:t>
      </w:r>
      <w:r w:rsidRPr="00DC6C00">
        <w:rPr>
          <w:rFonts w:ascii="Arial" w:hAnsi="Arial" w:cs="Arial"/>
          <w:sz w:val="24"/>
          <w:szCs w:val="24"/>
        </w:rPr>
        <w:br/>
      </w:r>
      <w:r w:rsidRPr="00DC6C00">
        <w:rPr>
          <w:rFonts w:ascii="Arial" w:hAnsi="Arial" w:cs="Arial"/>
          <w:sz w:val="24"/>
          <w:szCs w:val="24"/>
        </w:rPr>
        <w:br/>
        <w:t>This loss of oversight raises concerns related to human dignity and moral responsibility. Treating individuals purely as risk scores reduces complex human lives to numerical outputs, undermining respect for autonomy and fairness (UNESCO, 2021). Financial institutions retain ethical responsibility for decisions made by AI systems, even when those decisions are automated.</w:t>
      </w:r>
      <w:r w:rsidRPr="00DC6C00">
        <w:rPr>
          <w:rFonts w:ascii="Arial" w:hAnsi="Arial" w:cs="Arial"/>
          <w:sz w:val="24"/>
          <w:szCs w:val="24"/>
        </w:rPr>
        <w:br/>
      </w:r>
      <w:r w:rsidRPr="00DC6C00">
        <w:rPr>
          <w:rFonts w:ascii="Arial" w:hAnsi="Arial" w:cs="Arial"/>
          <w:sz w:val="24"/>
          <w:szCs w:val="24"/>
        </w:rPr>
        <w:br/>
        <w:t>Unfair loan rejections are ethically harmful not merely because they are inefficient, but because they can deny individuals access to housing, education, and economic mobility, reinforcing cycles of disadvantage and social inequality (Barocas, Hardt, &amp; Narayanan, 2019).</w:t>
      </w:r>
    </w:p>
    <w:p w14:paraId="27045FC0" w14:textId="3CB450AC" w:rsidR="0079186B" w:rsidRPr="00E67979" w:rsidRDefault="00000000" w:rsidP="00E67979">
      <w:pPr>
        <w:pStyle w:val="Heading2"/>
        <w:rPr>
          <w:rFonts w:ascii="Arial" w:hAnsi="Arial" w:cs="Arial"/>
          <w:sz w:val="28"/>
          <w:szCs w:val="28"/>
        </w:rPr>
      </w:pPr>
      <w:r w:rsidRPr="00E67979">
        <w:rPr>
          <w:rFonts w:ascii="Arial" w:hAnsi="Arial" w:cs="Arial"/>
          <w:sz w:val="28"/>
          <w:szCs w:val="28"/>
        </w:rPr>
        <w:t>Risk of Financial Exclusion Due to Biased Data</w:t>
      </w:r>
    </w:p>
    <w:p w14:paraId="6DDA1CBE" w14:textId="77777777" w:rsidR="0079186B" w:rsidRPr="00DC6C00" w:rsidRDefault="00000000">
      <w:pPr>
        <w:rPr>
          <w:rFonts w:ascii="Arial" w:hAnsi="Arial" w:cs="Arial"/>
          <w:sz w:val="24"/>
          <w:szCs w:val="24"/>
        </w:rPr>
      </w:pPr>
      <w:r w:rsidRPr="00DC6C00">
        <w:rPr>
          <w:rFonts w:ascii="Arial" w:hAnsi="Arial" w:cs="Arial"/>
          <w:sz w:val="24"/>
          <w:szCs w:val="24"/>
        </w:rPr>
        <w:t>AI systems rely on historical financial data that often reflects existing structural inequalities (Zuboff, 2019). As a result, low-income individuals, informal or gig-economy workers, and ethnic minorities are disproportionately excluded from access to credit (OECD, 2019).</w:t>
      </w:r>
      <w:r w:rsidRPr="00DC6C00">
        <w:rPr>
          <w:rFonts w:ascii="Arial" w:hAnsi="Arial" w:cs="Arial"/>
          <w:sz w:val="24"/>
          <w:szCs w:val="24"/>
        </w:rPr>
        <w:br/>
      </w:r>
      <w:r w:rsidRPr="00DC6C00">
        <w:rPr>
          <w:rFonts w:ascii="Arial" w:hAnsi="Arial" w:cs="Arial"/>
          <w:sz w:val="24"/>
          <w:szCs w:val="24"/>
        </w:rPr>
        <w:br/>
        <w:t>The long-term effects of this exclusion are severe. Individuals denied credit may be unable to build a credit history, leading to continued exclusion from future financial opportunities and reinforcing systemic inequality over time (UNESCO, 2021).</w:t>
      </w:r>
      <w:r w:rsidRPr="00DC6C00">
        <w:rPr>
          <w:rFonts w:ascii="Arial" w:hAnsi="Arial" w:cs="Arial"/>
          <w:sz w:val="24"/>
          <w:szCs w:val="24"/>
        </w:rPr>
        <w:br/>
      </w:r>
      <w:r w:rsidRPr="00DC6C00">
        <w:rPr>
          <w:rFonts w:ascii="Arial" w:hAnsi="Arial" w:cs="Arial"/>
          <w:sz w:val="24"/>
          <w:szCs w:val="24"/>
        </w:rPr>
        <w:lastRenderedPageBreak/>
        <w:br/>
        <w:t>Such outcomes demonstrate how biased AI systems can institutionalise discrimination within financial infrastructures rather than eliminate it (Barocas et al., 2019).</w:t>
      </w:r>
    </w:p>
    <w:p w14:paraId="32775F06" w14:textId="77777777" w:rsidR="00CD59F6" w:rsidRDefault="00CD59F6" w:rsidP="00CD59F6">
      <w:pPr>
        <w:rPr>
          <w:rFonts w:ascii="Arial" w:hAnsi="Arial" w:cs="Arial"/>
          <w:sz w:val="28"/>
          <w:szCs w:val="28"/>
        </w:rPr>
      </w:pPr>
    </w:p>
    <w:p w14:paraId="379284DB" w14:textId="77777777" w:rsidR="00CD59F6" w:rsidRDefault="00CD59F6" w:rsidP="00CD59F6">
      <w:pPr>
        <w:rPr>
          <w:rFonts w:ascii="Arial" w:hAnsi="Arial" w:cs="Arial"/>
          <w:sz w:val="28"/>
          <w:szCs w:val="28"/>
        </w:rPr>
      </w:pPr>
    </w:p>
    <w:p w14:paraId="638D969D" w14:textId="0AFF8E3E" w:rsidR="0079186B" w:rsidRPr="00E67979" w:rsidRDefault="00000000" w:rsidP="00E67979">
      <w:pPr>
        <w:pStyle w:val="Heading2"/>
        <w:rPr>
          <w:rFonts w:ascii="Arial" w:hAnsi="Arial" w:cs="Arial"/>
          <w:sz w:val="28"/>
          <w:szCs w:val="28"/>
        </w:rPr>
      </w:pPr>
      <w:r w:rsidRPr="00E67979">
        <w:rPr>
          <w:rFonts w:ascii="Arial" w:hAnsi="Arial" w:cs="Arial"/>
          <w:sz w:val="28"/>
          <w:szCs w:val="28"/>
        </w:rPr>
        <w:t>Transparency and Explainability in Algorithmic Credit Scoring</w:t>
      </w:r>
    </w:p>
    <w:p w14:paraId="49D7ECF6" w14:textId="77777777" w:rsidR="0079186B" w:rsidRPr="00DC6C00" w:rsidRDefault="00000000">
      <w:pPr>
        <w:rPr>
          <w:rFonts w:ascii="Arial" w:hAnsi="Arial" w:cs="Arial"/>
          <w:sz w:val="24"/>
          <w:szCs w:val="24"/>
        </w:rPr>
      </w:pPr>
      <w:r w:rsidRPr="00DC6C00">
        <w:rPr>
          <w:rFonts w:ascii="Arial" w:hAnsi="Arial" w:cs="Arial"/>
          <w:sz w:val="24"/>
          <w:szCs w:val="24"/>
        </w:rPr>
        <w:t>Many AI credit scoring systems operate as black-box models, where decision logic is opaque even to developers and regulators (NIST, 2023). These systems are ethically dangerous because they prevent individuals from understanding or challenging decisions that affect their financial lives.</w:t>
      </w:r>
      <w:r w:rsidRPr="00DC6C00">
        <w:rPr>
          <w:rFonts w:ascii="Arial" w:hAnsi="Arial" w:cs="Arial"/>
          <w:sz w:val="24"/>
          <w:szCs w:val="24"/>
        </w:rPr>
        <w:br/>
      </w:r>
      <w:r w:rsidRPr="00DC6C00">
        <w:rPr>
          <w:rFonts w:ascii="Arial" w:hAnsi="Arial" w:cs="Arial"/>
          <w:sz w:val="24"/>
          <w:szCs w:val="24"/>
        </w:rPr>
        <w:br/>
        <w:t>When AI-driven decisions cause harm, accountability becomes unclear. Without transparency, responsibility may be diffused between developers, data providers, and financial institutions, undermining ethical governance (OECD, 2019).</w:t>
      </w:r>
      <w:r w:rsidRPr="00DC6C00">
        <w:rPr>
          <w:rFonts w:ascii="Arial" w:hAnsi="Arial" w:cs="Arial"/>
          <w:sz w:val="24"/>
          <w:szCs w:val="24"/>
        </w:rPr>
        <w:br/>
      </w:r>
      <w:r w:rsidRPr="00DC6C00">
        <w:rPr>
          <w:rFonts w:ascii="Arial" w:hAnsi="Arial" w:cs="Arial"/>
          <w:sz w:val="24"/>
          <w:szCs w:val="24"/>
        </w:rPr>
        <w:br/>
        <w:t>Explainable AI supports the right to appeal by enabling borrowers to contest and correct decisions, which is essential for fairness and due process in financial systems (European Union, 2024).</w:t>
      </w:r>
    </w:p>
    <w:p w14:paraId="52A815BB" w14:textId="77777777" w:rsidR="00CD59F6" w:rsidRDefault="00CD59F6" w:rsidP="00CD59F6">
      <w:pPr>
        <w:rPr>
          <w:rFonts w:ascii="Arial" w:hAnsi="Arial" w:cs="Arial"/>
          <w:sz w:val="28"/>
          <w:szCs w:val="28"/>
        </w:rPr>
      </w:pPr>
    </w:p>
    <w:p w14:paraId="59FC5E18" w14:textId="77777777" w:rsidR="00CD59F6" w:rsidRDefault="00CD59F6" w:rsidP="00CD59F6">
      <w:pPr>
        <w:rPr>
          <w:rFonts w:ascii="Arial" w:hAnsi="Arial" w:cs="Arial"/>
          <w:sz w:val="28"/>
          <w:szCs w:val="28"/>
        </w:rPr>
      </w:pPr>
    </w:p>
    <w:p w14:paraId="7DCF7DE2" w14:textId="77777777" w:rsidR="00CD59F6" w:rsidRDefault="00CD59F6" w:rsidP="00CD59F6">
      <w:pPr>
        <w:rPr>
          <w:rFonts w:ascii="Arial" w:hAnsi="Arial" w:cs="Arial"/>
          <w:sz w:val="28"/>
          <w:szCs w:val="28"/>
        </w:rPr>
      </w:pPr>
    </w:p>
    <w:p w14:paraId="280946BF" w14:textId="77777777" w:rsidR="00CD59F6" w:rsidRDefault="00CD59F6" w:rsidP="00CD59F6">
      <w:pPr>
        <w:rPr>
          <w:rFonts w:ascii="Arial" w:hAnsi="Arial" w:cs="Arial"/>
          <w:sz w:val="28"/>
          <w:szCs w:val="28"/>
        </w:rPr>
      </w:pPr>
    </w:p>
    <w:p w14:paraId="3CD3F834" w14:textId="77777777" w:rsidR="00CD59F6" w:rsidRDefault="00CD59F6" w:rsidP="00CD59F6">
      <w:pPr>
        <w:rPr>
          <w:rFonts w:ascii="Arial" w:hAnsi="Arial" w:cs="Arial"/>
          <w:sz w:val="28"/>
          <w:szCs w:val="28"/>
        </w:rPr>
      </w:pPr>
    </w:p>
    <w:p w14:paraId="7BAA70BB" w14:textId="2E3EDDE9" w:rsidR="0079186B" w:rsidRPr="00E67979" w:rsidRDefault="00000000" w:rsidP="00E67979">
      <w:pPr>
        <w:pStyle w:val="Heading2"/>
        <w:rPr>
          <w:rFonts w:ascii="Arial" w:hAnsi="Arial" w:cs="Arial"/>
          <w:sz w:val="28"/>
          <w:szCs w:val="28"/>
        </w:rPr>
      </w:pPr>
      <w:r w:rsidRPr="00E67979">
        <w:rPr>
          <w:rFonts w:ascii="Arial" w:hAnsi="Arial" w:cs="Arial"/>
          <w:sz w:val="28"/>
          <w:szCs w:val="28"/>
        </w:rPr>
        <w:t>Integration of Global AI Governance Frameworks</w:t>
      </w:r>
    </w:p>
    <w:p w14:paraId="54B3AE31" w14:textId="77777777" w:rsidR="0079186B" w:rsidRPr="00DC6C00" w:rsidRDefault="00000000">
      <w:pPr>
        <w:rPr>
          <w:rFonts w:ascii="Arial" w:hAnsi="Arial" w:cs="Arial"/>
          <w:sz w:val="24"/>
          <w:szCs w:val="24"/>
        </w:rPr>
      </w:pPr>
      <w:r w:rsidRPr="00DC6C00">
        <w:rPr>
          <w:rFonts w:ascii="Arial" w:hAnsi="Arial" w:cs="Arial"/>
          <w:sz w:val="24"/>
          <w:szCs w:val="24"/>
        </w:rPr>
        <w:t>Global AI governance frameworks provide ethical and regulatory guidance for financial AI systems. The OECD AI Principles promote responsible and human-centred AI, emphasising fairness and accountability in automated decision-making (OECD, 2019). UNESCO’s Recommendation on the Ethics of AI focuses on protecting human rights and social inclusion, directly addressing risks of discrimination in credit scoring (UNESCO, 2021).</w:t>
      </w:r>
      <w:r w:rsidRPr="00DC6C00">
        <w:rPr>
          <w:rFonts w:ascii="Arial" w:hAnsi="Arial" w:cs="Arial"/>
          <w:sz w:val="24"/>
          <w:szCs w:val="24"/>
        </w:rPr>
        <w:br/>
      </w:r>
      <w:r w:rsidRPr="00DC6C00">
        <w:rPr>
          <w:rFonts w:ascii="Arial" w:hAnsi="Arial" w:cs="Arial"/>
          <w:sz w:val="24"/>
          <w:szCs w:val="24"/>
        </w:rPr>
        <w:br/>
        <w:t xml:space="preserve">The EU AI Act classifies creditworthiness assessment systems as high-risk, </w:t>
      </w:r>
      <w:r w:rsidRPr="00DC6C00">
        <w:rPr>
          <w:rFonts w:ascii="Arial" w:hAnsi="Arial" w:cs="Arial"/>
          <w:sz w:val="24"/>
          <w:szCs w:val="24"/>
        </w:rPr>
        <w:lastRenderedPageBreak/>
        <w:t>legally requiring transparency, bias mitigation, and human oversight in financial AI applications (European Union, 2024). The NIST AI Risk Management Framework provides structured guidance for identifying, assessing, and mitigating risks such as bias and lack of explainability throughout the AI lifecycle (NIST, 2023).</w:t>
      </w:r>
    </w:p>
    <w:p w14:paraId="122B592B" w14:textId="77777777" w:rsidR="00CD59F6" w:rsidRDefault="00CD59F6" w:rsidP="00CD59F6">
      <w:pPr>
        <w:rPr>
          <w:rFonts w:ascii="Arial" w:hAnsi="Arial" w:cs="Arial"/>
          <w:sz w:val="28"/>
          <w:szCs w:val="28"/>
        </w:rPr>
      </w:pPr>
    </w:p>
    <w:p w14:paraId="783A74F8" w14:textId="77777777" w:rsidR="00CD59F6" w:rsidRDefault="00CD59F6" w:rsidP="00CD59F6">
      <w:pPr>
        <w:rPr>
          <w:rFonts w:ascii="Arial" w:hAnsi="Arial" w:cs="Arial"/>
          <w:sz w:val="28"/>
          <w:szCs w:val="28"/>
        </w:rPr>
      </w:pPr>
    </w:p>
    <w:p w14:paraId="0C2E7C2C" w14:textId="240894A0" w:rsidR="0079186B" w:rsidRPr="00E67979" w:rsidRDefault="00000000" w:rsidP="00E67979">
      <w:pPr>
        <w:pStyle w:val="Heading2"/>
        <w:rPr>
          <w:rFonts w:ascii="Arial" w:hAnsi="Arial" w:cs="Arial"/>
          <w:sz w:val="28"/>
          <w:szCs w:val="28"/>
        </w:rPr>
      </w:pPr>
      <w:r w:rsidRPr="00E67979">
        <w:rPr>
          <w:rFonts w:ascii="Arial" w:hAnsi="Arial" w:cs="Arial"/>
          <w:sz w:val="28"/>
          <w:szCs w:val="28"/>
        </w:rPr>
        <w:t>Generic Ethical AI Framework for Financial Systems</w:t>
      </w:r>
    </w:p>
    <w:p w14:paraId="77814A28" w14:textId="6A2794FB" w:rsidR="00CD59F6" w:rsidRPr="00E67979" w:rsidRDefault="00000000" w:rsidP="00E67979">
      <w:pPr>
        <w:rPr>
          <w:rFonts w:ascii="Arial" w:hAnsi="Arial" w:cs="Arial"/>
          <w:sz w:val="24"/>
          <w:szCs w:val="24"/>
        </w:rPr>
      </w:pPr>
      <w:r w:rsidRPr="00DC6C00">
        <w:rPr>
          <w:rFonts w:ascii="Arial" w:hAnsi="Arial" w:cs="Arial"/>
          <w:sz w:val="24"/>
          <w:szCs w:val="24"/>
        </w:rPr>
        <w:t>Fairness requires that financial AI systems do not discriminate against individuals or groups and that access to credit is assessed equitably, particularly for historically marginalised populations (Barocas et al., 2019).</w:t>
      </w:r>
      <w:r w:rsidRPr="00DC6C00">
        <w:rPr>
          <w:rFonts w:ascii="Arial" w:hAnsi="Arial" w:cs="Arial"/>
          <w:sz w:val="24"/>
          <w:szCs w:val="24"/>
        </w:rPr>
        <w:br/>
      </w:r>
      <w:r w:rsidRPr="00DC6C00">
        <w:rPr>
          <w:rFonts w:ascii="Arial" w:hAnsi="Arial" w:cs="Arial"/>
          <w:sz w:val="24"/>
          <w:szCs w:val="24"/>
        </w:rPr>
        <w:br/>
        <w:t>Transparency demands that credit decisions are explainable and understandable to affected individuals, enabling trust and informed consent (OECD, 2019). Accountability ensures that financial institutions remain responsible for AI-driven decisions and provide mechanisms for redress (European Union, 2024).</w:t>
      </w:r>
      <w:r w:rsidRPr="00DC6C00">
        <w:rPr>
          <w:rFonts w:ascii="Arial" w:hAnsi="Arial" w:cs="Arial"/>
          <w:sz w:val="24"/>
          <w:szCs w:val="24"/>
        </w:rPr>
        <w:br/>
      </w:r>
      <w:r w:rsidRPr="00DC6C00">
        <w:rPr>
          <w:rFonts w:ascii="Arial" w:hAnsi="Arial" w:cs="Arial"/>
          <w:sz w:val="24"/>
          <w:szCs w:val="24"/>
        </w:rPr>
        <w:br/>
        <w:t>The principle of non-maleficence requires that AI systems do not cause harm, such as unjust financial exclusion or economic hardship (UNESCO, 2021). Privacy mandates that personal financial data is handled securely and proportionately. Beneficence requires that financial AI actively contributes to social good, such as expanding access to credit and promoting financial inclusion (NIST, 2023).</w:t>
      </w:r>
    </w:p>
    <w:p w14:paraId="2D8B4D41" w14:textId="541F8D01" w:rsidR="00E67979" w:rsidRPr="00E67979" w:rsidRDefault="00E67979" w:rsidP="00E67979">
      <w:pPr>
        <w:pStyle w:val="Heading2"/>
        <w:rPr>
          <w:rFonts w:ascii="Arial" w:hAnsi="Arial" w:cs="Arial"/>
          <w:sz w:val="28"/>
          <w:szCs w:val="28"/>
        </w:rPr>
      </w:pPr>
      <w:r w:rsidRPr="00E67979">
        <w:rPr>
          <w:rFonts w:ascii="Arial" w:hAnsi="Arial" w:cs="Arial"/>
          <w:sz w:val="28"/>
          <w:szCs w:val="28"/>
        </w:rPr>
        <w:t>Personal Reflection</w:t>
      </w:r>
    </w:p>
    <w:p w14:paraId="2ADEEAE3" w14:textId="0B8B448B" w:rsidR="00CD59F6" w:rsidRPr="00E67979" w:rsidRDefault="00000000" w:rsidP="00E67979">
      <w:pPr>
        <w:rPr>
          <w:rFonts w:ascii="Arial" w:hAnsi="Arial" w:cs="Arial"/>
          <w:sz w:val="24"/>
          <w:szCs w:val="24"/>
        </w:rPr>
      </w:pPr>
      <w:r w:rsidRPr="00DC6C00">
        <w:rPr>
          <w:rFonts w:ascii="Arial" w:hAnsi="Arial" w:cs="Arial"/>
          <w:sz w:val="24"/>
          <w:szCs w:val="24"/>
        </w:rPr>
        <w:t>Through researching AI in finance, I developed a deeper understanding of how automated systems can shape individuals’ life opportunities. Initially, I viewed AI-driven credit scoring as a neutral and efficient solution to human bias. However, examining biased data, opaque models, and regulatory frameworks revealed how easily AI can reinforce existing inequalities (OECD, 2019).</w:t>
      </w:r>
      <w:r w:rsidRPr="00DC6C00">
        <w:rPr>
          <w:rFonts w:ascii="Arial" w:hAnsi="Arial" w:cs="Arial"/>
          <w:sz w:val="24"/>
          <w:szCs w:val="24"/>
        </w:rPr>
        <w:br/>
      </w:r>
      <w:r w:rsidRPr="00DC6C00">
        <w:rPr>
          <w:rFonts w:ascii="Arial" w:hAnsi="Arial" w:cs="Arial"/>
          <w:sz w:val="24"/>
          <w:szCs w:val="24"/>
        </w:rPr>
        <w:br/>
        <w:t>This analysis demonstrated that ethical AI is a practical necessity rather than a theoretical ideal. Without transparency and accountability, individuals lose the ability to challenge decisions that directly affect their livelihoods (European Union, 2024). I was particularly struck by how ethical failures in financial AI can have long-term societal consequences, including reduced social mobility and entrenched poverty (UNESCO, 2021).</w:t>
      </w:r>
      <w:r w:rsidRPr="00DC6C00">
        <w:rPr>
          <w:rFonts w:ascii="Arial" w:hAnsi="Arial" w:cs="Arial"/>
          <w:sz w:val="24"/>
          <w:szCs w:val="24"/>
        </w:rPr>
        <w:br/>
      </w:r>
      <w:r w:rsidRPr="00DC6C00">
        <w:rPr>
          <w:rFonts w:ascii="Arial" w:hAnsi="Arial" w:cs="Arial"/>
          <w:sz w:val="24"/>
          <w:szCs w:val="24"/>
        </w:rPr>
        <w:br/>
      </w:r>
      <w:r w:rsidRPr="00DC6C00">
        <w:rPr>
          <w:rFonts w:ascii="Arial" w:hAnsi="Arial" w:cs="Arial"/>
          <w:sz w:val="24"/>
          <w:szCs w:val="24"/>
        </w:rPr>
        <w:lastRenderedPageBreak/>
        <w:t>Overall, this topic reinforced my belief that ethical considerations must be embedded throughout the AI lifecycle to ensure technological progress benefits society rather than deepening systemic inequality (NIST, 2023).</w:t>
      </w:r>
    </w:p>
    <w:p w14:paraId="7C934A90" w14:textId="0A95AB72" w:rsidR="0079186B" w:rsidRPr="00E67979" w:rsidRDefault="00000000" w:rsidP="00E67979">
      <w:pPr>
        <w:pStyle w:val="Heading2"/>
        <w:rPr>
          <w:rFonts w:ascii="Arial" w:hAnsi="Arial" w:cs="Arial"/>
          <w:sz w:val="28"/>
          <w:szCs w:val="28"/>
        </w:rPr>
      </w:pPr>
      <w:r w:rsidRPr="00E67979">
        <w:rPr>
          <w:rFonts w:ascii="Arial" w:hAnsi="Arial" w:cs="Arial"/>
          <w:sz w:val="28"/>
          <w:szCs w:val="28"/>
        </w:rPr>
        <w:t>References</w:t>
      </w:r>
    </w:p>
    <w:p w14:paraId="099B51D4" w14:textId="77777777" w:rsidR="008C048A" w:rsidRDefault="00000000">
      <w:pPr>
        <w:rPr>
          <w:rFonts w:ascii="Arial" w:hAnsi="Arial" w:cs="Arial"/>
          <w:sz w:val="24"/>
          <w:szCs w:val="24"/>
        </w:rPr>
      </w:pPr>
      <w:r w:rsidRPr="00DC6C00">
        <w:rPr>
          <w:rFonts w:ascii="Arial" w:hAnsi="Arial" w:cs="Arial"/>
          <w:sz w:val="24"/>
          <w:szCs w:val="24"/>
        </w:rPr>
        <w:t xml:space="preserve">Barocas, S., Hardt, M., &amp; Narayanan, A. (2019). </w:t>
      </w:r>
      <w:r w:rsidRPr="008C048A">
        <w:rPr>
          <w:rFonts w:ascii="Arial" w:hAnsi="Arial" w:cs="Arial"/>
          <w:i/>
          <w:iCs/>
          <w:sz w:val="24"/>
          <w:szCs w:val="24"/>
        </w:rPr>
        <w:t>Fairness and machine learning</w:t>
      </w:r>
      <w:r w:rsidRPr="00DC6C00">
        <w:rPr>
          <w:rFonts w:ascii="Arial" w:hAnsi="Arial" w:cs="Arial"/>
          <w:i/>
          <w:iCs/>
          <w:sz w:val="24"/>
          <w:szCs w:val="24"/>
        </w:rPr>
        <w:t>.</w:t>
      </w:r>
      <w:r w:rsidRPr="00DC6C00">
        <w:rPr>
          <w:rFonts w:ascii="Arial" w:hAnsi="Arial" w:cs="Arial"/>
          <w:sz w:val="24"/>
          <w:szCs w:val="24"/>
        </w:rPr>
        <w:t xml:space="preserve"> MIT Press.</w:t>
      </w:r>
    </w:p>
    <w:p w14:paraId="246932A3" w14:textId="4C1B0366" w:rsidR="008C048A" w:rsidRPr="008C048A" w:rsidRDefault="00000000">
      <w:pPr>
        <w:rPr>
          <w:rFonts w:ascii="Arial" w:hAnsi="Arial" w:cs="Arial"/>
          <w:i/>
          <w:iCs/>
          <w:sz w:val="24"/>
          <w:szCs w:val="24"/>
        </w:rPr>
      </w:pPr>
      <w:r w:rsidRPr="00DC6C00">
        <w:rPr>
          <w:rFonts w:ascii="Arial" w:hAnsi="Arial" w:cs="Arial"/>
          <w:sz w:val="24"/>
          <w:szCs w:val="24"/>
        </w:rPr>
        <w:br/>
        <w:t>European Union. (2024).</w:t>
      </w:r>
      <w:r w:rsidRPr="00DC6C00">
        <w:rPr>
          <w:rFonts w:ascii="Arial" w:hAnsi="Arial" w:cs="Arial"/>
          <w:i/>
          <w:iCs/>
          <w:sz w:val="24"/>
          <w:szCs w:val="24"/>
        </w:rPr>
        <w:t xml:space="preserve"> </w:t>
      </w:r>
      <w:r w:rsidRPr="008C048A">
        <w:rPr>
          <w:rFonts w:ascii="Arial" w:hAnsi="Arial" w:cs="Arial"/>
          <w:i/>
          <w:iCs/>
          <w:sz w:val="24"/>
          <w:szCs w:val="24"/>
        </w:rPr>
        <w:t xml:space="preserve">Artificial </w:t>
      </w:r>
      <w:r w:rsidR="008C048A" w:rsidRPr="008C048A">
        <w:rPr>
          <w:rFonts w:ascii="Arial" w:hAnsi="Arial" w:cs="Arial"/>
          <w:i/>
          <w:iCs/>
          <w:sz w:val="24"/>
          <w:szCs w:val="24"/>
        </w:rPr>
        <w:t>i</w:t>
      </w:r>
      <w:r w:rsidRPr="008C048A">
        <w:rPr>
          <w:rFonts w:ascii="Arial" w:hAnsi="Arial" w:cs="Arial"/>
          <w:i/>
          <w:iCs/>
          <w:sz w:val="24"/>
          <w:szCs w:val="24"/>
        </w:rPr>
        <w:t xml:space="preserve">ntelligence </w:t>
      </w:r>
      <w:r w:rsidR="008C048A" w:rsidRPr="008C048A">
        <w:rPr>
          <w:rFonts w:ascii="Arial" w:hAnsi="Arial" w:cs="Arial"/>
          <w:i/>
          <w:iCs/>
          <w:sz w:val="24"/>
          <w:szCs w:val="24"/>
        </w:rPr>
        <w:t>a</w:t>
      </w:r>
      <w:r w:rsidRPr="008C048A">
        <w:rPr>
          <w:rFonts w:ascii="Arial" w:hAnsi="Arial" w:cs="Arial"/>
          <w:i/>
          <w:iCs/>
          <w:sz w:val="24"/>
          <w:szCs w:val="24"/>
        </w:rPr>
        <w:t>ct.</w:t>
      </w:r>
    </w:p>
    <w:p w14:paraId="4167DE2D" w14:textId="49CD237C" w:rsidR="008C048A" w:rsidRDefault="00000000">
      <w:pPr>
        <w:rPr>
          <w:rFonts w:ascii="Arial" w:hAnsi="Arial" w:cs="Arial"/>
          <w:sz w:val="24"/>
          <w:szCs w:val="24"/>
        </w:rPr>
      </w:pPr>
      <w:r w:rsidRPr="00DC6C00">
        <w:rPr>
          <w:rFonts w:ascii="Arial" w:hAnsi="Arial" w:cs="Arial"/>
          <w:sz w:val="24"/>
          <w:szCs w:val="24"/>
        </w:rPr>
        <w:br/>
      </w:r>
      <w:r w:rsidR="008C048A" w:rsidRPr="008C048A">
        <w:rPr>
          <w:rFonts w:ascii="Arial" w:hAnsi="Arial" w:cs="Arial"/>
          <w:sz w:val="24"/>
          <w:szCs w:val="24"/>
        </w:rPr>
        <w:t xml:space="preserve">National Institute of Standards and Technology. (2023). </w:t>
      </w:r>
      <w:r w:rsidR="008C048A" w:rsidRPr="008C048A">
        <w:rPr>
          <w:rFonts w:ascii="Arial" w:hAnsi="Arial" w:cs="Arial"/>
          <w:i/>
          <w:iCs/>
          <w:sz w:val="24"/>
          <w:szCs w:val="24"/>
        </w:rPr>
        <w:t>AI risk management framework.</w:t>
      </w:r>
    </w:p>
    <w:p w14:paraId="062CBDFE" w14:textId="77777777" w:rsidR="008C048A" w:rsidRPr="008C048A" w:rsidRDefault="00000000">
      <w:pPr>
        <w:rPr>
          <w:rFonts w:ascii="Arial" w:hAnsi="Arial" w:cs="Arial"/>
          <w:i/>
          <w:iCs/>
          <w:sz w:val="24"/>
          <w:szCs w:val="24"/>
        </w:rPr>
      </w:pPr>
      <w:r w:rsidRPr="00DC6C00">
        <w:rPr>
          <w:rFonts w:ascii="Arial" w:hAnsi="Arial" w:cs="Arial"/>
          <w:sz w:val="24"/>
          <w:szCs w:val="24"/>
        </w:rPr>
        <w:br/>
        <w:t xml:space="preserve">OECD. (2019). </w:t>
      </w:r>
      <w:r w:rsidRPr="008C048A">
        <w:rPr>
          <w:rFonts w:ascii="Arial" w:hAnsi="Arial" w:cs="Arial"/>
          <w:i/>
          <w:iCs/>
          <w:sz w:val="24"/>
          <w:szCs w:val="24"/>
        </w:rPr>
        <w:t xml:space="preserve">Principles on </w:t>
      </w:r>
      <w:r w:rsidR="00DC6C00" w:rsidRPr="008C048A">
        <w:rPr>
          <w:rFonts w:ascii="Arial" w:hAnsi="Arial" w:cs="Arial"/>
          <w:i/>
          <w:iCs/>
          <w:sz w:val="24"/>
          <w:szCs w:val="24"/>
        </w:rPr>
        <w:t>a</w:t>
      </w:r>
      <w:r w:rsidRPr="008C048A">
        <w:rPr>
          <w:rFonts w:ascii="Arial" w:hAnsi="Arial" w:cs="Arial"/>
          <w:i/>
          <w:iCs/>
          <w:sz w:val="24"/>
          <w:szCs w:val="24"/>
        </w:rPr>
        <w:t xml:space="preserve">rtificial </w:t>
      </w:r>
      <w:r w:rsidR="00DC6C00" w:rsidRPr="008C048A">
        <w:rPr>
          <w:rFonts w:ascii="Arial" w:hAnsi="Arial" w:cs="Arial"/>
          <w:i/>
          <w:iCs/>
          <w:sz w:val="24"/>
          <w:szCs w:val="24"/>
        </w:rPr>
        <w:t>i</w:t>
      </w:r>
      <w:r w:rsidRPr="008C048A">
        <w:rPr>
          <w:rFonts w:ascii="Arial" w:hAnsi="Arial" w:cs="Arial"/>
          <w:i/>
          <w:iCs/>
          <w:sz w:val="24"/>
          <w:szCs w:val="24"/>
        </w:rPr>
        <w:t>ntelligence.</w:t>
      </w:r>
    </w:p>
    <w:p w14:paraId="62C80123" w14:textId="735B8B6B" w:rsidR="008C048A" w:rsidRDefault="00000000">
      <w:pPr>
        <w:rPr>
          <w:rFonts w:ascii="Arial" w:hAnsi="Arial" w:cs="Arial"/>
          <w:i/>
          <w:iCs/>
          <w:sz w:val="24"/>
          <w:szCs w:val="24"/>
        </w:rPr>
      </w:pPr>
      <w:r w:rsidRPr="00DC6C00">
        <w:rPr>
          <w:rFonts w:ascii="Arial" w:hAnsi="Arial" w:cs="Arial"/>
          <w:sz w:val="24"/>
          <w:szCs w:val="24"/>
        </w:rPr>
        <w:br/>
        <w:t xml:space="preserve">UNESCO. (2021). </w:t>
      </w:r>
      <w:r w:rsidRPr="00DC6C00">
        <w:rPr>
          <w:rFonts w:ascii="Arial" w:hAnsi="Arial" w:cs="Arial"/>
          <w:i/>
          <w:iCs/>
          <w:sz w:val="24"/>
          <w:szCs w:val="24"/>
        </w:rPr>
        <w:t xml:space="preserve">Recommendation on the </w:t>
      </w:r>
      <w:r w:rsidR="008C048A">
        <w:rPr>
          <w:rFonts w:ascii="Arial" w:hAnsi="Arial" w:cs="Arial"/>
          <w:i/>
          <w:iCs/>
          <w:sz w:val="24"/>
          <w:szCs w:val="24"/>
        </w:rPr>
        <w:t>e</w:t>
      </w:r>
      <w:r w:rsidRPr="00DC6C00">
        <w:rPr>
          <w:rFonts w:ascii="Arial" w:hAnsi="Arial" w:cs="Arial"/>
          <w:i/>
          <w:iCs/>
          <w:sz w:val="24"/>
          <w:szCs w:val="24"/>
        </w:rPr>
        <w:t xml:space="preserve">thics of </w:t>
      </w:r>
      <w:r w:rsidR="008C048A">
        <w:rPr>
          <w:rFonts w:ascii="Arial" w:hAnsi="Arial" w:cs="Arial"/>
          <w:i/>
          <w:iCs/>
          <w:sz w:val="24"/>
          <w:szCs w:val="24"/>
        </w:rPr>
        <w:t>a</w:t>
      </w:r>
      <w:r w:rsidRPr="00DC6C00">
        <w:rPr>
          <w:rFonts w:ascii="Arial" w:hAnsi="Arial" w:cs="Arial"/>
          <w:i/>
          <w:iCs/>
          <w:sz w:val="24"/>
          <w:szCs w:val="24"/>
        </w:rPr>
        <w:t xml:space="preserve">rtificial </w:t>
      </w:r>
      <w:r w:rsidR="008C048A">
        <w:rPr>
          <w:rFonts w:ascii="Arial" w:hAnsi="Arial" w:cs="Arial"/>
          <w:i/>
          <w:iCs/>
          <w:sz w:val="24"/>
          <w:szCs w:val="24"/>
        </w:rPr>
        <w:t>i</w:t>
      </w:r>
      <w:r w:rsidRPr="00DC6C00">
        <w:rPr>
          <w:rFonts w:ascii="Arial" w:hAnsi="Arial" w:cs="Arial"/>
          <w:i/>
          <w:iCs/>
          <w:sz w:val="24"/>
          <w:szCs w:val="24"/>
        </w:rPr>
        <w:t>ntelligence.</w:t>
      </w:r>
    </w:p>
    <w:p w14:paraId="7BF1E2A0" w14:textId="77777777" w:rsidR="00DF3457" w:rsidRDefault="00000000">
      <w:pPr>
        <w:rPr>
          <w:rFonts w:ascii="Arial" w:hAnsi="Arial" w:cs="Arial"/>
          <w:sz w:val="24"/>
          <w:szCs w:val="24"/>
        </w:rPr>
      </w:pPr>
      <w:r w:rsidRPr="00DC6C00">
        <w:rPr>
          <w:rFonts w:ascii="Arial" w:hAnsi="Arial" w:cs="Arial"/>
          <w:sz w:val="24"/>
          <w:szCs w:val="24"/>
        </w:rPr>
        <w:br/>
        <w:t xml:space="preserve">Zuboff, S. (2019). </w:t>
      </w:r>
      <w:r w:rsidRPr="00DC6C00">
        <w:rPr>
          <w:rFonts w:ascii="Arial" w:hAnsi="Arial" w:cs="Arial"/>
          <w:i/>
          <w:iCs/>
          <w:sz w:val="24"/>
          <w:szCs w:val="24"/>
        </w:rPr>
        <w:t>The age of surveillance capitalism.</w:t>
      </w:r>
      <w:r w:rsidRPr="00DC6C00">
        <w:rPr>
          <w:rFonts w:ascii="Arial" w:hAnsi="Arial" w:cs="Arial"/>
          <w:sz w:val="24"/>
          <w:szCs w:val="24"/>
        </w:rPr>
        <w:t xml:space="preserve"> </w:t>
      </w:r>
      <w:proofErr w:type="spellStart"/>
      <w:r w:rsidRPr="00DC6C00">
        <w:rPr>
          <w:rFonts w:ascii="Arial" w:hAnsi="Arial" w:cs="Arial"/>
          <w:sz w:val="24"/>
          <w:szCs w:val="24"/>
        </w:rPr>
        <w:t>PublicAffair</w:t>
      </w:r>
      <w:proofErr w:type="spellEnd"/>
    </w:p>
    <w:p w14:paraId="13054191" w14:textId="77777777" w:rsidR="00DF3457" w:rsidRDefault="00DF3457">
      <w:pPr>
        <w:rPr>
          <w:rFonts w:ascii="Arial" w:hAnsi="Arial" w:cs="Arial"/>
          <w:sz w:val="24"/>
          <w:szCs w:val="24"/>
        </w:rPr>
      </w:pPr>
    </w:p>
    <w:p w14:paraId="21917070" w14:textId="77777777" w:rsidR="00DF3457" w:rsidRDefault="00DF3457">
      <w:pPr>
        <w:rPr>
          <w:rFonts w:ascii="Arial" w:hAnsi="Arial" w:cs="Arial"/>
          <w:sz w:val="24"/>
          <w:szCs w:val="24"/>
        </w:rPr>
      </w:pPr>
    </w:p>
    <w:p w14:paraId="2168298B" w14:textId="77777777" w:rsidR="00DF3457" w:rsidRDefault="00DF3457">
      <w:pPr>
        <w:rPr>
          <w:rFonts w:ascii="Arial" w:hAnsi="Arial" w:cs="Arial"/>
          <w:sz w:val="24"/>
          <w:szCs w:val="24"/>
        </w:rPr>
      </w:pPr>
    </w:p>
    <w:p w14:paraId="29A5308D" w14:textId="77777777" w:rsidR="00DF3457" w:rsidRDefault="00DF3457">
      <w:pPr>
        <w:rPr>
          <w:rFonts w:ascii="Arial" w:hAnsi="Arial" w:cs="Arial"/>
          <w:sz w:val="24"/>
          <w:szCs w:val="24"/>
        </w:rPr>
      </w:pPr>
    </w:p>
    <w:p w14:paraId="771FC9C0" w14:textId="77777777" w:rsidR="00DF3457" w:rsidRDefault="00DF3457">
      <w:pPr>
        <w:rPr>
          <w:rFonts w:ascii="Arial" w:hAnsi="Arial" w:cs="Arial"/>
          <w:sz w:val="24"/>
          <w:szCs w:val="24"/>
        </w:rPr>
      </w:pPr>
    </w:p>
    <w:p w14:paraId="22ED24B4" w14:textId="77777777" w:rsidR="00DF3457" w:rsidRDefault="00DF3457">
      <w:pPr>
        <w:rPr>
          <w:rFonts w:ascii="Arial" w:hAnsi="Arial" w:cs="Arial"/>
          <w:sz w:val="24"/>
          <w:szCs w:val="24"/>
        </w:rPr>
      </w:pPr>
    </w:p>
    <w:p w14:paraId="39ADE1C2" w14:textId="77777777" w:rsidR="00DF3457" w:rsidRDefault="00DF3457">
      <w:pPr>
        <w:rPr>
          <w:rFonts w:ascii="Arial" w:hAnsi="Arial" w:cs="Arial"/>
          <w:sz w:val="24"/>
          <w:szCs w:val="24"/>
        </w:rPr>
      </w:pPr>
    </w:p>
    <w:p w14:paraId="397A200C" w14:textId="77777777" w:rsidR="00DF3457" w:rsidRDefault="00DF3457">
      <w:pPr>
        <w:rPr>
          <w:rFonts w:ascii="Arial" w:hAnsi="Arial" w:cs="Arial"/>
          <w:sz w:val="24"/>
          <w:szCs w:val="24"/>
        </w:rPr>
      </w:pPr>
    </w:p>
    <w:p w14:paraId="1257D213" w14:textId="5EBAA5DE" w:rsidR="00DF3457" w:rsidRDefault="00DF3457">
      <w:pPr>
        <w:rPr>
          <w:rFonts w:ascii="Arial" w:hAnsi="Arial" w:cs="Arial"/>
          <w:sz w:val="24"/>
          <w:szCs w:val="24"/>
        </w:rPr>
      </w:pPr>
      <w:r>
        <w:rPr>
          <w:rFonts w:ascii="Arial" w:hAnsi="Arial" w:cs="Arial"/>
          <w:sz w:val="24"/>
          <w:szCs w:val="24"/>
        </w:rPr>
        <w:t>Appendix:</w:t>
      </w:r>
    </w:p>
    <w:p w14:paraId="28509EA7" w14:textId="51311ED0" w:rsidR="00DF3457" w:rsidRPr="00DC6C00" w:rsidRDefault="00DF3457">
      <w:pPr>
        <w:rPr>
          <w:rFonts w:ascii="Arial" w:hAnsi="Arial" w:cs="Arial"/>
          <w:sz w:val="24"/>
          <w:szCs w:val="24"/>
        </w:rPr>
      </w:pPr>
      <w:r>
        <w:rPr>
          <w:rFonts w:ascii="Arial" w:hAnsi="Arial" w:cs="Arial"/>
          <w:noProof/>
          <w:sz w:val="24"/>
          <w:szCs w:val="24"/>
        </w:rPr>
        <w:lastRenderedPageBreak/>
        <w:drawing>
          <wp:inline distT="0" distB="0" distL="0" distR="0" wp14:anchorId="1D276AEB" wp14:editId="0C3D6BF4">
            <wp:extent cx="3869872" cy="5159829"/>
            <wp:effectExtent l="0" t="0" r="0" b="3175"/>
            <wp:docPr id="15934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7538" name="Picture 159347538"/>
                    <pic:cNvPicPr/>
                  </pic:nvPicPr>
                  <pic:blipFill>
                    <a:blip r:embed="rId6"/>
                    <a:stretch>
                      <a:fillRect/>
                    </a:stretch>
                  </pic:blipFill>
                  <pic:spPr>
                    <a:xfrm>
                      <a:off x="0" y="0"/>
                      <a:ext cx="3875349" cy="5167132"/>
                    </a:xfrm>
                    <a:prstGeom prst="rect">
                      <a:avLst/>
                    </a:prstGeom>
                  </pic:spPr>
                </pic:pic>
              </a:graphicData>
            </a:graphic>
          </wp:inline>
        </w:drawing>
      </w:r>
    </w:p>
    <w:sectPr w:rsidR="00DF3457" w:rsidRPr="00DC6C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047321">
    <w:abstractNumId w:val="8"/>
  </w:num>
  <w:num w:numId="2" w16cid:durableId="795490781">
    <w:abstractNumId w:val="6"/>
  </w:num>
  <w:num w:numId="3" w16cid:durableId="486946371">
    <w:abstractNumId w:val="5"/>
  </w:num>
  <w:num w:numId="4" w16cid:durableId="1486703464">
    <w:abstractNumId w:val="4"/>
  </w:num>
  <w:num w:numId="5" w16cid:durableId="1374312178">
    <w:abstractNumId w:val="7"/>
  </w:num>
  <w:num w:numId="6" w16cid:durableId="1379284927">
    <w:abstractNumId w:val="3"/>
  </w:num>
  <w:num w:numId="7" w16cid:durableId="493642540">
    <w:abstractNumId w:val="2"/>
  </w:num>
  <w:num w:numId="8" w16cid:durableId="323093225">
    <w:abstractNumId w:val="1"/>
  </w:num>
  <w:num w:numId="9" w16cid:durableId="109010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0B4"/>
    <w:rsid w:val="0015074B"/>
    <w:rsid w:val="0017022E"/>
    <w:rsid w:val="00171252"/>
    <w:rsid w:val="0029639D"/>
    <w:rsid w:val="00326F90"/>
    <w:rsid w:val="0079186B"/>
    <w:rsid w:val="008C048A"/>
    <w:rsid w:val="00AA1D8D"/>
    <w:rsid w:val="00B47730"/>
    <w:rsid w:val="00BF35DE"/>
    <w:rsid w:val="00C76A60"/>
    <w:rsid w:val="00CB0664"/>
    <w:rsid w:val="00CD59F6"/>
    <w:rsid w:val="00D87758"/>
    <w:rsid w:val="00DC6C00"/>
    <w:rsid w:val="00DF3457"/>
    <w:rsid w:val="00E67979"/>
    <w:rsid w:val="00EB26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FE930"/>
  <w14:defaultImageDpi w14:val="300"/>
  <w15:docId w15:val="{BA241BA2-449F-4161-BE04-C2459EF1A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D59F6"/>
    <w:rPr>
      <w:color w:val="0000FF" w:themeColor="hyperlink"/>
      <w:u w:val="single"/>
    </w:rPr>
  </w:style>
  <w:style w:type="character" w:styleId="UnresolvedMention">
    <w:name w:val="Unresolved Mention"/>
    <w:basedOn w:val="DefaultParagraphFont"/>
    <w:uiPriority w:val="99"/>
    <w:semiHidden/>
    <w:unhideWhenUsed/>
    <w:rsid w:val="00CD59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934</Words>
  <Characters>5329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C E R</cp:lastModifiedBy>
  <cp:revision>5</cp:revision>
  <dcterms:created xsi:type="dcterms:W3CDTF">2026-01-17T04:43:00Z</dcterms:created>
  <dcterms:modified xsi:type="dcterms:W3CDTF">2026-01-17T06:16:00Z</dcterms:modified>
  <cp:category/>
</cp:coreProperties>
</file>