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4 — Rural Credit and Agriculture Finance</w:t>
      </w:r>
    </w:p>
    <w:p>
      <w:pPr/>
    </w:p>
    <w:p>
      <w:pPr/>
      <w:r>
        <w:rPr>
          <w:sz w:val="22"/>
        </w:rPr>
        <w:t>"Farm finance is concerned with the acquisition and management of capital in the farm business."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Finance: Borrowed funds only.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Credit: Combination of OWNED funds + BORROWED funds.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54% of India's population is dependent on agriculture — making agricultural finance critical.</w:t>
      </w:r>
    </w:p>
    <w:p>
      <w:pPr/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Levels: </w:t>
      </w:r>
      <w:r>
        <w:rPr>
          <w:sz w:val="22"/>
        </w:rPr>
        <w:t>Agricultural Finance exists at two levels: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Macro Finance: Deals with sources of funds for agriculture as a WHOLE in the economy.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Micro Finance: Deals with financial management of INDIVIDUAL farm businesses.</w:t>
      </w:r>
    </w:p>
    <w:p>
      <w:pPr/>
      <w:r>
        <w:rPr>
          <w:color w:val="C55A11"/>
          <w:sz w:val="18"/>
        </w:rPr>
        <w:t xml:space="preserve">  ◆  </w:t>
      </w:r>
      <w:r>
        <w:rPr>
          <w:sz w:val="20"/>
        </w:rPr>
        <w:t>Credit is needed for: new technology adoption, machinery purchase, land development, and input procurement.</w:t>
      </w:r>
    </w:p>
    <w:p>
      <w:pPr/>
      <w:r>
        <w:rPr>
          <w:b/>
          <w:color w:val="2E74B5"/>
          <w:sz w:val="26"/>
        </w:rPr>
        <w:t xml:space="preserve">  4.1  Classification of Credit</w:t>
      </w:r>
    </w:p>
    <w:p>
      <w:pPr/>
    </w:p>
    <w:p>
      <w:pPr/>
    </w:p>
    <w:p>
      <w:pPr/>
      <w:r>
        <w:rPr>
          <w:b/>
          <w:color w:val="2E74B5"/>
          <w:sz w:val="26"/>
        </w:rPr>
        <w:t xml:space="preserve">  4.2  Cooperative Movement in India — Historical Stages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