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F497D"/>
          <w:sz w:val="34"/>
        </w:rPr>
        <w:t>Chapter 9 — Depreciation</w:t>
      </w:r>
    </w:p>
    <w:p>
      <w:pPr/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Junk Value (Scrap/Salvage Value): The remaining value of an asset at the END of its useful life when it is completely worn out.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Book Value: Value obtained by deducting annual depreciation from the original cost each year.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Depreciation is included in FIXED COSTS in farm budgeting.</w:t>
      </w:r>
    </w:p>
    <w:p>
      <w:pPr/>
      <w:r>
        <w:rPr>
          <w:b/>
          <w:color w:val="2E74B5"/>
          <w:sz w:val="26"/>
        </w:rPr>
        <w:t xml:space="preserve">  9.1  Methods of Depreciation — Detailed Comparison</w:t>
      </w:r>
    </w:p>
    <w:p>
      <w:pPr/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