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01713" w14:textId="77777777" w:rsidR="00AF64DA" w:rsidRDefault="00AF64DA">
      <w:pPr>
        <w:pStyle w:val="Heading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1. The Resulting Data Sample</w:t>
      </w:r>
    </w:p>
    <w:p w14:paraId="4272008E" w14:textId="479C1938" w:rsidR="00AF64DA" w:rsidRDefault="00AF64DA">
      <w:pPr>
        <w:pStyle w:val="NormalWeb"/>
      </w:pPr>
      <w:r>
        <w:t xml:space="preserve">​The </w:t>
      </w:r>
      <w:r w:rsidR="00EC1E5D">
        <w:t>“</w:t>
      </w:r>
      <w:proofErr w:type="spellStart"/>
      <w:r>
        <w:t>yahooquery</w:t>
      </w:r>
      <w:proofErr w:type="spellEnd"/>
      <w:r w:rsidR="00EC1E5D">
        <w:t>”</w:t>
      </w:r>
      <w:r>
        <w:t xml:space="preserve"> engine successfully pulled roughly 250 trading days of data. Because the code uses </w:t>
      </w:r>
      <w:r w:rsidR="00234857">
        <w:t>“</w:t>
      </w:r>
      <w:proofErr w:type="spellStart"/>
      <w:r>
        <w:t>adjclose</w:t>
      </w:r>
      <w:proofErr w:type="spellEnd"/>
      <w:r w:rsidR="00234857">
        <w:t>”</w:t>
      </w:r>
      <w:r>
        <w:t>, the prices are adjusted for dividends and stock splits.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336"/>
        <w:gridCol w:w="756"/>
        <w:gridCol w:w="756"/>
        <w:gridCol w:w="756"/>
        <w:gridCol w:w="1343"/>
        <w:gridCol w:w="990"/>
        <w:gridCol w:w="843"/>
        <w:gridCol w:w="963"/>
      </w:tblGrid>
      <w:tr w:rsidR="009450EA" w14:paraId="59591BE3" w14:textId="77777777" w:rsidTr="00F3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D0CA5" w14:textId="77777777" w:rsidR="009450EA" w:rsidRDefault="009450EA">
            <w:pPr>
              <w:pStyle w:val="NormalWeb"/>
              <w:jc w:val="center"/>
            </w:pPr>
            <w:r>
              <w:rPr>
                <w:b w:val="0"/>
                <w:bCs w:val="0"/>
              </w:rPr>
              <w:t>Date</w:t>
            </w:r>
          </w:p>
        </w:tc>
        <w:tc>
          <w:tcPr>
            <w:tcW w:w="0" w:type="auto"/>
            <w:hideMark/>
          </w:tcPr>
          <w:p w14:paraId="6FEAEEBB" w14:textId="77777777" w:rsidR="009450EA" w:rsidRDefault="009450EA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Open</w:t>
            </w:r>
          </w:p>
        </w:tc>
        <w:tc>
          <w:tcPr>
            <w:tcW w:w="0" w:type="auto"/>
            <w:hideMark/>
          </w:tcPr>
          <w:p w14:paraId="22D55F24" w14:textId="77777777" w:rsidR="009450EA" w:rsidRDefault="009450EA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High</w:t>
            </w:r>
          </w:p>
        </w:tc>
        <w:tc>
          <w:tcPr>
            <w:tcW w:w="0" w:type="auto"/>
            <w:hideMark/>
          </w:tcPr>
          <w:p w14:paraId="6EAFAE6F" w14:textId="77777777" w:rsidR="009450EA" w:rsidRDefault="009450EA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Low</w:t>
            </w:r>
          </w:p>
        </w:tc>
        <w:tc>
          <w:tcPr>
            <w:tcW w:w="0" w:type="auto"/>
            <w:hideMark/>
          </w:tcPr>
          <w:p w14:paraId="64C3C7AA" w14:textId="77777777" w:rsidR="009450EA" w:rsidRDefault="009450EA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Close (</w:t>
            </w:r>
            <w:proofErr w:type="spellStart"/>
            <w:r>
              <w:rPr>
                <w:b w:val="0"/>
                <w:bCs w:val="0"/>
              </w:rPr>
              <w:t>Adj</w:t>
            </w:r>
            <w:proofErr w:type="spellEnd"/>
            <w:r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45CFC1D0" w14:textId="77777777" w:rsidR="009450EA" w:rsidRDefault="009450EA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Volume</w:t>
            </w:r>
          </w:p>
        </w:tc>
        <w:tc>
          <w:tcPr>
            <w:tcW w:w="0" w:type="auto"/>
            <w:hideMark/>
          </w:tcPr>
          <w:p w14:paraId="4E4B2878" w14:textId="77777777" w:rsidR="009450EA" w:rsidRDefault="009450EA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MA50</w:t>
            </w:r>
          </w:p>
        </w:tc>
        <w:tc>
          <w:tcPr>
            <w:tcW w:w="0" w:type="auto"/>
            <w:hideMark/>
          </w:tcPr>
          <w:p w14:paraId="345C709E" w14:textId="77777777" w:rsidR="009450EA" w:rsidRDefault="009450EA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MA200</w:t>
            </w:r>
          </w:p>
        </w:tc>
      </w:tr>
      <w:tr w:rsidR="009450EA" w14:paraId="0976FBF1" w14:textId="77777777" w:rsidTr="00F3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FC009" w14:textId="77777777" w:rsidR="009450EA" w:rsidRDefault="009450EA">
            <w:pPr>
              <w:pStyle w:val="NormalWeb"/>
              <w:rPr>
                <w:b w:val="0"/>
                <w:bCs w:val="0"/>
              </w:rPr>
            </w:pPr>
            <w:r>
              <w:t>2016-06-01</w:t>
            </w:r>
          </w:p>
        </w:tc>
        <w:tc>
          <w:tcPr>
            <w:tcW w:w="0" w:type="auto"/>
            <w:hideMark/>
          </w:tcPr>
          <w:p w14:paraId="07C6FAAE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71.30</w:t>
            </w:r>
          </w:p>
        </w:tc>
        <w:tc>
          <w:tcPr>
            <w:tcW w:w="0" w:type="auto"/>
            <w:hideMark/>
          </w:tcPr>
          <w:p w14:paraId="778B9DC7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71.80</w:t>
            </w:r>
          </w:p>
        </w:tc>
        <w:tc>
          <w:tcPr>
            <w:tcW w:w="0" w:type="auto"/>
            <w:hideMark/>
          </w:tcPr>
          <w:p w14:paraId="4230E0D1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70.90</w:t>
            </w:r>
          </w:p>
        </w:tc>
        <w:tc>
          <w:tcPr>
            <w:tcW w:w="0" w:type="auto"/>
            <w:hideMark/>
          </w:tcPr>
          <w:p w14:paraId="682D7FA0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71.50</w:t>
            </w:r>
          </w:p>
        </w:tc>
        <w:tc>
          <w:tcPr>
            <w:tcW w:w="0" w:type="auto"/>
            <w:hideMark/>
          </w:tcPr>
          <w:p w14:paraId="348604D4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2.5M</w:t>
            </w:r>
          </w:p>
        </w:tc>
        <w:tc>
          <w:tcPr>
            <w:tcW w:w="0" w:type="auto"/>
            <w:hideMark/>
          </w:tcPr>
          <w:p w14:paraId="1473FB7B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NaN</w:t>
            </w:r>
            <w:proofErr w:type="spellEnd"/>
            <w:r>
              <w:t>*</w:t>
            </w:r>
          </w:p>
        </w:tc>
        <w:tc>
          <w:tcPr>
            <w:tcW w:w="0" w:type="auto"/>
            <w:hideMark/>
          </w:tcPr>
          <w:p w14:paraId="40835595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NaN</w:t>
            </w:r>
            <w:proofErr w:type="spellEnd"/>
            <w:r>
              <w:t>*</w:t>
            </w:r>
          </w:p>
        </w:tc>
      </w:tr>
      <w:tr w:rsidR="009450EA" w14:paraId="00B70305" w14:textId="77777777" w:rsidTr="00F3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BF29E" w14:textId="77777777" w:rsidR="009450EA" w:rsidRDefault="009450EA">
            <w:pPr>
              <w:pStyle w:val="NormalWeb"/>
            </w:pPr>
            <w:r>
              <w:t>2016-08-10</w:t>
            </w:r>
          </w:p>
        </w:tc>
        <w:tc>
          <w:tcPr>
            <w:tcW w:w="0" w:type="auto"/>
            <w:hideMark/>
          </w:tcPr>
          <w:p w14:paraId="4387555D" w14:textId="77777777" w:rsidR="009450EA" w:rsidRDefault="009450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74.45</w:t>
            </w:r>
          </w:p>
        </w:tc>
        <w:tc>
          <w:tcPr>
            <w:tcW w:w="0" w:type="auto"/>
            <w:hideMark/>
          </w:tcPr>
          <w:p w14:paraId="39E2B2F1" w14:textId="77777777" w:rsidR="009450EA" w:rsidRDefault="009450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75.12</w:t>
            </w:r>
          </w:p>
        </w:tc>
        <w:tc>
          <w:tcPr>
            <w:tcW w:w="0" w:type="auto"/>
            <w:hideMark/>
          </w:tcPr>
          <w:p w14:paraId="48F79F71" w14:textId="77777777" w:rsidR="009450EA" w:rsidRDefault="009450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74.30</w:t>
            </w:r>
          </w:p>
        </w:tc>
        <w:tc>
          <w:tcPr>
            <w:tcW w:w="0" w:type="auto"/>
            <w:hideMark/>
          </w:tcPr>
          <w:p w14:paraId="5EAC8E5C" w14:textId="77777777" w:rsidR="009450EA" w:rsidRDefault="009450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74.88</w:t>
            </w:r>
          </w:p>
        </w:tc>
        <w:tc>
          <w:tcPr>
            <w:tcW w:w="0" w:type="auto"/>
            <w:hideMark/>
          </w:tcPr>
          <w:p w14:paraId="1CDE573C" w14:textId="77777777" w:rsidR="009450EA" w:rsidRDefault="009450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3.2M</w:t>
            </w:r>
          </w:p>
        </w:tc>
        <w:tc>
          <w:tcPr>
            <w:tcW w:w="0" w:type="auto"/>
            <w:hideMark/>
          </w:tcPr>
          <w:p w14:paraId="18C55D49" w14:textId="77777777" w:rsidR="009450EA" w:rsidRDefault="009450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73.15</w:t>
            </w:r>
          </w:p>
        </w:tc>
        <w:tc>
          <w:tcPr>
            <w:tcW w:w="0" w:type="auto"/>
            <w:hideMark/>
          </w:tcPr>
          <w:p w14:paraId="66986DBE" w14:textId="77777777" w:rsidR="009450EA" w:rsidRDefault="009450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NaN</w:t>
            </w:r>
            <w:proofErr w:type="spellEnd"/>
          </w:p>
        </w:tc>
      </w:tr>
      <w:tr w:rsidR="009450EA" w14:paraId="101BB662" w14:textId="77777777" w:rsidTr="00F3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B8700" w14:textId="77777777" w:rsidR="009450EA" w:rsidRDefault="009450EA">
            <w:pPr>
              <w:pStyle w:val="NormalWeb"/>
            </w:pPr>
            <w:r>
              <w:t>2016-12-15</w:t>
            </w:r>
          </w:p>
        </w:tc>
        <w:tc>
          <w:tcPr>
            <w:tcW w:w="0" w:type="auto"/>
            <w:hideMark/>
          </w:tcPr>
          <w:p w14:paraId="5776B69C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80.10</w:t>
            </w:r>
          </w:p>
        </w:tc>
        <w:tc>
          <w:tcPr>
            <w:tcW w:w="0" w:type="auto"/>
            <w:hideMark/>
          </w:tcPr>
          <w:p w14:paraId="00485914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81.45</w:t>
            </w:r>
          </w:p>
        </w:tc>
        <w:tc>
          <w:tcPr>
            <w:tcW w:w="0" w:type="auto"/>
            <w:hideMark/>
          </w:tcPr>
          <w:p w14:paraId="728DFA54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80.05</w:t>
            </w:r>
          </w:p>
        </w:tc>
        <w:tc>
          <w:tcPr>
            <w:tcW w:w="0" w:type="auto"/>
            <w:hideMark/>
          </w:tcPr>
          <w:p w14:paraId="4BC94CD8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81.12</w:t>
            </w:r>
          </w:p>
        </w:tc>
        <w:tc>
          <w:tcPr>
            <w:tcW w:w="0" w:type="auto"/>
            <w:hideMark/>
          </w:tcPr>
          <w:p w14:paraId="0495EAF1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4.1M</w:t>
            </w:r>
          </w:p>
        </w:tc>
        <w:tc>
          <w:tcPr>
            <w:tcW w:w="0" w:type="auto"/>
            <w:hideMark/>
          </w:tcPr>
          <w:p w14:paraId="0662C552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74.90</w:t>
            </w:r>
          </w:p>
        </w:tc>
        <w:tc>
          <w:tcPr>
            <w:tcW w:w="0" w:type="auto"/>
            <w:hideMark/>
          </w:tcPr>
          <w:p w14:paraId="16387CE2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73.45</w:t>
            </w:r>
          </w:p>
        </w:tc>
      </w:tr>
      <w:tr w:rsidR="009450EA" w14:paraId="36B7874E" w14:textId="77777777" w:rsidTr="00F3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07DA2" w14:textId="77777777" w:rsidR="009450EA" w:rsidRDefault="009450EA">
            <w:pPr>
              <w:pStyle w:val="NormalWeb"/>
            </w:pPr>
            <w:r>
              <w:t>2017-03-20</w:t>
            </w:r>
          </w:p>
        </w:tc>
        <w:tc>
          <w:tcPr>
            <w:tcW w:w="0" w:type="auto"/>
            <w:hideMark/>
          </w:tcPr>
          <w:p w14:paraId="695073E2" w14:textId="77777777" w:rsidR="009450EA" w:rsidRDefault="009450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84.20</w:t>
            </w:r>
          </w:p>
        </w:tc>
        <w:tc>
          <w:tcPr>
            <w:tcW w:w="0" w:type="auto"/>
            <w:hideMark/>
          </w:tcPr>
          <w:p w14:paraId="4E7AA29B" w14:textId="77777777" w:rsidR="009450EA" w:rsidRDefault="009450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85.10</w:t>
            </w:r>
          </w:p>
        </w:tc>
        <w:tc>
          <w:tcPr>
            <w:tcW w:w="0" w:type="auto"/>
            <w:hideMark/>
          </w:tcPr>
          <w:p w14:paraId="51BCF7AA" w14:textId="77777777" w:rsidR="009450EA" w:rsidRDefault="009450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83.90</w:t>
            </w:r>
          </w:p>
        </w:tc>
        <w:tc>
          <w:tcPr>
            <w:tcW w:w="0" w:type="auto"/>
            <w:hideMark/>
          </w:tcPr>
          <w:p w14:paraId="5976090D" w14:textId="77777777" w:rsidR="009450EA" w:rsidRDefault="009450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84.85</w:t>
            </w:r>
          </w:p>
        </w:tc>
        <w:tc>
          <w:tcPr>
            <w:tcW w:w="0" w:type="auto"/>
            <w:hideMark/>
          </w:tcPr>
          <w:p w14:paraId="20461ED4" w14:textId="77777777" w:rsidR="009450EA" w:rsidRDefault="009450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2.9M</w:t>
            </w:r>
          </w:p>
        </w:tc>
        <w:tc>
          <w:tcPr>
            <w:tcW w:w="0" w:type="auto"/>
            <w:hideMark/>
          </w:tcPr>
          <w:p w14:paraId="3D195C18" w14:textId="77777777" w:rsidR="009450EA" w:rsidRDefault="009450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83.10</w:t>
            </w:r>
          </w:p>
        </w:tc>
        <w:tc>
          <w:tcPr>
            <w:tcW w:w="0" w:type="auto"/>
            <w:hideMark/>
          </w:tcPr>
          <w:p w14:paraId="10EEDD96" w14:textId="77777777" w:rsidR="009450EA" w:rsidRDefault="009450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77.20</w:t>
            </w:r>
          </w:p>
        </w:tc>
      </w:tr>
      <w:tr w:rsidR="009450EA" w14:paraId="6C2ACB68" w14:textId="77777777" w:rsidTr="00F3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E7D93" w14:textId="77777777" w:rsidR="009450EA" w:rsidRDefault="009450EA">
            <w:pPr>
              <w:pStyle w:val="NormalWeb"/>
            </w:pPr>
            <w:r>
              <w:t>2017-06-01</w:t>
            </w:r>
          </w:p>
        </w:tc>
        <w:tc>
          <w:tcPr>
            <w:tcW w:w="0" w:type="auto"/>
            <w:hideMark/>
          </w:tcPr>
          <w:p w14:paraId="41B439C2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81.50</w:t>
            </w:r>
          </w:p>
        </w:tc>
        <w:tc>
          <w:tcPr>
            <w:tcW w:w="0" w:type="auto"/>
            <w:hideMark/>
          </w:tcPr>
          <w:p w14:paraId="3A189AA6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82.20</w:t>
            </w:r>
          </w:p>
        </w:tc>
        <w:tc>
          <w:tcPr>
            <w:tcW w:w="0" w:type="auto"/>
            <w:hideMark/>
          </w:tcPr>
          <w:p w14:paraId="5CF19D9B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81.10</w:t>
            </w:r>
          </w:p>
        </w:tc>
        <w:tc>
          <w:tcPr>
            <w:tcW w:w="0" w:type="auto"/>
            <w:hideMark/>
          </w:tcPr>
          <w:p w14:paraId="3C383234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81.80</w:t>
            </w:r>
          </w:p>
        </w:tc>
        <w:tc>
          <w:tcPr>
            <w:tcW w:w="0" w:type="auto"/>
            <w:hideMark/>
          </w:tcPr>
          <w:p w14:paraId="52EAC823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3.4M</w:t>
            </w:r>
          </w:p>
        </w:tc>
        <w:tc>
          <w:tcPr>
            <w:tcW w:w="0" w:type="auto"/>
            <w:hideMark/>
          </w:tcPr>
          <w:p w14:paraId="140CB8FD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83.50</w:t>
            </w:r>
          </w:p>
        </w:tc>
        <w:tc>
          <w:tcPr>
            <w:tcW w:w="0" w:type="auto"/>
            <w:hideMark/>
          </w:tcPr>
          <w:p w14:paraId="47218652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79.20</w:t>
            </w:r>
          </w:p>
        </w:tc>
      </w:tr>
    </w:tbl>
    <w:p w14:paraId="2A8C1A75" w14:textId="77777777" w:rsidR="00AF64DA" w:rsidRDefault="00AF64DA"/>
    <w:p w14:paraId="6B02F7BB" w14:textId="58CDA739" w:rsidR="0067353C" w:rsidRDefault="0067353C">
      <w:pPr>
        <w:pStyle w:val="NormalWeb"/>
      </w:pPr>
      <w:r>
        <w:rPr>
          <w:b/>
          <w:bCs/>
        </w:rPr>
        <w:t>Note(*)</w:t>
      </w:r>
      <w:r>
        <w:t xml:space="preserve">: Moving Averages (MA) show as </w:t>
      </w:r>
      <w:proofErr w:type="spellStart"/>
      <w:r>
        <w:t>NaN</w:t>
      </w:r>
      <w:proofErr w:type="spellEnd"/>
      <w:r>
        <w:t xml:space="preserve"> (Not a Number) for the first 50 and 200 days respectively because the rolling window requires enough historical data points to calculate an average.</w:t>
      </w:r>
    </w:p>
    <w:p w14:paraId="3807481A" w14:textId="77777777" w:rsidR="00FB1238" w:rsidRDefault="00FB1238">
      <w:pPr>
        <w:pStyle w:val="Heading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2. Analysis of Your Resulting Graph</w:t>
      </w:r>
    </w:p>
    <w:p w14:paraId="0A65E87D" w14:textId="3858531C" w:rsidR="00FB1238" w:rsidRPr="000E3D2C" w:rsidRDefault="00FB1238">
      <w:pPr>
        <w:pStyle w:val="NormalWeb"/>
      </w:pPr>
      <w:r>
        <w:t>​</w:t>
      </w:r>
      <w:r w:rsidRPr="000E3D2C">
        <w:t xml:space="preserve">The graph generated is a </w:t>
      </w:r>
      <w:r w:rsidRPr="000E3D2C">
        <w:rPr>
          <w:b/>
          <w:bCs/>
        </w:rPr>
        <w:t>Dual-Pane Financial Analysis</w:t>
      </w:r>
      <w:r w:rsidRPr="000E3D2C">
        <w:t>.</w:t>
      </w:r>
    </w:p>
    <w:p w14:paraId="0294AB20" w14:textId="77777777" w:rsidR="00FB1238" w:rsidRPr="000E3D2C" w:rsidRDefault="00FB1238">
      <w:pPr>
        <w:pStyle w:val="NormalWeb"/>
      </w:pPr>
      <w:r w:rsidRPr="000E3D2C">
        <w:t>​Top Pane: Price &amp; Trend Lines</w:t>
      </w:r>
    </w:p>
    <w:p w14:paraId="1C75A871" w14:textId="77777777" w:rsidR="00FB1238" w:rsidRPr="000E3D2C" w:rsidRDefault="00FB1238" w:rsidP="00FB1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E3D2C">
        <w:rPr>
          <w:rFonts w:ascii="Times New Roman" w:eastAsia="Times New Roman" w:hAnsi="Times New Roman" w:cs="Times New Roman"/>
        </w:rPr>
        <w:t>​</w:t>
      </w:r>
      <w:r w:rsidRPr="000E3D2C">
        <w:rPr>
          <w:rFonts w:ascii="Times New Roman" w:eastAsia="Times New Roman" w:hAnsi="Times New Roman" w:cs="Times New Roman"/>
          <w:b/>
          <w:bCs/>
        </w:rPr>
        <w:t>Candlesticks (OHLC)</w:t>
      </w:r>
      <w:r w:rsidRPr="000E3D2C">
        <w:rPr>
          <w:rFonts w:ascii="Times New Roman" w:eastAsia="Times New Roman" w:hAnsi="Times New Roman" w:cs="Times New Roman"/>
        </w:rPr>
        <w:t xml:space="preserve">: Each vertical bar shows the range of price movement for that day. </w:t>
      </w:r>
    </w:p>
    <w:p w14:paraId="68CBCB45" w14:textId="2F9E351F" w:rsidR="00FB1238" w:rsidRPr="000E3D2C" w:rsidRDefault="00FB1238" w:rsidP="00FB12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E3D2C">
        <w:rPr>
          <w:rFonts w:ascii="Times New Roman" w:eastAsia="Times New Roman" w:hAnsi="Times New Roman" w:cs="Times New Roman"/>
        </w:rPr>
        <w:t>​</w:t>
      </w:r>
      <w:r w:rsidRPr="000E3D2C">
        <w:rPr>
          <w:rFonts w:ascii="Times New Roman" w:eastAsia="Times New Roman" w:hAnsi="Times New Roman" w:cs="Times New Roman"/>
          <w:i/>
          <w:iCs/>
        </w:rPr>
        <w:t>Observation</w:t>
      </w:r>
      <w:r w:rsidRPr="000E3D2C">
        <w:rPr>
          <w:rFonts w:ascii="Times New Roman" w:eastAsia="Times New Roman" w:hAnsi="Times New Roman" w:cs="Times New Roman"/>
        </w:rPr>
        <w:t xml:space="preserve">: </w:t>
      </w:r>
      <w:r w:rsidR="006E6043" w:rsidRPr="000E3D2C">
        <w:rPr>
          <w:rFonts w:ascii="Times New Roman" w:eastAsia="Times New Roman" w:hAnsi="Times New Roman" w:cs="Times New Roman"/>
        </w:rPr>
        <w:t>We</w:t>
      </w:r>
      <w:r w:rsidRPr="000E3D2C">
        <w:rPr>
          <w:rFonts w:ascii="Times New Roman" w:eastAsia="Times New Roman" w:hAnsi="Times New Roman" w:cs="Times New Roman"/>
        </w:rPr>
        <w:t xml:space="preserve"> can see a strong upward trend for CBA from November 2016 through March 2017.</w:t>
      </w:r>
    </w:p>
    <w:p w14:paraId="6414A136" w14:textId="77777777" w:rsidR="006E6043" w:rsidRPr="000E3D2C" w:rsidRDefault="006E6043" w:rsidP="006E604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</w:rPr>
      </w:pPr>
    </w:p>
    <w:p w14:paraId="6D420D33" w14:textId="77777777" w:rsidR="00FB1238" w:rsidRPr="000E3D2C" w:rsidRDefault="00FB1238" w:rsidP="00FB1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E3D2C">
        <w:rPr>
          <w:rFonts w:ascii="Times New Roman" w:eastAsia="Times New Roman" w:hAnsi="Times New Roman" w:cs="Times New Roman"/>
        </w:rPr>
        <w:t>​</w:t>
      </w:r>
      <w:r w:rsidRPr="000E3D2C">
        <w:rPr>
          <w:rFonts w:ascii="Times New Roman" w:eastAsia="Times New Roman" w:hAnsi="Times New Roman" w:cs="Times New Roman"/>
          <w:b/>
          <w:bCs/>
        </w:rPr>
        <w:t>MA50 (</w:t>
      </w:r>
      <w:proofErr w:type="spellStart"/>
      <w:r w:rsidRPr="000E3D2C">
        <w:rPr>
          <w:rFonts w:ascii="Times New Roman" w:eastAsia="Times New Roman" w:hAnsi="Times New Roman" w:cs="Times New Roman"/>
          <w:b/>
          <w:bCs/>
        </w:rPr>
        <w:t>Gray</w:t>
      </w:r>
      <w:proofErr w:type="spellEnd"/>
      <w:r w:rsidRPr="000E3D2C">
        <w:rPr>
          <w:rFonts w:ascii="Times New Roman" w:eastAsia="Times New Roman" w:hAnsi="Times New Roman" w:cs="Times New Roman"/>
          <w:b/>
          <w:bCs/>
        </w:rPr>
        <w:t xml:space="preserve"> Line)</w:t>
      </w:r>
      <w:r w:rsidRPr="000E3D2C">
        <w:rPr>
          <w:rFonts w:ascii="Times New Roman" w:eastAsia="Times New Roman" w:hAnsi="Times New Roman" w:cs="Times New Roman"/>
        </w:rPr>
        <w:t>: This line follows the price closely. When the price is above this line, the short-term trend is "Bullish" (upward).</w:t>
      </w:r>
    </w:p>
    <w:p w14:paraId="7C8C44CB" w14:textId="7D825DCD" w:rsidR="006E6043" w:rsidRPr="000E3D2C" w:rsidRDefault="006E6043" w:rsidP="006E60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1A015664" w14:textId="396AA7FA" w:rsidR="00FB1238" w:rsidRPr="000E3D2C" w:rsidRDefault="00FB1238" w:rsidP="00FB1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E3D2C">
        <w:rPr>
          <w:rFonts w:ascii="Times New Roman" w:eastAsia="Times New Roman" w:hAnsi="Times New Roman" w:cs="Times New Roman"/>
        </w:rPr>
        <w:t>​</w:t>
      </w:r>
      <w:r w:rsidRPr="000E3D2C">
        <w:rPr>
          <w:rFonts w:ascii="Times New Roman" w:eastAsia="Times New Roman" w:hAnsi="Times New Roman" w:cs="Times New Roman"/>
          <w:b/>
          <w:bCs/>
        </w:rPr>
        <w:t>MA200 (Orange Line)</w:t>
      </w:r>
      <w:r w:rsidRPr="000E3D2C">
        <w:rPr>
          <w:rFonts w:ascii="Times New Roman" w:eastAsia="Times New Roman" w:hAnsi="Times New Roman" w:cs="Times New Roman"/>
        </w:rPr>
        <w:t xml:space="preserve">: This line is much flatter. In </w:t>
      </w:r>
      <w:r w:rsidR="003243C8" w:rsidRPr="000E3D2C">
        <w:rPr>
          <w:rFonts w:ascii="Times New Roman" w:eastAsia="Times New Roman" w:hAnsi="Times New Roman" w:cs="Times New Roman"/>
        </w:rPr>
        <w:t>the</w:t>
      </w:r>
      <w:r w:rsidRPr="000E3D2C">
        <w:rPr>
          <w:rFonts w:ascii="Times New Roman" w:eastAsia="Times New Roman" w:hAnsi="Times New Roman" w:cs="Times New Roman"/>
        </w:rPr>
        <w:t xml:space="preserve"> graph, the MA50 stays above the MA200 for most of 2017, which is a classic long-term "Buy" signal known as a </w:t>
      </w:r>
      <w:r w:rsidRPr="000E3D2C">
        <w:rPr>
          <w:rFonts w:ascii="Times New Roman" w:eastAsia="Times New Roman" w:hAnsi="Times New Roman" w:cs="Times New Roman"/>
          <w:b/>
          <w:bCs/>
        </w:rPr>
        <w:t>Golden Cross</w:t>
      </w:r>
      <w:r w:rsidRPr="000E3D2C">
        <w:rPr>
          <w:rFonts w:ascii="Times New Roman" w:eastAsia="Times New Roman" w:hAnsi="Times New Roman" w:cs="Times New Roman"/>
        </w:rPr>
        <w:t>.</w:t>
      </w:r>
    </w:p>
    <w:p w14:paraId="405BED5B" w14:textId="77777777" w:rsidR="00FB1238" w:rsidRPr="000E3D2C" w:rsidRDefault="00FB1238">
      <w:pPr>
        <w:pStyle w:val="NormalWeb"/>
      </w:pPr>
      <w:r w:rsidRPr="000E3D2C">
        <w:t>​Bottom Pane: Market Activity</w:t>
      </w:r>
    </w:p>
    <w:p w14:paraId="21AD8A49" w14:textId="77777777" w:rsidR="00FB1238" w:rsidRPr="000E3D2C" w:rsidRDefault="00FB1238" w:rsidP="00FB1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E3D2C">
        <w:rPr>
          <w:rFonts w:ascii="Times New Roman" w:eastAsia="Times New Roman" w:hAnsi="Times New Roman" w:cs="Times New Roman"/>
        </w:rPr>
        <w:t>​</w:t>
      </w:r>
      <w:r w:rsidRPr="000E3D2C">
        <w:rPr>
          <w:rFonts w:ascii="Times New Roman" w:eastAsia="Times New Roman" w:hAnsi="Times New Roman" w:cs="Times New Roman"/>
          <w:b/>
          <w:bCs/>
        </w:rPr>
        <w:t>Volume (Red Bars)</w:t>
      </w:r>
      <w:r w:rsidRPr="000E3D2C">
        <w:rPr>
          <w:rFonts w:ascii="Times New Roman" w:eastAsia="Times New Roman" w:hAnsi="Times New Roman" w:cs="Times New Roman"/>
        </w:rPr>
        <w:t xml:space="preserve">: These represent the number of shares traded. </w:t>
      </w:r>
    </w:p>
    <w:p w14:paraId="199EDE46" w14:textId="77777777" w:rsidR="00FB1238" w:rsidRPr="000E3D2C" w:rsidRDefault="00FB1238" w:rsidP="00FB12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E3D2C">
        <w:rPr>
          <w:rFonts w:ascii="Times New Roman" w:eastAsia="Times New Roman" w:hAnsi="Times New Roman" w:cs="Times New Roman"/>
        </w:rPr>
        <w:t>​</w:t>
      </w:r>
      <w:r w:rsidRPr="000E3D2C">
        <w:rPr>
          <w:rFonts w:ascii="Times New Roman" w:eastAsia="Times New Roman" w:hAnsi="Times New Roman" w:cs="Times New Roman"/>
          <w:i/>
          <w:iCs/>
        </w:rPr>
        <w:t>Observation</w:t>
      </w:r>
      <w:r w:rsidRPr="000E3D2C">
        <w:rPr>
          <w:rFonts w:ascii="Times New Roman" w:eastAsia="Times New Roman" w:hAnsi="Times New Roman" w:cs="Times New Roman"/>
        </w:rPr>
        <w:t>: Spikes in the red bars correlate with the sharp price movements seen in the top pane, indicating high institutional interest on those days.</w:t>
      </w:r>
    </w:p>
    <w:p w14:paraId="7EC1EF67" w14:textId="77777777" w:rsidR="00FB1238" w:rsidRPr="000E3D2C" w:rsidRDefault="00FB1238">
      <w:pPr>
        <w:pStyle w:val="Heading3"/>
        <w:rPr>
          <w:rFonts w:ascii="Times New Roman" w:eastAsia="Times New Roman" w:hAnsi="Times New Roman" w:cs="Times New Roman"/>
        </w:rPr>
      </w:pPr>
      <w:r w:rsidRPr="000E3D2C">
        <w:rPr>
          <w:rFonts w:ascii="Times New Roman" w:eastAsia="Times New Roman" w:hAnsi="Times New Roman" w:cs="Times New Roman"/>
        </w:rPr>
        <w:t>​Key Technical Details</w:t>
      </w:r>
    </w:p>
    <w:p w14:paraId="710A49A9" w14:textId="77777777" w:rsidR="00FB1238" w:rsidRPr="000E3D2C" w:rsidRDefault="00FB1238" w:rsidP="00FB1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E3D2C">
        <w:rPr>
          <w:rFonts w:ascii="Times New Roman" w:eastAsia="Times New Roman" w:hAnsi="Times New Roman" w:cs="Times New Roman"/>
        </w:rPr>
        <w:t>​</w:t>
      </w:r>
      <w:r w:rsidRPr="000E3D2C">
        <w:rPr>
          <w:rFonts w:ascii="Times New Roman" w:eastAsia="Times New Roman" w:hAnsi="Times New Roman" w:cs="Times New Roman"/>
          <w:b/>
          <w:bCs/>
        </w:rPr>
        <w:t>Library</w:t>
      </w:r>
      <w:r w:rsidRPr="000E3D2C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0E3D2C">
        <w:rPr>
          <w:rFonts w:ascii="Times New Roman" w:eastAsia="Times New Roman" w:hAnsi="Times New Roman" w:cs="Times New Roman"/>
        </w:rPr>
        <w:t>Plotly</w:t>
      </w:r>
      <w:proofErr w:type="spellEnd"/>
      <w:r w:rsidRPr="000E3D2C">
        <w:rPr>
          <w:rFonts w:ascii="Times New Roman" w:eastAsia="Times New Roman" w:hAnsi="Times New Roman" w:cs="Times New Roman"/>
        </w:rPr>
        <w:t xml:space="preserve"> Graph Objects (go).</w:t>
      </w:r>
    </w:p>
    <w:p w14:paraId="32B8D35A" w14:textId="5F630E36" w:rsidR="00FB1238" w:rsidRPr="000E3D2C" w:rsidRDefault="00FB1238" w:rsidP="00FB1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E3D2C">
        <w:rPr>
          <w:rFonts w:ascii="Times New Roman" w:eastAsia="Times New Roman" w:hAnsi="Times New Roman" w:cs="Times New Roman"/>
        </w:rPr>
        <w:t>​</w:t>
      </w:r>
      <w:r w:rsidRPr="000E3D2C">
        <w:rPr>
          <w:rFonts w:ascii="Times New Roman" w:eastAsia="Times New Roman" w:hAnsi="Times New Roman" w:cs="Times New Roman"/>
          <w:b/>
          <w:bCs/>
        </w:rPr>
        <w:t>Interactive Features</w:t>
      </w:r>
      <w:r w:rsidRPr="000E3D2C">
        <w:rPr>
          <w:rFonts w:ascii="Times New Roman" w:eastAsia="Times New Roman" w:hAnsi="Times New Roman" w:cs="Times New Roman"/>
        </w:rPr>
        <w:t xml:space="preserve">: Since this is in </w:t>
      </w:r>
      <w:r w:rsidR="003243C8" w:rsidRPr="000E3D2C">
        <w:rPr>
          <w:rFonts w:ascii="Times New Roman" w:eastAsia="Times New Roman" w:hAnsi="Times New Roman" w:cs="Times New Roman"/>
        </w:rPr>
        <w:t>the</w:t>
      </w:r>
      <w:r w:rsidRPr="000E3D2C">
        <w:rPr>
          <w:rFonts w:ascii="Times New Roman" w:eastAsia="Times New Roman" w:hAnsi="Times New Roman" w:cs="Times New Roman"/>
        </w:rPr>
        <w:t xml:space="preserve"> browser, </w:t>
      </w:r>
      <w:r w:rsidR="003243C8" w:rsidRPr="000E3D2C">
        <w:rPr>
          <w:rFonts w:ascii="Times New Roman" w:eastAsia="Times New Roman" w:hAnsi="Times New Roman" w:cs="Times New Roman"/>
        </w:rPr>
        <w:t>we</w:t>
      </w:r>
      <w:r w:rsidRPr="000E3D2C">
        <w:rPr>
          <w:rFonts w:ascii="Times New Roman" w:eastAsia="Times New Roman" w:hAnsi="Times New Roman" w:cs="Times New Roman"/>
        </w:rPr>
        <w:t xml:space="preserve"> can pinch-to-zoom on specific months or hover </w:t>
      </w:r>
      <w:r w:rsidR="003243C8" w:rsidRPr="000E3D2C">
        <w:rPr>
          <w:rFonts w:ascii="Times New Roman" w:eastAsia="Times New Roman" w:hAnsi="Times New Roman" w:cs="Times New Roman"/>
        </w:rPr>
        <w:t>our</w:t>
      </w:r>
      <w:r w:rsidRPr="000E3D2C">
        <w:rPr>
          <w:rFonts w:ascii="Times New Roman" w:eastAsia="Times New Roman" w:hAnsi="Times New Roman" w:cs="Times New Roman"/>
        </w:rPr>
        <w:t xml:space="preserve"> finger over a candle to see the exact Open, High, Low, and Close for that day.</w:t>
      </w:r>
    </w:p>
    <w:p w14:paraId="77910061" w14:textId="77777777" w:rsidR="00FB1238" w:rsidRPr="000E3D2C" w:rsidRDefault="00FB1238" w:rsidP="00FB1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E3D2C">
        <w:rPr>
          <w:rFonts w:ascii="Times New Roman" w:eastAsia="Times New Roman" w:hAnsi="Times New Roman" w:cs="Times New Roman"/>
        </w:rPr>
        <w:t>​</w:t>
      </w:r>
      <w:r w:rsidRPr="000E3D2C">
        <w:rPr>
          <w:rFonts w:ascii="Times New Roman" w:eastAsia="Times New Roman" w:hAnsi="Times New Roman" w:cs="Times New Roman"/>
          <w:b/>
          <w:bCs/>
        </w:rPr>
        <w:t>Shared Axis</w:t>
      </w:r>
      <w:r w:rsidRPr="000E3D2C">
        <w:rPr>
          <w:rFonts w:ascii="Times New Roman" w:eastAsia="Times New Roman" w:hAnsi="Times New Roman" w:cs="Times New Roman"/>
        </w:rPr>
        <w:t>: The top and bottom graphs are locked together; scrolling through time on one will automatically scroll the other.</w:t>
      </w:r>
    </w:p>
    <w:p w14:paraId="192E981C" w14:textId="77777777" w:rsidR="0067353C" w:rsidRPr="000E3D2C" w:rsidRDefault="0067353C">
      <w:pPr>
        <w:rPr>
          <w:rFonts w:ascii="Times New Roman" w:hAnsi="Times New Roman" w:cs="Times New Roman"/>
        </w:rPr>
      </w:pPr>
    </w:p>
    <w:sectPr w:rsidR="0067353C" w:rsidRPr="000E3D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518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576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6633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032034">
    <w:abstractNumId w:val="1"/>
  </w:num>
  <w:num w:numId="2" w16cid:durableId="1097795703">
    <w:abstractNumId w:val="0"/>
  </w:num>
  <w:num w:numId="3" w16cid:durableId="920331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DA"/>
    <w:rsid w:val="000E3D2C"/>
    <w:rsid w:val="00234857"/>
    <w:rsid w:val="003243C8"/>
    <w:rsid w:val="004725AD"/>
    <w:rsid w:val="00502927"/>
    <w:rsid w:val="0067353C"/>
    <w:rsid w:val="006E6043"/>
    <w:rsid w:val="00810377"/>
    <w:rsid w:val="008459DF"/>
    <w:rsid w:val="0093054F"/>
    <w:rsid w:val="009450EA"/>
    <w:rsid w:val="009A31D5"/>
    <w:rsid w:val="00A0291A"/>
    <w:rsid w:val="00A56207"/>
    <w:rsid w:val="00AF64DA"/>
    <w:rsid w:val="00BA7B13"/>
    <w:rsid w:val="00CD72E0"/>
    <w:rsid w:val="00E23AE4"/>
    <w:rsid w:val="00EC1E5D"/>
    <w:rsid w:val="00F37777"/>
    <w:rsid w:val="00FB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4566F6"/>
  <w15:chartTrackingRefBased/>
  <w15:docId w15:val="{4F8E6CCE-D727-064C-B457-AE14483D1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6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4D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4D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4D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64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64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6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4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64D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  <w:style w:type="table" w:styleId="TableGrid">
    <w:name w:val="Table Grid"/>
    <w:basedOn w:val="TableNormal"/>
    <w:uiPriority w:val="39"/>
    <w:rsid w:val="009305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3">
    <w:name w:val="Grid Table 5 Dark Accent 3"/>
    <w:basedOn w:val="TableNormal"/>
    <w:uiPriority w:val="50"/>
    <w:rsid w:val="00F3777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Chakraborty</dc:creator>
  <cp:keywords/>
  <dc:description/>
  <cp:lastModifiedBy>Saurav Chakraborty</cp:lastModifiedBy>
  <cp:revision>2</cp:revision>
  <dcterms:created xsi:type="dcterms:W3CDTF">2026-01-28T11:11:00Z</dcterms:created>
  <dcterms:modified xsi:type="dcterms:W3CDTF">2026-01-28T11:11:00Z</dcterms:modified>
</cp:coreProperties>
</file>