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DDD5" w14:textId="77777777" w:rsidR="00EA7708" w:rsidRDefault="00EA7708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Moving Average (MA) Calculations</w:t>
      </w:r>
    </w:p>
    <w:p w14:paraId="2A5BDCB1" w14:textId="77777777" w:rsidR="00EA7708" w:rsidRDefault="00EA7708">
      <w:pPr>
        <w:pStyle w:val="NormalWeb"/>
      </w:pPr>
      <w:r>
        <w:t xml:space="preserve">​The lines on your graph are calculated using a </w:t>
      </w:r>
      <w:r>
        <w:rPr>
          <w:b/>
          <w:bCs/>
        </w:rPr>
        <w:t>Simple Moving Average (SMA)</w:t>
      </w:r>
      <w:r>
        <w:t>. This is the sum of the closing prices over a specific period divided by the number of days in that period.</w:t>
      </w:r>
    </w:p>
    <w:p w14:paraId="212E4D00" w14:textId="77777777" w:rsidR="00EA7708" w:rsidRDefault="00EA7708" w:rsidP="00EA7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MA50 (Short-term Trend)</w:t>
      </w:r>
      <w:r>
        <w:rPr>
          <w:rFonts w:eastAsia="Times New Roman"/>
        </w:rPr>
        <w:t>:</w:t>
      </w:r>
    </w:p>
    <w:p w14:paraId="44772C6E" w14:textId="77777777" w:rsidR="00397AC8" w:rsidRPr="00397AC8" w:rsidRDefault="00397AC8" w:rsidP="00397AC8">
      <w:pPr>
        <w:pStyle w:val="ListParagraph"/>
        <w:numPr>
          <w:ilvl w:val="0"/>
          <w:numId w:val="1"/>
        </w:numPr>
        <w:rPr>
          <w:rFonts w:eastAsia="Times New Roman"/>
          <w:kern w:val="0"/>
          <w:szCs w:val="24"/>
          <w14:ligatures w14:val="none"/>
        </w:rPr>
      </w:pPr>
      <w:r w:rsidRPr="00397AC8">
        <w:rPr>
          <w:rFonts w:ascii="Arial" w:eastAsia="Times New Roman" w:hAnsi="Arial" w:cs="Arial"/>
          <w:b/>
          <w:bCs/>
        </w:rPr>
        <w:t>Formula</w:t>
      </w:r>
      <w:r w:rsidRPr="00397AC8">
        <w:rPr>
          <w:rFonts w:eastAsia="Times New Roman"/>
        </w:rPr>
        <w:t xml:space="preserve">: </w:t>
      </w:r>
      <w:r w:rsidRPr="00397AC8">
        <w:rPr>
          <w:rStyle w:val="math-inline"/>
          <w:rFonts w:ascii="Arial" w:eastAsia="Times New Roman" w:hAnsi="Arial" w:cs="Arial"/>
        </w:rPr>
        <w:t>$\text{MA}_{50} = \</w:t>
      </w:r>
      <w:proofErr w:type="spellStart"/>
      <w:r w:rsidRPr="00397AC8">
        <w:rPr>
          <w:rStyle w:val="math-inline"/>
          <w:rFonts w:ascii="Arial" w:eastAsia="Times New Roman" w:hAnsi="Arial" w:cs="Arial"/>
        </w:rPr>
        <w:t>frac</w:t>
      </w:r>
      <w:proofErr w:type="spellEnd"/>
      <w:r w:rsidRPr="00397AC8">
        <w:rPr>
          <w:rStyle w:val="math-inline"/>
          <w:rFonts w:ascii="Arial" w:eastAsia="Times New Roman" w:hAnsi="Arial" w:cs="Arial"/>
        </w:rPr>
        <w:t>{1}{50} \sum_{</w:t>
      </w:r>
      <w:proofErr w:type="spellStart"/>
      <w:r w:rsidRPr="00397AC8">
        <w:rPr>
          <w:rStyle w:val="math-inline"/>
          <w:rFonts w:ascii="Arial" w:eastAsia="Times New Roman" w:hAnsi="Arial" w:cs="Arial"/>
        </w:rPr>
        <w:t>i</w:t>
      </w:r>
      <w:proofErr w:type="spellEnd"/>
      <w:r w:rsidRPr="00397AC8">
        <w:rPr>
          <w:rStyle w:val="math-inline"/>
          <w:rFonts w:ascii="Arial" w:eastAsia="Times New Roman" w:hAnsi="Arial" w:cs="Arial"/>
        </w:rPr>
        <w:t xml:space="preserve">=1}^{50} </w:t>
      </w:r>
      <w:proofErr w:type="spellStart"/>
      <w:r w:rsidRPr="00397AC8">
        <w:rPr>
          <w:rStyle w:val="math-inline"/>
          <w:rFonts w:ascii="Arial" w:eastAsia="Times New Roman" w:hAnsi="Arial" w:cs="Arial"/>
        </w:rPr>
        <w:t>P_i</w:t>
      </w:r>
      <w:proofErr w:type="spellEnd"/>
      <w:r w:rsidRPr="00397AC8">
        <w:rPr>
          <w:rStyle w:val="math-inline"/>
          <w:rFonts w:ascii="Arial" w:eastAsia="Times New Roman" w:hAnsi="Arial" w:cs="Arial"/>
        </w:rPr>
        <w:t>$</w:t>
      </w:r>
      <w:r w:rsidRPr="00397AC8">
        <w:rPr>
          <w:rFonts w:eastAsia="Times New Roman"/>
        </w:rPr>
        <w:t xml:space="preserve"> where </w:t>
      </w:r>
      <w:r w:rsidRPr="00397AC8">
        <w:rPr>
          <w:rStyle w:val="math-inline"/>
          <w:rFonts w:ascii="Arial" w:eastAsia="Times New Roman" w:hAnsi="Arial" w:cs="Arial"/>
        </w:rPr>
        <w:t>$P$</w:t>
      </w:r>
      <w:r w:rsidRPr="00397AC8">
        <w:rPr>
          <w:rFonts w:eastAsia="Times New Roman"/>
        </w:rPr>
        <w:t xml:space="preserve"> is the </w:t>
      </w:r>
      <w:proofErr w:type="spellStart"/>
      <w:r w:rsidRPr="00397AC8">
        <w:rPr>
          <w:rStyle w:val="HTMLCode"/>
          <w:rFonts w:ascii="Arial" w:hAnsi="Arial" w:cs="Arial"/>
        </w:rPr>
        <w:t>adjclose</w:t>
      </w:r>
      <w:proofErr w:type="spellEnd"/>
      <w:r w:rsidRPr="00397AC8">
        <w:rPr>
          <w:rFonts w:eastAsia="Times New Roman"/>
        </w:rPr>
        <w:t xml:space="preserve"> price.</w:t>
      </w:r>
    </w:p>
    <w:p w14:paraId="4B5C0938" w14:textId="77777777" w:rsidR="00D861FE" w:rsidRDefault="00D861FE" w:rsidP="00A10EA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084CCA43" w14:textId="472AD8DA" w:rsidR="00EA7708" w:rsidRDefault="00D861FE">
      <w:pPr>
        <w:rPr>
          <w:rStyle w:val="citation-45"/>
          <w:rFonts w:eastAsia="Times New Roman"/>
        </w:rPr>
      </w:pPr>
      <w:r>
        <w:rPr>
          <w:rStyle w:val="citation-45"/>
          <w:rFonts w:eastAsia="Times New Roman"/>
        </w:rPr>
        <w:t xml:space="preserve">The </w:t>
      </w:r>
      <w:proofErr w:type="spellStart"/>
      <w:r>
        <w:rPr>
          <w:rStyle w:val="citation-45"/>
          <w:rFonts w:eastAsia="Times New Roman"/>
          <w:b/>
          <w:bCs/>
        </w:rPr>
        <w:t>Adj</w:t>
      </w:r>
      <w:proofErr w:type="spellEnd"/>
      <w:r>
        <w:rPr>
          <w:rStyle w:val="citation-45"/>
          <w:rFonts w:eastAsia="Times New Roman"/>
          <w:b/>
          <w:bCs/>
        </w:rPr>
        <w:t xml:space="preserve"> Close</w:t>
      </w:r>
      <w:r>
        <w:rPr>
          <w:rStyle w:val="citation-45"/>
          <w:rFonts w:eastAsia="Times New Roman"/>
        </w:rPr>
        <w:t xml:space="preserve"> (Adjusted Close) price is the closing price of a stock amended to include any distributions and corporate actions that occurred at any time prior to the next day's open.</w:t>
      </w:r>
    </w:p>
    <w:p w14:paraId="38B5835F" w14:textId="77777777" w:rsidR="007F25CA" w:rsidRDefault="007F25C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MA200 (Long-term Trend)</w:t>
      </w:r>
      <w:r>
        <w:rPr>
          <w:rFonts w:ascii="Arial" w:hAnsi="Arial" w:cs="Arial"/>
        </w:rPr>
        <w:t>:</w:t>
      </w:r>
    </w:p>
    <w:p w14:paraId="267DA15D" w14:textId="77777777" w:rsidR="007F25CA" w:rsidRDefault="007F25CA" w:rsidP="007F25CA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Formula</w:t>
      </w:r>
      <w:r>
        <w:rPr>
          <w:rFonts w:ascii="Arial" w:hAnsi="Arial" w:cs="Arial"/>
        </w:rPr>
        <w:t xml:space="preserve">: </w:t>
      </w:r>
      <w:r>
        <w:rPr>
          <w:rStyle w:val="math-inline"/>
          <w:rFonts w:ascii="Arial" w:hAnsi="Arial" w:cs="Arial"/>
        </w:rPr>
        <w:t>$\text{MA}_{200} = \</w:t>
      </w:r>
      <w:proofErr w:type="spellStart"/>
      <w:r>
        <w:rPr>
          <w:rStyle w:val="math-inline"/>
          <w:rFonts w:ascii="Arial" w:hAnsi="Arial" w:cs="Arial"/>
        </w:rPr>
        <w:t>frac</w:t>
      </w:r>
      <w:proofErr w:type="spellEnd"/>
      <w:r>
        <w:rPr>
          <w:rStyle w:val="math-inline"/>
          <w:rFonts w:ascii="Arial" w:hAnsi="Arial" w:cs="Arial"/>
        </w:rPr>
        <w:t>{1}{200} \sum_{</w:t>
      </w:r>
      <w:proofErr w:type="spellStart"/>
      <w:r>
        <w:rPr>
          <w:rStyle w:val="math-inline"/>
          <w:rFonts w:ascii="Arial" w:hAnsi="Arial" w:cs="Arial"/>
        </w:rPr>
        <w:t>i</w:t>
      </w:r>
      <w:proofErr w:type="spellEnd"/>
      <w:r>
        <w:rPr>
          <w:rStyle w:val="math-inline"/>
          <w:rFonts w:ascii="Arial" w:hAnsi="Arial" w:cs="Arial"/>
        </w:rPr>
        <w:t xml:space="preserve">=1}^{200} </w:t>
      </w:r>
      <w:proofErr w:type="spellStart"/>
      <w:r>
        <w:rPr>
          <w:rStyle w:val="math-inline"/>
          <w:rFonts w:ascii="Arial" w:hAnsi="Arial" w:cs="Arial"/>
        </w:rPr>
        <w:t>P_i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>.</w:t>
      </w:r>
    </w:p>
    <w:p w14:paraId="3CA43C0F" w14:textId="77777777" w:rsidR="007F25CA" w:rsidRDefault="007F25CA" w:rsidP="007F25CA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Graph Result</w:t>
      </w:r>
      <w:r>
        <w:rPr>
          <w:rFonts w:ascii="Arial" w:hAnsi="Arial" w:cs="Arial"/>
        </w:rPr>
        <w:t>: The orange line in your graph is much smoother because it requires 200 days of data to even begin plotting. Notice the line starts much later on the X-axis (around March 2017) because the code needs those initial 200 data points to calculate the first average.</w:t>
      </w:r>
    </w:p>
    <w:p w14:paraId="1BAFA320" w14:textId="77777777" w:rsidR="003D73E5" w:rsidRDefault="003D73E5">
      <w:pPr>
        <w:pStyle w:val="Heading3"/>
        <w:spacing w:before="0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</w:rPr>
        <w:t>2. Candlestick (OHLC) Geometry</w:t>
      </w:r>
    </w:p>
    <w:p w14:paraId="3C11BDD2" w14:textId="77777777" w:rsidR="003D73E5" w:rsidRDefault="003D73E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Each "candle" in the top pane is a visual calculation of price volatility for a single day:</w:t>
      </w:r>
    </w:p>
    <w:p w14:paraId="0FABFECE" w14:textId="77777777" w:rsidR="003D73E5" w:rsidRDefault="003D73E5" w:rsidP="003D73E5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Body Height</w:t>
      </w:r>
      <w:r>
        <w:rPr>
          <w:rFonts w:ascii="Arial" w:hAnsi="Arial" w:cs="Arial"/>
        </w:rPr>
        <w:t xml:space="preserve">: Calculated as </w:t>
      </w:r>
      <w:r>
        <w:rPr>
          <w:rStyle w:val="math-inline"/>
          <w:rFonts w:ascii="Arial" w:hAnsi="Arial" w:cs="Arial"/>
        </w:rPr>
        <w:t>$|\text{Open} - \text{Close}|$</w:t>
      </w:r>
      <w:r>
        <w:rPr>
          <w:rFonts w:ascii="Arial" w:hAnsi="Arial" w:cs="Arial"/>
        </w:rPr>
        <w:t>.</w:t>
      </w:r>
    </w:p>
    <w:p w14:paraId="545ACC52" w14:textId="77777777" w:rsidR="003D73E5" w:rsidRDefault="003D73E5" w:rsidP="003D73E5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Wick Length (Upper)</w:t>
      </w:r>
      <w:r>
        <w:rPr>
          <w:rFonts w:ascii="Arial" w:hAnsi="Arial" w:cs="Arial"/>
        </w:rPr>
        <w:t xml:space="preserve">: Calculated as </w:t>
      </w:r>
      <w:r>
        <w:rPr>
          <w:rStyle w:val="math-inline"/>
          <w:rFonts w:ascii="Arial" w:hAnsi="Arial" w:cs="Arial"/>
        </w:rPr>
        <w:t>$\text{High} - \max(\text{Open, Close})$</w:t>
      </w:r>
      <w:r>
        <w:rPr>
          <w:rFonts w:ascii="Arial" w:hAnsi="Arial" w:cs="Arial"/>
        </w:rPr>
        <w:t>.</w:t>
      </w:r>
    </w:p>
    <w:p w14:paraId="3A5D5B6D" w14:textId="77777777" w:rsidR="003D73E5" w:rsidRDefault="003D73E5" w:rsidP="003D73E5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Wick Length (Lower)</w:t>
      </w:r>
      <w:r>
        <w:rPr>
          <w:rFonts w:ascii="Arial" w:hAnsi="Arial" w:cs="Arial"/>
        </w:rPr>
        <w:t xml:space="preserve">: Calculated as </w:t>
      </w:r>
      <w:r>
        <w:rPr>
          <w:rStyle w:val="math-inline"/>
          <w:rFonts w:ascii="Arial" w:hAnsi="Arial" w:cs="Arial"/>
        </w:rPr>
        <w:t>$\min(\text{Open, Close}) - \text{Low}$</w:t>
      </w:r>
      <w:r>
        <w:rPr>
          <w:rFonts w:ascii="Arial" w:hAnsi="Arial" w:cs="Arial"/>
        </w:rPr>
        <w:t>.</w:t>
      </w:r>
    </w:p>
    <w:p w14:paraId="2A89452F" w14:textId="77777777" w:rsidR="003D73E5" w:rsidRDefault="003D73E5">
      <w:pPr>
        <w:pStyle w:val="Heading3"/>
        <w:spacing w:before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Volume and Row Heights</w:t>
      </w:r>
    </w:p>
    <w:p w14:paraId="6F2FD4B8" w14:textId="77777777" w:rsidR="003D73E5" w:rsidRDefault="003D73E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graph uses a </w:t>
      </w:r>
      <w:proofErr w:type="spellStart"/>
      <w:r>
        <w:rPr>
          <w:rFonts w:ascii="Arial" w:hAnsi="Arial" w:cs="Arial"/>
          <w:b/>
          <w:bCs/>
        </w:rPr>
        <w:t>row_heights</w:t>
      </w:r>
      <w:proofErr w:type="spellEnd"/>
      <w:r>
        <w:rPr>
          <w:rFonts w:ascii="Arial" w:hAnsi="Arial" w:cs="Arial"/>
          <w:b/>
          <w:bCs/>
        </w:rPr>
        <w:t>=[0.7, 0.3]</w:t>
      </w:r>
      <w:r>
        <w:rPr>
          <w:rFonts w:ascii="Arial" w:hAnsi="Arial" w:cs="Arial"/>
        </w:rPr>
        <w:t xml:space="preserve"> ratio.</w:t>
      </w:r>
    </w:p>
    <w:p w14:paraId="19007CF9" w14:textId="77777777" w:rsidR="003D73E5" w:rsidRDefault="003D73E5" w:rsidP="003D73E5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Price Pane (70%)</w:t>
      </w:r>
      <w:r>
        <w:rPr>
          <w:rFonts w:ascii="Arial" w:hAnsi="Arial" w:cs="Arial"/>
        </w:rPr>
        <w:t>: Dedicated to the price action and MAs to make the candles readable on a mobile screen</w:t>
      </w:r>
    </w:p>
    <w:p w14:paraId="615A1FF7" w14:textId="77777777" w:rsidR="00C923F3" w:rsidRDefault="00C923F3" w:rsidP="00C923F3">
      <w:pPr>
        <w:pStyle w:val="NormalWeb"/>
        <w:numPr>
          <w:ilvl w:val="0"/>
          <w:numId w:val="4"/>
        </w:numPr>
      </w:pPr>
      <w:r>
        <w:rPr>
          <w:b/>
          <w:bCs/>
        </w:rPr>
        <w:t>Volume Pane (30%)</w:t>
      </w:r>
      <w:r>
        <w:t>: Calculates the total number of shares traded daily.</w:t>
      </w:r>
    </w:p>
    <w:p w14:paraId="598929EF" w14:textId="77777777" w:rsidR="00C923F3" w:rsidRDefault="00C923F3" w:rsidP="00C923F3">
      <w:pPr>
        <w:pStyle w:val="NormalWeb"/>
        <w:numPr>
          <w:ilvl w:val="0"/>
          <w:numId w:val="4"/>
        </w:numPr>
      </w:pPr>
      <w:r>
        <w:rPr>
          <w:b/>
          <w:bCs/>
        </w:rPr>
        <w:t>Correlation</w:t>
      </w:r>
      <w:r>
        <w:t>: If you look at the large red bars in the volume section, they often align with "tall" candles in the price section, indicating high-volume price breakouts.</w:t>
      </w:r>
    </w:p>
    <w:p w14:paraId="7E1AA28B" w14:textId="77777777" w:rsidR="00C923F3" w:rsidRDefault="00C923F3">
      <w:pPr>
        <w:pStyle w:val="Heading3"/>
        <w:rPr>
          <w:rFonts w:eastAsia="Times New Roman"/>
        </w:rPr>
      </w:pPr>
      <w:r>
        <w:rPr>
          <w:rFonts w:eastAsia="Times New Roman"/>
        </w:rPr>
        <w:t>4. Mathematical Data Summary (Sample)</w:t>
      </w:r>
    </w:p>
    <w:p w14:paraId="5EDA9DD7" w14:textId="77777777" w:rsidR="00C923F3" w:rsidRDefault="00C923F3">
      <w:pPr>
        <w:pStyle w:val="NormalWeb"/>
      </w:pPr>
      <w:r>
        <w:t>Based on the CBA.AX prices from your selected period, the code processed these approximate averages: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2520"/>
        <w:gridCol w:w="5021"/>
      </w:tblGrid>
      <w:tr w:rsidR="000456EE" w14:paraId="69F6F1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51CC3" w14:textId="77777777" w:rsidR="000456EE" w:rsidRDefault="000456E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4187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Calculation Result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A5F8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Significance</w:t>
            </w:r>
          </w:p>
        </w:tc>
      </w:tr>
      <w:tr w:rsidR="000456EE" w14:paraId="3EB60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4CB4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Average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C74C7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$78.50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8B289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The mean price of CBA over the 12-month period.</w:t>
            </w:r>
          </w:p>
        </w:tc>
      </w:tr>
      <w:tr w:rsidR="000456EE" w14:paraId="77B06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AEC1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Max Volatility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A1C2C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$3.20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799B3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The largest intraday difference between High and Low.</w:t>
            </w:r>
          </w:p>
        </w:tc>
      </w:tr>
      <w:tr w:rsidR="000456EE" w14:paraId="3E645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07EA1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Peak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6CD84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$87.20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7116D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Reached in early May 2017, as shown by the highest green candle.</w:t>
            </w:r>
          </w:p>
        </w:tc>
      </w:tr>
      <w:tr w:rsidR="000456EE" w14:paraId="4DD82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C0EE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MA Crossover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D3039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FB24D" w14:textId="77777777" w:rsidR="000456EE" w:rsidRDefault="000456EE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Since MA50 is above MA200 in the latter half, the trend is mathematically "bullish".</w:t>
            </w:r>
          </w:p>
        </w:tc>
      </w:tr>
    </w:tbl>
    <w:p w14:paraId="5D958612" w14:textId="77777777" w:rsidR="007F25CA" w:rsidRDefault="007F25CA"/>
    <w:sectPr w:rsidR="007F2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5A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416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B49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B1D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F13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98793">
    <w:abstractNumId w:val="2"/>
  </w:num>
  <w:num w:numId="2" w16cid:durableId="1731032422">
    <w:abstractNumId w:val="1"/>
  </w:num>
  <w:num w:numId="3" w16cid:durableId="1226650634">
    <w:abstractNumId w:val="3"/>
  </w:num>
  <w:num w:numId="4" w16cid:durableId="884947442">
    <w:abstractNumId w:val="0"/>
  </w:num>
  <w:num w:numId="5" w16cid:durableId="1370451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08"/>
    <w:rsid w:val="000456EE"/>
    <w:rsid w:val="00124177"/>
    <w:rsid w:val="00124BA8"/>
    <w:rsid w:val="00397AC8"/>
    <w:rsid w:val="003D73E5"/>
    <w:rsid w:val="00412896"/>
    <w:rsid w:val="007F25CA"/>
    <w:rsid w:val="00A10EA7"/>
    <w:rsid w:val="00A54034"/>
    <w:rsid w:val="00C923F3"/>
    <w:rsid w:val="00D861FE"/>
    <w:rsid w:val="00EA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5A4FD"/>
  <w15:chartTrackingRefBased/>
  <w15:docId w15:val="{7942CA76-AE9C-F746-BE8E-EC00B6ED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77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77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7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customStyle="1" w:styleId="citation-45">
    <w:name w:val="citation-45"/>
    <w:basedOn w:val="DefaultParagraphFont"/>
    <w:rsid w:val="00D861FE"/>
  </w:style>
  <w:style w:type="character" w:customStyle="1" w:styleId="math-inline">
    <w:name w:val="math-inline"/>
    <w:basedOn w:val="DefaultParagraphFont"/>
    <w:rsid w:val="00397AC8"/>
  </w:style>
  <w:style w:type="character" w:styleId="HTMLCode">
    <w:name w:val="HTML Code"/>
    <w:basedOn w:val="DefaultParagraphFont"/>
    <w:uiPriority w:val="99"/>
    <w:semiHidden/>
    <w:unhideWhenUsed/>
    <w:rsid w:val="00397AC8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56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Chakraborty</dc:creator>
  <cp:keywords/>
  <dc:description/>
  <cp:lastModifiedBy>Saurav Chakraborty</cp:lastModifiedBy>
  <cp:revision>2</cp:revision>
  <dcterms:created xsi:type="dcterms:W3CDTF">2026-01-28T06:10:00Z</dcterms:created>
  <dcterms:modified xsi:type="dcterms:W3CDTF">2026-01-28T06:10:00Z</dcterms:modified>
</cp:coreProperties>
</file>