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HEX HEALING HUB</w:t>
      </w:r>
    </w:p>
    <w:p>
      <w:pPr>
        <w:jc w:val="center"/>
      </w:pPr>
      <w:r>
        <w:rPr>
          <w:b/>
          <w:sz w:val="36"/>
        </w:rPr>
        <w:t>BRAND GUIDELINES</w:t>
      </w:r>
    </w:p>
    <w:p>
      <w:pPr>
        <w:jc w:val="center"/>
      </w:pPr>
      <w:r>
        <w:rPr>
          <w:i/>
        </w:rPr>
        <w:t>Brand Identity &amp; Communication Guide • 2026</w:t>
      </w:r>
    </w:p>
    <w:p>
      <w:r>
        <w:t>Purpose: This guide establishes a consistent visual and verbal identity for Hex Healing Hub across social media, print materials, training promotions, office signage, presentations and digital communications.</w:t>
      </w:r>
    </w:p>
    <w:p>
      <w:pPr>
        <w:pStyle w:val="Heading1"/>
      </w:pPr>
      <w:r>
        <w:t>1. Brand Overview</w:t>
      </w:r>
    </w:p>
    <w:p>
      <w:r>
        <w:t>Brand Name: HEX HEALING HUB</w:t>
      </w:r>
    </w:p>
    <w:p>
      <w:r>
        <w:t>Brand Category: Spiritual wellness, healing, meditation and spiritual education.</w:t>
      </w:r>
    </w:p>
    <w:p>
      <w:r>
        <w:t>Core Services: Spiritual Healing • Energy Healing • Hypnotherapy • Spiritual Awakening • Meditation Classes • Spiritual Classes</w:t>
      </w:r>
    </w:p>
    <w:p>
      <w:r>
        <w:t>Primary Locations: Butwal • Pokhara • Kapilvastu (use only current/approved location information in public materials).</w:t>
      </w:r>
    </w:p>
    <w:p>
      <w:pPr>
        <w:pStyle w:val="Heading1"/>
      </w:pPr>
      <w:r>
        <w:t>2. Brand Essence</w:t>
      </w:r>
    </w:p>
    <w:p>
      <w:r>
        <w:rPr>
          <w:b/>
        </w:rPr>
        <w:t xml:space="preserve">Mission: </w:t>
      </w:r>
      <w:r>
        <w:t>To provide a calm, supportive and spiritually oriented space for learning, self-reflection, meditation and complementary healing practices.</w:t>
      </w:r>
    </w:p>
    <w:p>
      <w:r>
        <w:rPr>
          <w:b/>
        </w:rPr>
        <w:t xml:space="preserve">Brand Promise: </w:t>
      </w:r>
      <w:r>
        <w:t>A respectful, peaceful and professional environment for spiritual learning and personal growth.</w:t>
      </w:r>
    </w:p>
    <w:p>
      <w:r>
        <w:rPr>
          <w:b/>
        </w:rPr>
        <w:t xml:space="preserve">Personality: </w:t>
      </w:r>
      <w:r>
        <w:t>Peaceful, spiritual, trustworthy, compassionate, premium, modern and grounded.</w:t>
      </w:r>
    </w:p>
    <w:p>
      <w:r>
        <w:rPr>
          <w:b/>
        </w:rPr>
        <w:t xml:space="preserve">Key Values: </w:t>
      </w:r>
      <w:r>
        <w:t>Compassion • Respect • Inner awareness • Learning • Discipline • Privacy • Service</w:t>
      </w:r>
    </w:p>
    <w:p>
      <w:pPr>
        <w:pStyle w:val="Heading1"/>
      </w:pPr>
      <w:r>
        <w:t>3. Visual Direction</w:t>
      </w:r>
    </w:p>
    <w:p>
      <w:r>
        <w:t>Overall visual language: premium spiritual minimalism. Use deep purple-to-royal-blue gradients, subtle golden aura/light, generous negative space and refined gold accents. Spiritual imagery should feel calm and dignified rather than frightening, sensational or overly mystical.</w:t>
      </w:r>
    </w:p>
    <w:p>
      <w:r>
        <w:t>Recommended imagery: meditation, peaceful nature, subtle chakras, light/aura, Himalayan landscapes and tasteful Shiva imagery where appropriate.</w:t>
      </w:r>
    </w:p>
    <w:p>
      <w:pPr>
        <w:pStyle w:val="Heading1"/>
      </w:pPr>
      <w:r>
        <w:t>4.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Color</w:t>
            </w:r>
          </w:p>
        </w:tc>
        <w:tc>
          <w:tcPr>
            <w:tcW w:type="dxa" w:w="2520"/>
          </w:tcPr>
          <w:p>
            <w:r>
              <w:t>HEX</w:t>
            </w:r>
          </w:p>
        </w:tc>
        <w:tc>
          <w:tcPr>
            <w:tcW w:type="dxa" w:w="2520"/>
          </w:tcPr>
          <w:p>
            <w:r>
              <w:t>RGB</w:t>
            </w:r>
          </w:p>
        </w:tc>
        <w:tc>
          <w:tcPr>
            <w:tcW w:type="dxa" w:w="2520"/>
          </w:tcPr>
          <w:p>
            <w:r>
              <w:t>Primary Use</w:t>
            </w:r>
          </w:p>
        </w:tc>
      </w:tr>
      <w:tr>
        <w:tc>
          <w:tcPr>
            <w:tcW w:type="dxa" w:w="2520"/>
          </w:tcPr>
          <w:p>
            <w:r>
              <w:t>Deep Purple</w:t>
            </w:r>
          </w:p>
        </w:tc>
        <w:tc>
          <w:tcPr>
            <w:tcW w:type="dxa" w:w="2520"/>
          </w:tcPr>
          <w:p>
            <w:r>
              <w:t>#24104F</w:t>
            </w:r>
          </w:p>
        </w:tc>
        <w:tc>
          <w:tcPr>
            <w:tcW w:type="dxa" w:w="2520"/>
          </w:tcPr>
          <w:p>
            <w:r>
              <w:t>36, 16, 79</w:t>
            </w:r>
          </w:p>
        </w:tc>
        <w:tc>
          <w:tcPr>
            <w:tcW w:type="dxa" w:w="2520"/>
          </w:tcPr>
          <w:p>
            <w:r>
              <w:t>Primary background</w:t>
            </w:r>
          </w:p>
        </w:tc>
      </w:tr>
      <w:tr>
        <w:tc>
          <w:tcPr>
            <w:tcW w:type="dxa" w:w="2520"/>
          </w:tcPr>
          <w:p>
            <w:r>
              <w:t>Royal Blue</w:t>
            </w:r>
          </w:p>
        </w:tc>
        <w:tc>
          <w:tcPr>
            <w:tcW w:type="dxa" w:w="2520"/>
          </w:tcPr>
          <w:p>
            <w:r>
              <w:t>#243B8F</w:t>
            </w:r>
          </w:p>
        </w:tc>
        <w:tc>
          <w:tcPr>
            <w:tcW w:type="dxa" w:w="2520"/>
          </w:tcPr>
          <w:p>
            <w:r>
              <w:t>36, 59, 143</w:t>
            </w:r>
          </w:p>
        </w:tc>
        <w:tc>
          <w:tcPr>
            <w:tcW w:type="dxa" w:w="2520"/>
          </w:tcPr>
          <w:p>
            <w:r>
              <w:t>Gradient / digital background</w:t>
            </w:r>
          </w:p>
        </w:tc>
      </w:tr>
      <w:tr>
        <w:tc>
          <w:tcPr>
            <w:tcW w:type="dxa" w:w="2520"/>
          </w:tcPr>
          <w:p>
            <w:r>
              <w:t>Spiritual Gold</w:t>
            </w:r>
          </w:p>
        </w:tc>
        <w:tc>
          <w:tcPr>
            <w:tcW w:type="dxa" w:w="2520"/>
          </w:tcPr>
          <w:p>
            <w:r>
              <w:t>#D4AF37</w:t>
            </w:r>
          </w:p>
        </w:tc>
        <w:tc>
          <w:tcPr>
            <w:tcW w:type="dxa" w:w="2520"/>
          </w:tcPr>
          <w:p>
            <w:r>
              <w:t>212, 175, 55</w:t>
            </w:r>
          </w:p>
        </w:tc>
        <w:tc>
          <w:tcPr>
            <w:tcW w:type="dxa" w:w="2520"/>
          </w:tcPr>
          <w:p>
            <w:r>
              <w:t>Logo accents, borders, headings</w:t>
            </w:r>
          </w:p>
        </w:tc>
      </w:tr>
      <w:tr>
        <w:tc>
          <w:tcPr>
            <w:tcW w:type="dxa" w:w="2520"/>
          </w:tcPr>
          <w:p>
            <w:r>
              <w:t>White</w:t>
            </w:r>
          </w:p>
        </w:tc>
        <w:tc>
          <w:tcPr>
            <w:tcW w:type="dxa" w:w="2520"/>
          </w:tcPr>
          <w:p>
            <w:r>
              <w:t>#FFFFFF</w:t>
            </w:r>
          </w:p>
        </w:tc>
        <w:tc>
          <w:tcPr>
            <w:tcW w:type="dxa" w:w="2520"/>
          </w:tcPr>
          <w:p>
            <w:r>
              <w:t>255, 255, 255</w:t>
            </w:r>
          </w:p>
        </w:tc>
        <w:tc>
          <w:tcPr>
            <w:tcW w:type="dxa" w:w="2520"/>
          </w:tcPr>
          <w:p>
            <w:r>
              <w:t>Clean backgrounds / body text</w:t>
            </w:r>
          </w:p>
        </w:tc>
      </w:tr>
    </w:tbl>
    <w:p>
      <w:r>
        <w:t>Suggested gradient: Deep Purple → Royal Blue. Use gold as an accent, not as a dominant fill.</w:t>
      </w:r>
    </w:p>
    <w:p>
      <w:pPr>
        <w:pStyle w:val="Heading1"/>
      </w:pPr>
      <w:r>
        <w:t>5. Logo Guidelines</w:t>
      </w:r>
    </w:p>
    <w:p>
      <w:r>
        <w:t>The official HEX HEALING HUB logo should be the primary brand identifier.</w:t>
      </w:r>
    </w:p>
    <w:p>
      <w:pPr>
        <w:pStyle w:val="ListBullet"/>
      </w:pPr>
      <w:r>
        <w:t>Use the approved master logo without distortion, stretching, recoloring or unauthorized effects.</w:t>
      </w:r>
    </w:p>
    <w:p>
      <w:pPr>
        <w:pStyle w:val="ListBullet"/>
      </w:pPr>
      <w:r>
        <w:t>Maintain clear space around the logo equal to at least the height of the 'H' in HEX.</w:t>
      </w:r>
    </w:p>
    <w:p>
      <w:pPr>
        <w:pStyle w:val="ListBullet"/>
      </w:pPr>
      <w:r>
        <w:t>Do not place the logo over visually busy imagery unless a solid/semi-transparent brand area preserves readability.</w:t>
      </w:r>
    </w:p>
    <w:p>
      <w:pPr>
        <w:pStyle w:val="ListBullet"/>
      </w:pPr>
      <w:r>
        <w:t>Preferred versions: full-color logo for dark backgrounds; approved dark/monochrome version for light backgrounds.</w:t>
      </w:r>
    </w:p>
    <w:p>
      <w:pPr>
        <w:pStyle w:val="ListBullet"/>
      </w:pPr>
      <w:r>
        <w:t>Do not recreate or redraw the logo from screenshots when the original vector/master file is available.</w:t>
      </w:r>
    </w:p>
    <w:p>
      <w:pPr>
        <w:pStyle w:val="ListBullet"/>
      </w:pPr>
      <w:r>
        <w:t>Keep editable master files in SVG/PDF/AI/EPS where available, plus PNG exports for everyday digital use.</w:t>
      </w:r>
    </w:p>
    <w:p>
      <w:pPr>
        <w:pStyle w:val="Heading1"/>
      </w:pPr>
      <w:r>
        <w:t>6. Typography</w:t>
      </w:r>
    </w:p>
    <w:p>
      <w:r>
        <w:t>Recommended primary font: Montserrat — clean, modern and suitable for headings.</w:t>
      </w:r>
    </w:p>
    <w:p>
      <w:r>
        <w:t>Recommended secondary font: Poppins — friendly and highly readable for digital copy.</w:t>
      </w:r>
    </w:p>
    <w:p>
      <w:r>
        <w:t>For Nepali materials, use a clean Devanagari family such as Noto Sans Devanagari.</w:t>
      </w:r>
    </w:p>
    <w:p>
      <w:r>
        <w:t>Hierarchy: Bold/ExtraBold for headlines • Medium/Semibold for subheads • Regular for body text.</w:t>
      </w:r>
    </w:p>
    <w:p>
      <w:pPr>
        <w:pStyle w:val="Heading1"/>
      </w:pPr>
      <w:r>
        <w:t>7. Photography &amp; Graphics</w:t>
      </w:r>
    </w:p>
    <w:p>
      <w:pPr>
        <w:pStyle w:val="ListBullet"/>
      </w:pPr>
      <w:r>
        <w:t>Use realistic, high-quality photography with soft natural or cinematic lighting.</w:t>
      </w:r>
    </w:p>
    <w:p>
      <w:pPr>
        <w:pStyle w:val="ListBullet"/>
      </w:pPr>
      <w:r>
        <w:t>Prefer calm compositions, human warmth, nature and meditation over dramatic occult imagery.</w:t>
      </w:r>
    </w:p>
    <w:p>
      <w:pPr>
        <w:pStyle w:val="ListBullet"/>
      </w:pPr>
      <w:r>
        <w:t>Use subtle golden glow/aura effects; avoid excessive lens flares or artificial energy effects.</w:t>
      </w:r>
    </w:p>
    <w:p>
      <w:pPr>
        <w:pStyle w:val="ListBullet"/>
      </w:pPr>
      <w:r>
        <w:t>For posters, preserve clear visual hierarchy: headline → key offer/service → date/time/location → contact → logo.</w:t>
      </w:r>
    </w:p>
    <w:p>
      <w:pPr>
        <w:pStyle w:val="ListBullet"/>
      </w:pPr>
      <w:r>
        <w:t>Recommended social formats: 4:5 for feeds, 9:16 for TikTok/Reels/Stories, 1:1 for square posts.</w:t>
      </w:r>
    </w:p>
    <w:p>
      <w:pPr>
        <w:pStyle w:val="Heading1"/>
      </w:pPr>
      <w:r>
        <w:t>8. Brand Voice</w:t>
      </w:r>
    </w:p>
    <w:p>
      <w:r>
        <w:t>Tone: warm, respectful, calm, encouraging and professional.</w:t>
      </w:r>
    </w:p>
    <w:p>
      <w:r>
        <w:t>Use language that supports personal reflection and wellness without guaranteeing medical or supernatural outcomes.</w:t>
      </w:r>
    </w:p>
    <w:p>
      <w:r>
        <w:t>Avoid fear-based claims, guaranteed cures, exaggerated promises and language that pressures people into purchasing services.</w:t>
      </w:r>
    </w:p>
    <w:p>
      <w:r>
        <w:t>For health-related topics, describe services as complementary/supportive and encourage appropriate professional care when needed.</w:t>
      </w:r>
    </w:p>
    <w:p>
      <w:pPr>
        <w:pStyle w:val="Heading1"/>
      </w:pPr>
      <w:r>
        <w:t>9. Messaging Framework</w:t>
      </w:r>
    </w:p>
    <w:p>
      <w:r>
        <w:rPr>
          <w:b/>
        </w:rPr>
        <w:t xml:space="preserve">Short Brand Description: </w:t>
      </w:r>
      <w:r>
        <w:t>Hex Healing Hub is a spiritual wellness and learning center offering meditation, energy-focused practices, hypnotherapy and spiritual education.</w:t>
      </w:r>
    </w:p>
    <w:p>
      <w:r>
        <w:rPr>
          <w:b/>
        </w:rPr>
        <w:t xml:space="preserve">Suggested Tagline: </w:t>
      </w:r>
      <w:r>
        <w:t>Heal Within • Awaken • Transform</w:t>
      </w:r>
    </w:p>
    <w:p>
      <w:r>
        <w:rPr>
          <w:b/>
        </w:rPr>
        <w:t xml:space="preserve">Social CTA: </w:t>
      </w:r>
      <w:r>
        <w:t>For details, class schedules and appointments, contact Hex Healing Hub through the official contact channel.</w:t>
      </w:r>
    </w:p>
    <w:p>
      <w:pPr>
        <w:pStyle w:val="Heading1"/>
      </w:pPr>
      <w:r>
        <w:t>10. Social Media Standards</w:t>
      </w:r>
    </w:p>
    <w:p>
      <w:r>
        <w:t>Profile: Keep logo, brand name and contact information consistent across platforms.</w:t>
      </w:r>
    </w:p>
    <w:p>
      <w:r>
        <w:t>Captions: Start with a clear hook, provide useful context, then give one simple call-to-action.</w:t>
      </w:r>
    </w:p>
    <w:p>
      <w:r>
        <w:t>Hashtags: Use a focused set relevant to the specific post; avoid excessive or unrelated tags.</w:t>
      </w:r>
    </w:p>
    <w:p>
      <w:r>
        <w:t>Visual consistency: Repeat the purple/blue/gold visual language and typography hierarchy.</w:t>
      </w:r>
    </w:p>
    <w:p>
      <w:pPr>
        <w:pStyle w:val="Heading1"/>
      </w:pPr>
      <w:r>
        <w:t>11. Contact Information</w:t>
      </w:r>
    </w:p>
    <w:p>
      <w:r>
        <w:t>Official brand name: HEX HEALING HUB</w:t>
      </w:r>
    </w:p>
    <w:p>
      <w:r>
        <w:t>Email: Hexhealinghub@gmail.com</w:t>
      </w:r>
    </w:p>
    <w:p>
      <w:r>
        <w:t>Butwal: 9705223335</w:t>
      </w:r>
    </w:p>
    <w:p>
      <w:r>
        <w:t>Pokhara: 9867187726</w:t>
      </w:r>
    </w:p>
    <w:p>
      <w:r>
        <w:t>Kapilvastu: 9700063356</w:t>
      </w:r>
    </w:p>
    <w:p>
      <w:r>
        <w:t>Note: Confirm current phone numbers and branch details before publishing any campaign or printed material.</w:t>
      </w:r>
    </w:p>
    <w:p>
      <w:pPr>
        <w:pStyle w:val="Heading1"/>
      </w:pPr>
      <w:r>
        <w:t>12. Brand Asset Package</w:t>
      </w:r>
    </w:p>
    <w:p>
      <w:r>
        <w:t>Recommended files to maintain as the official brand kit:</w:t>
      </w:r>
    </w:p>
    <w:p>
      <w:pPr>
        <w:pStyle w:val="ListBullet"/>
      </w:pPr>
      <w:r>
        <w:t>Logo — SVG / PDF / AI or EPS master</w:t>
      </w:r>
    </w:p>
    <w:p>
      <w:pPr>
        <w:pStyle w:val="ListBullet"/>
      </w:pPr>
      <w:r>
        <w:t>Logo — transparent PNG, large and small sizes</w:t>
      </w:r>
    </w:p>
    <w:p>
      <w:pPr>
        <w:pStyle w:val="ListBullet"/>
      </w:pPr>
      <w:r>
        <w:t>Logo — light-background and dark-background versions</w:t>
      </w:r>
    </w:p>
    <w:p>
      <w:pPr>
        <w:pStyle w:val="ListBullet"/>
      </w:pPr>
      <w:r>
        <w:t>Color palette — HEX / RGB / CMYK values</w:t>
      </w:r>
    </w:p>
    <w:p>
      <w:pPr>
        <w:pStyle w:val="ListBullet"/>
      </w:pPr>
      <w:r>
        <w:t>Typography — approved font names and weights</w:t>
      </w:r>
    </w:p>
    <w:p>
      <w:pPr>
        <w:pStyle w:val="ListBullet"/>
      </w:pPr>
      <w:r>
        <w:t>Social profile image and cover/banner templates</w:t>
      </w:r>
    </w:p>
    <w:p>
      <w:pPr>
        <w:pStyle w:val="ListBullet"/>
      </w:pPr>
      <w:r>
        <w:t>4:5, 1:1 and 9:16 social post templates</w:t>
      </w:r>
    </w:p>
    <w:p>
      <w:pPr>
        <w:pStyle w:val="ListBullet"/>
      </w:pPr>
      <w:r>
        <w:t>Business card, letterhead and certificate templates</w:t>
      </w:r>
    </w:p>
    <w:p>
      <w:pPr>
        <w:pStyle w:val="Heading1"/>
      </w:pPr>
      <w:r>
        <w:t>13. Do / Don't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</w:t>
            </w:r>
          </w:p>
        </w:tc>
        <w:tc>
          <w:tcPr>
            <w:tcW w:type="dxa" w:w="5040"/>
          </w:tcPr>
          <w:p>
            <w:r>
              <w:t>DON'T</w:t>
            </w:r>
          </w:p>
        </w:tc>
      </w:tr>
      <w:tr>
        <w:tc>
          <w:tcPr>
            <w:tcW w:type="dxa" w:w="5040"/>
          </w:tcPr>
          <w:p>
            <w:r>
              <w:t>Keep logo proportions intact</w:t>
            </w:r>
          </w:p>
        </w:tc>
        <w:tc>
          <w:tcPr>
            <w:tcW w:type="dxa" w:w="5040"/>
          </w:tcPr>
          <w:p>
            <w:r>
              <w:t>Stretch or compress the logo</w:t>
            </w:r>
          </w:p>
        </w:tc>
      </w:tr>
      <w:tr>
        <w:tc>
          <w:tcPr>
            <w:tcW w:type="dxa" w:w="5040"/>
          </w:tcPr>
          <w:p>
            <w:r>
              <w:t>Use approved colors</w:t>
            </w:r>
          </w:p>
        </w:tc>
        <w:tc>
          <w:tcPr>
            <w:tcW w:type="dxa" w:w="5040"/>
          </w:tcPr>
          <w:p>
            <w:r>
              <w:t>Use random neon colors</w:t>
            </w:r>
          </w:p>
        </w:tc>
      </w:tr>
      <w:tr>
        <w:tc>
          <w:tcPr>
            <w:tcW w:type="dxa" w:w="5040"/>
          </w:tcPr>
          <w:p>
            <w:r>
              <w:t>Keep layouts calm and premium</w:t>
            </w:r>
          </w:p>
        </w:tc>
        <w:tc>
          <w:tcPr>
            <w:tcW w:type="dxa" w:w="5040"/>
          </w:tcPr>
          <w:p>
            <w:r>
              <w:t>Overload posters with effects</w:t>
            </w:r>
          </w:p>
        </w:tc>
      </w:tr>
      <w:tr>
        <w:tc>
          <w:tcPr>
            <w:tcW w:type="dxa" w:w="5040"/>
          </w:tcPr>
          <w:p>
            <w:r>
              <w:t>Use clear, respectful claims</w:t>
            </w:r>
          </w:p>
        </w:tc>
        <w:tc>
          <w:tcPr>
            <w:tcW w:type="dxa" w:w="5040"/>
          </w:tcPr>
          <w:p>
            <w:r>
              <w:t>Promise guaranteed healing/cures</w:t>
            </w:r>
          </w:p>
        </w:tc>
      </w:tr>
      <w:tr>
        <w:tc>
          <w:tcPr>
            <w:tcW w:type="dxa" w:w="5040"/>
          </w:tcPr>
          <w:p>
            <w:r>
              <w:t>Keep contact details consistent</w:t>
            </w:r>
          </w:p>
        </w:tc>
        <w:tc>
          <w:tcPr>
            <w:tcW w:type="dxa" w:w="5040"/>
          </w:tcPr>
          <w:p>
            <w:r>
              <w:t>Publish unverified numbers</w:t>
            </w:r>
          </w:p>
        </w:tc>
      </w:tr>
    </w:tbl>
    <w:p>
      <w:pPr>
        <w:pStyle w:val="Heading1"/>
      </w:pPr>
      <w:r>
        <w:t>14. Approval &amp; Version Control</w:t>
      </w:r>
    </w:p>
    <w:p>
      <w:r>
        <w:t>Document: Hex Healing Hub Brand Guidelines</w:t>
      </w:r>
    </w:p>
    <w:p>
      <w:r>
        <w:t>Version: 1.0 • September 2026</w:t>
      </w:r>
    </w:p>
    <w:p>
      <w:r>
        <w:t>Owner: Hex Healing Hub</w:t>
      </w:r>
    </w:p>
    <w:p>
      <w:r>
        <w:t>Before external publication, verify logo files, contact details, branch information and any service/offer claims against the current approved information.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