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21,140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retrieval evaluation.</w:t>
      </w:r>
      <w:r>
        <w:t xml:space="preserve"> A read-only browser over the generated metadata is delivered, but no retrieval effectiveness measure (precision@k, nDCG, user study) is reported.</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to calibration and 38 to evaluation, so no programme contributes clips to both sides.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sources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615</w:t>
            </w:r>
          </w:p>
        </w:tc>
      </w:tr>
      <w:tr>
        <w:trPr>
          <w:cantSplit/>
          <w:jc w:val="center"/>
        </w:trPr>
        <w:tc>
          <w:tcPr>
            <w:tcW w:w="2340" w:type="dxa"/>
            <w:vAlign w:val="center"/>
          </w:tcPr>
          <w:p>
            <w:pPr>
              <w:pStyle w:val="tablecopy"/>
            </w:pPr>
            <w:r>
              <w:t xml:space="preserve">Clips per programme (range)</w:t>
            </w:r>
          </w:p>
        </w:tc>
        <w:tc>
          <w:tcPr>
            <w:tcW w:w="2340" w:type="dxa"/>
            <w:vAlign w:val="center"/>
          </w:tcPr>
          <w:p>
            <w:pPr>
              <w:pStyle w:val="tablecopy"/>
            </w:pPr>
            <w:r>
              <w:t xml:space="preserve">10 – 22</w:t>
            </w:r>
          </w:p>
        </w:tc>
      </w:tr>
    </w:tbl>
    <w:p>
      <w:pPr>
        <w:pStyle w:val="BodyText"/>
      </w:pPr>
      <w:r>
        <w:rPr>
          <w:b/>
          <w:highlight w:val="yellow"/>
          <w:b/>
        </w:rPr>
        <w:t xml:space="preserve">`[TO FILL: total corpus duration in hours; mean and SD of clips per programme; and the reconciliation between the 626 clips generated and the 615 in `ground_truth_metadata_615.json` used by the benchmark — state the reason for the 11-clip difference explicitly.]`</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615 clips under a protocol held constant across models: 4 uniformly sampled frames, identical prompt, greedy decoding, the same 34-label vocabulary, producing </w:t>
      </w:r>
      <w:r>
        <w:rPr>
          <w:b/>
        </w:rPr>
        <w:t xml:space="preserve">21,140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615)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0.377</w:t>
            </w:r>
          </w:p>
        </w:tc>
        <w:tc>
          <w:tcPr>
            <w:tcW w:w="1680" w:type="dxa"/>
            <w:vAlign w:val="center"/>
          </w:tcPr>
          <w:p>
            <w:pPr>
              <w:pStyle w:val="tablecopy"/>
            </w:pPr>
            <w:r>
              <w:t xml:space="preserve">0.038</w:t>
            </w:r>
          </w:p>
        </w:tc>
        <w:tc>
          <w:tcPr>
            <w:tcW w:w="1680" w:type="dxa"/>
            <w:vAlign w:val="center"/>
          </w:tcPr>
          <w:p>
            <w:pPr>
              <w:pStyle w:val="tablecopy"/>
            </w:pPr>
            <w:r>
              <w:t xml:space="preserve">0.864</w:t>
            </w:r>
          </w:p>
        </w:tc>
        <w:tc>
          <w:tcPr>
            <w:tcW w:w="1680" w:type="dxa"/>
            <w:vAlign w:val="center"/>
          </w:tcPr>
          <w:p>
            <w:pPr>
              <w:pStyle w:val="tablecopy"/>
            </w:pPr>
            <w:r>
              <w:t xml:space="preserve">0.225</w:t>
            </w:r>
          </w:p>
        </w:tc>
        <w:tc>
          <w:tcPr>
            <w:tcW w:w="1680" w:type="dxa"/>
            <w:vAlign w:val="center"/>
          </w:tcPr>
          <w:p>
            <w:pPr>
              <w:pStyle w:val="tablecopy"/>
            </w:pPr>
            <w: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0.382</w:t>
            </w:r>
          </w:p>
        </w:tc>
        <w:tc>
          <w:tcPr>
            <w:tcW w:w="1680" w:type="dxa"/>
            <w:vAlign w:val="center"/>
          </w:tcPr>
          <w:p>
            <w:pPr>
              <w:pStyle w:val="tablecopy"/>
            </w:pPr>
            <w:r>
              <w:t xml:space="preserve">0.028</w:t>
            </w:r>
          </w:p>
        </w:tc>
        <w:tc>
          <w:tcPr>
            <w:tcW w:w="1680" w:type="dxa"/>
            <w:vAlign w:val="center"/>
          </w:tcPr>
          <w:p>
            <w:pPr>
              <w:pStyle w:val="tablecopy"/>
            </w:pPr>
            <w:r>
              <w:t xml:space="preserve">0.876</w:t>
            </w:r>
          </w:p>
        </w:tc>
        <w:tc>
          <w:tcPr>
            <w:tcW w:w="1680" w:type="dxa"/>
            <w:vAlign w:val="center"/>
          </w:tcPr>
          <w:p>
            <w:pPr>
              <w:pStyle w:val="tablecopy"/>
            </w:pPr>
            <w:r>
              <w:t xml:space="preserve">0.321</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0.448</w:t>
            </w:r>
          </w:p>
        </w:tc>
        <w:tc>
          <w:tcPr>
            <w:tcW w:w="1680" w:type="dxa"/>
            <w:vAlign w:val="center"/>
          </w:tcPr>
          <w:p>
            <w:pPr>
              <w:pStyle w:val="tablecopy"/>
            </w:pPr>
            <w:r>
              <w:t xml:space="preserve">0.030</w:t>
            </w:r>
          </w:p>
        </w:tc>
        <w:tc>
          <w:tcPr>
            <w:tcW w:w="1680" w:type="dxa"/>
            <w:vAlign w:val="center"/>
          </w:tcPr>
          <w:p>
            <w:pPr>
              <w:pStyle w:val="tablecopy"/>
            </w:pPr>
            <w:r>
              <w:t xml:space="preserve">0.875</w:t>
            </w:r>
          </w:p>
        </w:tc>
        <w:tc>
          <w:tcPr>
            <w:tcW w:w="1680" w:type="dxa"/>
            <w:vAlign w:val="center"/>
          </w:tcPr>
          <w:p>
            <w:pPr>
              <w:pStyle w:val="tablecopy"/>
            </w:pPr>
            <w:r>
              <w:t xml:space="preserve">0.239</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0.386</w:t>
            </w:r>
          </w:p>
        </w:tc>
        <w:tc>
          <w:tcPr>
            <w:tcW w:w="1680" w:type="dxa"/>
            <w:vAlign w:val="center"/>
          </w:tcPr>
          <w:p>
            <w:pPr>
              <w:pStyle w:val="tablecopy"/>
            </w:pPr>
            <w:r>
              <w:rPr>
                <w:b/>
              </w:rPr>
              <w:t xml:space="preserve">0.040</w:t>
            </w:r>
          </w:p>
        </w:tc>
        <w:tc>
          <w:tcPr>
            <w:tcW w:w="1680" w:type="dxa"/>
            <w:vAlign w:val="center"/>
          </w:tcPr>
          <w:p>
            <w:pPr>
              <w:pStyle w:val="tablecopy"/>
            </w:pPr>
            <w:r>
              <w:t xml:space="preserve">0.867</w:t>
            </w:r>
          </w:p>
        </w:tc>
        <w:tc>
          <w:tcPr>
            <w:tcW w:w="1680" w:type="dxa"/>
            <w:vAlign w:val="center"/>
          </w:tcPr>
          <w:p>
            <w:pPr>
              <w:pStyle w:val="tablecopy"/>
            </w:pPr>
            <w:r>
              <w:t xml:space="preserve">0.307</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0.433</w:t>
            </w:r>
          </w:p>
        </w:tc>
        <w:tc>
          <w:tcPr>
            <w:tcW w:w="1680" w:type="dxa"/>
            <w:vAlign w:val="center"/>
          </w:tcPr>
          <w:p>
            <w:pPr>
              <w:pStyle w:val="tablecopy"/>
            </w:pPr>
            <w:r>
              <w:t xml:space="preserve">0.036</w:t>
            </w:r>
          </w:p>
        </w:tc>
        <w:tc>
          <w:tcPr>
            <w:tcW w:w="1680" w:type="dxa"/>
            <w:vAlign w:val="center"/>
          </w:tcPr>
          <w:p>
            <w:pPr>
              <w:pStyle w:val="tablecopy"/>
            </w:pPr>
            <w:r>
              <w:t xml:space="preserve">0.869</w:t>
            </w:r>
          </w:p>
        </w:tc>
        <w:tc>
          <w:tcPr>
            <w:tcW w:w="1680" w:type="dxa"/>
            <w:vAlign w:val="center"/>
          </w:tcPr>
          <w:p>
            <w:pPr>
              <w:pStyle w:val="tablecopy"/>
            </w:pPr>
            <w:r>
              <w:t xml:space="preserve">0.227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0.566</w:t>
            </w:r>
          </w:p>
        </w:tc>
        <w:tc>
          <w:tcPr>
            <w:tcW w:w="1680" w:type="dxa"/>
            <w:vAlign w:val="center"/>
          </w:tcPr>
          <w:p>
            <w:pPr>
              <w:pStyle w:val="tablecopy"/>
            </w:pPr>
            <w:r>
              <w:t xml:space="preserve">0.030</w:t>
            </w:r>
          </w:p>
        </w:tc>
        <w:tc>
          <w:tcPr>
            <w:tcW w:w="1680" w:type="dxa"/>
            <w:vAlign w:val="center"/>
          </w:tcPr>
          <w:p>
            <w:pPr>
              <w:pStyle w:val="tablecopy"/>
            </w:pPr>
            <w:r>
              <w:rPr>
                <w:b/>
              </w:rPr>
              <w:t xml:space="preserve">0.895</w:t>
            </w:r>
          </w:p>
        </w:tc>
        <w:tc>
          <w:tcPr>
            <w:tcW w:w="1680" w:type="dxa"/>
            <w:vAlign w:val="center"/>
          </w:tcPr>
          <w:p>
            <w:pPr>
              <w:pStyle w:val="tablecopy"/>
            </w:pPr>
            <w:r>
              <w:rPr>
                <w:b/>
              </w:rPr>
              <w:t xml:space="preserve">0.404</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0.410</w:t>
            </w:r>
          </w:p>
        </w:tc>
        <w:tc>
          <w:tcPr>
            <w:tcW w:w="1680" w:type="dxa"/>
            <w:vAlign w:val="center"/>
          </w:tcPr>
          <w:p>
            <w:pPr>
              <w:pStyle w:val="tablecopy"/>
            </w:pPr>
            <w:r>
              <w:t xml:space="preserve">0.026</w:t>
            </w:r>
          </w:p>
        </w:tc>
        <w:tc>
          <w:tcPr>
            <w:tcW w:w="1680" w:type="dxa"/>
            <w:vAlign w:val="center"/>
          </w:tcPr>
          <w:p>
            <w:pPr>
              <w:pStyle w:val="tablecopy"/>
            </w:pPr>
            <w:r>
              <w:t xml:space="preserve">0.878</w:t>
            </w:r>
          </w:p>
        </w:tc>
        <w:tc>
          <w:tcPr>
            <w:tcW w:w="1680" w:type="dxa"/>
            <w:vAlign w:val="center"/>
          </w:tcPr>
          <w:p>
            <w:pPr>
              <w:pStyle w:val="tablecopy"/>
            </w:pPr>
            <w:r>
              <w:t xml:space="preserve">0.354</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615/615 clips for every model on every field except people count (560/615, where the reference count could not be parsed).</w:t>
      </w:r>
    </w:p>
    <w:p>
      <w:pPr>
        <w:pStyle w:val="BodyText"/>
      </w:pPr>
      <w:r>
        <w:rPr>
          <w:b/>
        </w:rPr>
        <w:t xml:space="preserve">Scale does not predict agreement.</w:t>
      </w:r>
      <w:r>
        <w:t xml:space="preserve"> The smallest model in the study, InternVL3-2B, leads three of five fields — on-screen text (0.566, 26% above the best Qwen at 0.448), visual tags (0.895) and people count (0.404, 26% above the best Qwen at 0.321)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ahead on tags (0.876 vs 0.864) and markedly ahead on people count (0.321 vs 0.225); at 4B it is behind on on-screen text (0.386 vs 0.448) and tags (0.867 vs 0.875) and ahead on people count (0.307 vs 0.239).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Qwen3-VL-4B-Instruct returned an </w:t>
      </w:r>
      <w:r>
        <w:rPr>
          <w:b/>
        </w:rPr>
        <w:t xml:space="preserve">empty transcript on 613 of 615 clips</w:t>
      </w:r>
      <w:r>
        <w:t xml:space="preserve">, scored non-zero on 1, and peaked at 0.088 — the model correctly declining to invent dialogue, penalised at 0.0 for doing so by a recall metric that cannot distinguish honest abstention from failure. This is a disclosed design decision and a quantified finding: speech is the one field in this pipeline that a vision-only model cannot replace, and the 0.000 entries are evidence of the modality gap rather than of model failure.</w:t>
      </w:r>
    </w:p>
    <w:p>
      <w:pPr>
        <w:pStyle w:val="BodyText"/>
      </w:pPr>
      <w:r>
        <w:rPr>
          <w:b/>
        </w:rPr>
        <w:t xml:space="preserve">Keywords are near zero (0.026–0.040)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This column measures the same modality gap as the transcript column, indirectly, and should not be read as a keyword-extraction result.</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613/615 empty for 4B-Instruct</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Quantifying that at 613 empty predictions out of 615 puts a number on why this pipeline is multi-component rather than a single prompt to a large multimodal model — which is, in 2026, the obvious alternative design and the one a reviewer will ask about.</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No retrieval evaluation.</w:t>
      </w:r>
      <w:r>
        <w:t xml:space="preserve"> The browser is delivered but its effectiveness is unmeasured.</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21,140 scores, a 2B model leads three of five fields while every model scores at or near zero on transcript, with 613 of 615 predictions empty for one of them.</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Evaluate retrieval directly, with queries and relevance judgements over the delivered browser. (vi) Test shot-boundary clip segmentation against the fixed 30-second grid.</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 and a video-retrieval reference for the future-work claim in Section VI.]`</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