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papertitle"/>
      </w:pPr>
      <w:r>
        <w:t xml:space="preserve">Leveraging Foundational Models for Video Archival Data</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and single-model pipelines publish output with no indication of which fields can be trusted. This work builds a metadata pipeline for the NVTV public archive that publishes corroboration between independent model families alongside the metadata. Forty-seven programmes were segmented into 626 fixed 30-second clips totalling 5.09 h and annotated across five fields by heterogeneous pretrained families: Whisper-small/-turbo, Tesseract/EasyOCR, KeyBERT/YAKE/TF-IDF, CLIP ViT-B/32 and ViT-L/14 over a 34-label vocabulary, and BLIP-VQA/ViLT-VQA/DETR, plus an optional hosted Gemini annotator. Every field carries an evidence status, its supporting models and an agreement score excluding self-similarity. Agreement ranks fields by source independence rather than task difficulty: 0.812 for the four-family people count against 0.173 for keywords, whose extractors share one transcript, while on-screen text ends in conflict on 53.4% of clips and reaches high agreement on none. Under blur, visual-tag stability holds at 0.96 while text stability falls to 0.07. The hosted annotator rewrites 49.0% of visual-tag sets while agreeing with the local consensus 0.42 of the time, and changes 0.0% of on-screen text. Across seven open-weight vision-language models — Qwen3-VL 2B/4B/8B Instruct and Thinking, InternVL3-2B and -8B — and 21,489 scores, InternVL3-2B leads three of five fields and every model scores at or near zero on transcript. Reliability is a per-field property, and corroboration is reported as such.</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blue-plaque unveilings — from across the city's civic life. Each programme carries a title and sometimes a synopsis; nothing describes what happens inside it, so an archivist seeking a moment must watch it.</w:t>
      </w:r>
    </w:p>
    <w:p>
      <w:pPr>
        <w:pStyle w:val="BodyText"/>
      </w:pPr>
      <w:r>
        <w:t xml:space="preserve">Foundation models make automatic description feasible but not trustworthy: a pipeline emits its output with uniform confidence whether three independent models concurred or one guessed. A field marked uncertain can be worked with; a confidently wrong one silently corrupts the catalogue. The project requirement additionally excluded manual annotation of this material, removing the conventional route to a gold standard.</w:t>
      </w:r>
    </w:p>
    <w:p>
      <w:pPr>
        <w:pStyle w:val="Heading2"/>
      </w:pPr>
      <w:r>
        <w:t xml:space="preserve">Research Aim and Objectives</w:t>
      </w:r>
    </w:p>
    <w:p>
      <w:pPr>
        <w:pStyle w:val="BodyText"/>
      </w:pPr>
      <w:r>
        <w:rPr>
          <w:b/>
        </w:rPr>
        <w:t xml:space="preserve">Aim.</w:t>
      </w:r>
      <w:r>
        <w:t xml:space="preserve"> To produce segment-level metadata for an archival community-television corpus using only pretrained models, attaching to every field an auditable estimate of how strongly independent sources corroborate it. </w:t>
      </w:r>
      <w:r>
        <w:rPr>
          <w:b/>
        </w:rPr>
        <w:t xml:space="preserve">Objectives.</w:t>
      </w:r>
      <w:r>
        <w:t xml:space="preserve"> Segment the corpus resumably; generate five fields per clip from at least two independent families each; define an agreement scheme excluding self-similarity that never promotes empty output; quantify the effect of frame sampling, degradation and a hosted annotator; and benchmark seven vision-language models against the consensus.</w:t>
      </w:r>
    </w:p>
    <w:p>
      <w:pPr>
        <w:pStyle w:val="Heading2"/>
      </w:pPr>
      <w:r>
        <w:t xml:space="preserve">Scope and Boundaries</w:t>
      </w:r>
    </w:p>
    <w:p>
      <w:pPr>
        <w:pStyle w:val="BodyText"/>
      </w:pPr>
      <w:r>
        <w:t xml:space="preserve">No human gold standard exists, so every number measures corroboration between automatic sources, never correctness. No model is trained or fine-tuned. Clip boundaries are fixed and content-independent — shot boundaries choose frames </w:t>
      </w:r>
      <w:r>
        <w:rPr>
          <w:i/>
        </w:rPr>
        <w:t xml:space="preserve">within</w:t>
      </w:r>
      <w:r>
        <w:t xml:space="preserve"> a clip, never the clip itself. Only English speech is evaluated, and visual tags are confined to 34 labels, so a concept outside that list cannot be expressed. Fields are published at clip granularity, the underlying timing being computed and retained but not exposed, and Whisper produces one undifferentiated transcript per clip, so the record cannot say who said what.</w:t>
      </w:r>
    </w:p>
    <w:p>
      <w:pPr>
        <w:pStyle w:val="Heading2"/>
      </w:pPr>
      <w:r>
        <w:t xml:space="preserve">Research Questions</w:t>
      </w:r>
    </w:p>
    <w:p>
      <w:pPr>
        <w:pStyle w:val="BodyText"/>
      </w:pPr>
      <w:r>
        <w:rPr>
          <w:b/>
        </w:rPr>
        <w:t xml:space="preserve">RQ1.</w:t>
      </w:r>
      <w:r>
        <w:t xml:space="preserve"> How does scene-aware sampling affect coverage and stability relative to centre-frame and fixed three-frame sampling? </w:t>
      </w:r>
      <w:r>
        <w:rPr>
          <w:b/>
        </w:rPr>
        <w:t xml:space="preserve">RQ2.</w:t>
      </w:r>
      <w:r>
        <w:t xml:space="preserve"> How strongly do independent sources agree, field by field, once self-similarity and empty-output inflation are removed? </w:t>
      </w:r>
      <w:r>
        <w:rPr>
          <w:b/>
        </w:rPr>
        <w:t xml:space="preserve">RQ3.</w:t>
      </w:r>
      <w:r>
        <w:t xml:space="preserve"> Is robustness to visual degradation uniform across fields? </w:t>
      </w:r>
      <w:r>
        <w:rPr>
          <w:b/>
        </w:rPr>
        <w:t xml:space="preserve">RQ4.</w:t>
      </w:r>
      <w:r>
        <w:t xml:space="preserve"> How often does a hosted annotator corroborate the local families, and how often does it change the output? </w:t>
      </w:r>
      <w:r>
        <w:rPr>
          <w:b/>
        </w:rPr>
        <w:t xml:space="preserve">RQ5.</w:t>
      </w:r>
      <w:r>
        <w:t xml:space="preserve"> How do open-weight vision-language models compare against the consensus, and does scale predict agreement?</w:t>
      </w:r>
    </w:p>
    <w:p>
      <w:pPr>
        <w:pStyle w:val="Heading1"/>
      </w:pPr>
      <w:r>
        <w:t xml:space="preserve">Related Work</w:t>
      </w:r>
    </w:p>
    <w:p>
      <w:pPr>
        <w:pStyle w:val="Heading2"/>
      </w:pPr>
      <w:r>
        <w:t xml:space="preserve">Access to Archival and Broadcast Video</w:t>
      </w:r>
    </w:p>
    <w:p>
      <w:pPr>
        <w:pStyle w:val="BodyText"/>
      </w:pPr>
      <w:r>
        <w:t xml:space="preserve">TRECVid [1] established both the task shapes and the expectation that systems be compared against human-annotated references, which a working archive usually cannot satisfy. The German Broadcasting Archive is the closest published analogue: Mühling </w:t>
      </w:r>
      <w:r>
        <w:rPr>
          <w:i/>
        </w:rPr>
        <w:t xml:space="preserve">et al.</w:t>
      </w:r>
      <w:r>
        <w:t xml:space="preserve"> [2] applied shot-boundary detection, concept classification, person and text recognition to roughly 34,000 hours of GDR television, and VIVA [3] extended this to 91 archive-specific concepts; Pessanha and Akdag Salah [4] survey the same shift in oral-history archives. These report </w:t>
      </w:r>
      <w:r>
        <w:rPr>
          <w:b/>
        </w:rPr>
        <w:t xml:space="preserve">system-level</w:t>
      </w:r>
      <w:r>
        <w:t xml:space="preserve"> accuracy over an evaluated concept set, and VIVA addresses unreliability by adding human review rather than by attaching a reliability estimate to each record. The present work adds no reviewer, and publishes per field how strongly independent sources corroborated the value. Three gaps meet here: archival description rarely publishes per-field reliability, consensus methods are rarely applied to the heterogeneous field types a catalogue record contains, and where no human reference exists little guidance covers what may legitimately be reported.</w:t>
      </w:r>
    </w:p>
    <w:p>
      <w:pPr>
        <w:pStyle w:val="Heading2"/>
      </w:pPr>
      <w:r>
        <w:t xml:space="preserve">Foundation Models, Consensus and Vision-Language Models</w:t>
      </w:r>
    </w:p>
    <w:p>
      <w:pPr>
        <w:pStyle w:val="BodyText"/>
      </w:pPr>
      <w:r>
        <w:t xml:space="preserve">Contrastive image–text pretraining [5] made open-vocabulary labelling possible without task-specific training; weakly supervised recognition [6] did the same for speech, BLIP [7] and ViLT [8] for visual question answering, and set-prediction detection [9] gives a third route to counting people. What is exploited is not any model's accuracy but the heterogeneity of their failure modes: CLIP's ranking errors, a VQA model's answer-prior bias and a detector's missed small objects differ, so concurrence between them is informative in a way concurrence between two checkpoints of one architecture is not. Combining such sources as votes is the core of programmatic weak supervision [10]; inter-annotator agreement statistics [11] quantify how far annotations can be relied upon independently of whether any annotator is correct — applied here to machine annotators, with agreement reported as corroboration, never as a calibrated probability. Open-weight multimodal models — Qwen3-VL [12] and InternVL3 [13] — emit schema-constrained text from image sequences, making them plausible single-model replacements for a pipeline; their known failure mode is object hallucination [14], untested on archival community television.</w:t>
      </w:r>
    </w:p>
    <w:p>
      <w:pPr>
        <w:pStyle w:val="Heading1"/>
      </w:pPr>
      <w:r>
        <w:t xml:space="preserve">Method</w:t>
      </w:r>
    </w:p>
    <w:p>
      <w:pPr>
        <w:pStyle w:val="Heading2"/>
      </w:pPr>
      <w:r>
        <w:t xml:space="preserve">Corpus and Clip Construction</w:t>
      </w:r>
    </w:p>
    <w:p>
      <w:pPr>
        <w:pStyle w:val="BodyText"/>
      </w:pPr>
      <w:r>
        <w:t xml:space="preserve">The corpus is 47 NVTV programmes from 2016, segmented into fixed 30-second clips with FFmpeg, discarding any final fragment under 2.0 s, producing </w:t>
      </w:r>
      <w:r>
        <w:rPr>
          <w:b/>
        </w:rPr>
        <w:t xml:space="preserve">626 clips totalling 5.09 h with zero failures</w:t>
      </w:r>
      <w:r>
        <w:t xml:space="preserve">. Each worker writes a unique partial file, validates duration and publishes atomically, so ordering cannot perturb the dataset. Sources — not clips — are split, 9 programmes (123 clips) to calibration and 38 (503 clips) to evaluation, by a seeded permutation of the sorted identifiers; only calibration material was inspected when choosing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5.09 h (18,312 s; mean clip 29.25 s)</w:t>
            </w:r>
          </w:p>
        </w:tc>
      </w:tr>
    </w:tbl>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each </w:t>
      </w:r>
      <w:r>
        <w:rPr>
          <w:i/>
        </w:rPr>
        <w:t xml:space="preserve">family</w:t>
      </w:r>
      <w:r>
        <w:t xml:space="preserve"> receives equal total weight after within-family aggregation, so extra frames cannot manufacture voters; and no value is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[15], samples scene midpoints, always includes the temporal centre and caps at 5 frames. On-screen text uses a denser probe — every 2.5 s to at most 12 frames — because captions appear and disappear faster than the visual sampling interval.</w:t>
      </w:r>
    </w:p>
    <w:p>
      <w:pPr>
        <w:pStyle w:val="Heading2"/>
      </w:pPr>
      <w:r>
        <w:t xml:space="preserve">Strict Dual-Engine OCR</w:t>
      </w:r>
    </w:p>
    <w:p>
      <w:pPr>
        <w:pStyle w:val="BodyText"/>
      </w:pPr>
      <w:r>
        <w:t xml:space="preserve">On-screen text is the only field with a hard veto, because a hallucinated name in a catalogue record is the most damaging error available here. A string is published only if it exceeds per-engine confidence (Tesseract ≥ 60, EasyOCR ≥ 0.50), persists across ≥ 2 frames at similarity ≥ 0.82 and matches across engines at ≥ 0.80; otherwise the field is </w:t>
      </w:r>
      <w:r>
        <w:rPr>
          <w:rFonts w:ascii="Consolas" w:hAnsi="Consolas"/>
          <w:sz w:val="16"/>
        </w:rPr>
        <w:t xml:space="preserve">conflict</w:t>
      </w:r>
      <w:r>
        <w:t xml:space="preserve">, and no other source can override this.</w:t>
      </w:r>
    </w:p>
    <w:p>
      <w:pPr>
        <w:pStyle w:val="Heading2"/>
      </w:pPr>
      <w:r>
        <w:t xml:space="preserve">Evidence Status and Agreement Scoring</w:t>
      </w:r>
    </w:p>
    <w:p>
      <w:pPr>
        <w:pStyle w:val="BodyText"/>
      </w:pPr>
      <w:r>
        <w:t xml:space="preserve">Every field carries a status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with its supporting models and weights. An agreement score is computed only when at least two non-empty sources exist; otherwise it is </w:t>
      </w:r>
      <w:r>
        <w:rPr>
          <w:rFonts w:ascii="Consolas" w:hAnsi="Consolas"/>
          <w:sz w:val="16"/>
        </w:rPr>
        <w:t xml:space="preserve">null</w:t>
      </w:r>
      <w:r>
        <w:t xml:space="preserve"> and </w:t>
      </w:r>
      <w:r>
        <w:rPr>
          <w:rFonts w:ascii="Consolas" w:hAnsi="Consolas"/>
          <w:sz w:val="16"/>
        </w:rPr>
        <w:t xml:space="preserve">needs_caution</w:t>
      </w:r>
      <w:r>
        <w:t xml:space="preserve"> is set. Scores bin as </w:t>
      </w:r>
      <w:r>
        <w:rPr>
          <w:b/>
        </w:rPr>
        <w:t xml:space="preserve">high</w:t>
      </w:r>
      <w:r>
        <w:t xml:space="preserve"> (≥ 0.75), </w:t>
      </w:r>
      <w:r>
        <w:rPr>
          <w:b/>
        </w:rPr>
        <w:t xml:space="preserve">moderate</w:t>
      </w:r>
      <w:r>
        <w:t xml:space="preserve"> (≥ 0.50) and </w:t>
      </w:r>
      <w:r>
        <w:rPr>
          <w:b/>
        </w:rPr>
        <w:t xml:space="preserve">low</w:t>
      </w:r>
      <w:r>
        <w:t xml:space="preserve"> (&lt; 0.50), using mean pairwise set-F1, 1 − min(WER, 1) for transcripts and per-family voting for integers. Empty output is never promoted, preventing the degenerate optimum of a system that detects nothing and reports perfect corroboration.</w:t>
      </w:r>
    </w:p>
    <w:p>
      <w:pPr>
        <w:pStyle w:val="Heading2"/>
      </w:pPr>
      <w:r>
        <w:t xml:space="preserve">Hosted Annotator, Reproducibility and Ethics</w:t>
      </w:r>
    </w:p>
    <w:p>
      <w:pPr>
        <w:pStyle w:val="BodyText"/>
      </w:pPr>
      <w:r>
        <w:t xml:space="preserve">A hosted multimodal model (</w:t>
      </w:r>
      <w:r>
        <w:rPr>
          <w:rFonts w:ascii="Consolas" w:hAnsi="Consolas"/>
          <w:sz w:val="16"/>
        </w:rPr>
        <w:t xml:space="preserve">gemini-3.6-flash</w:t>
      </w:r>
      <w:r>
        <w:t xml:space="preserve">, ≤ 5 frames, schema-constrained JSON) contributes </w:t>
      </w:r>
      <w:r>
        <w:rPr>
          <w:b/>
        </w:rPr>
        <w:t xml:space="preserve">one family vote</w:t>
      </w:r>
      <w:r>
        <w:t xml:space="preserve"> to visual tags and people count; its on-screen text is diagnostic only. Seeds are fixed, model revisions recorded, every stage resumable, artefacts written atomically.</w:t>
      </w:r>
    </w:p>
    <w:p>
      <w:pPr>
        <w:pStyle w:val="BodyText"/>
      </w:pPr>
      <w:r>
        <w:t xml:space="preserve">The footage shows identifiable members of the public in public settings, recorded for broadcast. The pipeline performs no identity inference and the annotator is prompted against it; people count is an integer only; and sending frames to a hosted API is a third-party disclosure, gated on licence and data-governance approval, with local-only operation supported. The 34-label vocabulary encodes one person's view of what is worth recording about a community.</w:t>
      </w:r>
    </w:p>
    <w:p>
      <w:pPr>
        <w:pStyle w:val="Heading1"/>
      </w:pPr>
      <w:r>
        <w:t xml:space="preserve">Experimentation And Results</w:t>
      </w:r>
    </w:p>
    <w:p>
      <w:pPr>
        <w:pStyle w:val="Heading2"/>
      </w:pPr>
      <w:r>
        <w:t xml:space="preserve">Environment and Metrics</w:t>
      </w:r>
    </w:p>
    <w:p>
      <w:pPr>
        <w:pStyle w:val="BodyText"/>
      </w:pPr>
      <w:r>
        <w:t xml:space="preserve">The pipeline ran on Google Colab with an </w:t>
      </w:r>
      <w:r>
        <w:rPr>
          <w:b/>
        </w:rPr>
        <w:t xml:space="preserve">NVIDIA A100-SXM4-40GB</w:t>
      </w:r>
      <w:r>
        <w:t xml:space="preserve">; the benchmark on a Kelvin2 A100 MIG </w:t>
      </w:r>
      <w:r>
        <w:rPr>
          <w:rFonts w:ascii="Consolas" w:hAnsi="Consolas"/>
          <w:sz w:val="16"/>
        </w:rPr>
        <w:t xml:space="preserve">2g.20gb</w:t>
      </w:r>
      <w:r>
        <w:t xml:space="preserve"> slice, which is the binding constraint on that experiment — it sets the 4-frame budget and forces int4 quantisation for the 8B models. Package versions are pinned.</w:t>
      </w:r>
    </w:p>
    <w:p>
      <w:pPr>
        <w:pStyle w:val="BodyText"/>
      </w:pPr>
      <w:r>
        <w:t xml:space="preserve">Each metric has a limit. </w:t>
      </w:r>
      <w:r>
        <w:rPr>
          <w:i/>
        </w:rPr>
        <w:t xml:space="preserve">Agreement</w:t>
      </w:r>
      <w:r>
        <w:t xml:space="preserve"> is corroboration, not correctness; </w:t>
      </w:r>
      <w:r>
        <w:rPr>
          <w:i/>
        </w:rPr>
        <w:t xml:space="preserve">coverage</w:t>
      </w:r>
      <w:r>
        <w:t xml:space="preserve"> rewards recall with no precision counterpart; </w:t>
      </w:r>
      <w:r>
        <w:rPr>
          <w:i/>
        </w:rPr>
        <w:t xml:space="preserve">stability</w:t>
      </w:r>
      <w:r>
        <w:t xml:space="preserve"> cannot distinguish a consistently wrong system from a correct one; </w:t>
      </w:r>
      <w:r>
        <w:rPr>
          <w:i/>
        </w:rPr>
        <w:t xml:space="preserve">ROUGE-L recall</w:t>
      </w:r>
      <w:r>
        <w:t xml:space="preserve"> scores an honest abstention at 0.0 like a wrong answer; and </w:t>
      </w:r>
      <w:r>
        <w:rPr>
          <w:i/>
        </w:rPr>
        <w:t xml:space="preserve">multi-label accuracy</w:t>
      </w:r>
      <w:r>
        <w:t xml:space="preserve"> over 34 labels and 5 selected gives ≈ 0.85 for predicting nothing, so only differences between models are meaningful. The benchmark's reference is the pipeline's own consensus, so every benchmark number is agreement between automatic systems.</w:t>
      </w:r>
    </w:p>
    <w:p>
      <w:pPr>
        <w:pStyle w:val="Heading2"/>
      </w:pPr>
      <w:r>
        <w:t xml:space="preserve">RQ1: Frame-Sampling Ablation</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Set-F1 columns are symmetric set overlap against the centre-frame baseline; people-count stability is exp(−|Δ|), so 1.0 is an identical count. The centre row is 1.0 by construction.</w:t>
      </w:r>
    </w:p>
    <w:p>
      <w:pPr>
        <w:pStyle w:val="BodyText"/>
      </w:pPr>
      <w:r>
        <w:t xml:space="preserve">The OCR counts are </w:t>
      </w:r>
      <w:r>
        <w:rPr>
          <w:b/>
        </w:rPr>
        <w:t xml:space="preserve">not like-for-like, and the reason is the finding.</w:t>
      </w:r>
      <w:r>
        <w:t xml:space="preserve"> The persistence threshold derives from the frame count: one frame requires one occurrence, so the centre-frame policy publishes every raw OCR line unfiltered (14.5); fixed three-frame requires two of three widely spaced frames, which almost nothing survives (3.0); scene-aware draws from the dense probe of up to 12 frames, giving the same rule twelve chances (23.0). </w:t>
      </w:r>
      <w:r>
        <w:rPr>
          <w:b/>
        </w:rPr>
        <w:t xml:space="preserve">On the only like-for-like comparison — both filtered at two occurrences — scene-aware publishes roughly eight times the text of fixed three-frame sampling.</w:t>
      </w:r>
    </w:p>
    <w:p>
      <w:pPr>
        <w:pStyle w:val="BodyText"/>
      </w:pPr>
      <w:r>
        <w:t xml:space="preserve">Mean stability is still </w:t>
      </w:r>
      <w:r>
        <w:rPr>
          <w:i/>
        </w:rPr>
        <w:t xml:space="preserve">lowest</w:t>
      </w:r>
      <w:r>
        <w:t xml:space="preserve"> for scene-aware (0.5318 vs 0.5469), driven by people count: looking at more of the clip finds more people than the centre frame shows. Coverage and agreement trade directly. </w:t>
      </w:r>
      <w:r>
        <w:rPr>
          <w:i/>
        </w:rPr>
        <w:t xml:space="preserve">n</w:t>
      </w:r>
      <w:r>
        <w:t xml:space="preserve"> = 8; no significance is claimed.</w:t>
      </w:r>
    </w:p>
    <w:p>
      <w:pPr>
        <w:pStyle w:val="Heading2"/>
      </w:pPr>
      <w:r>
        <w:t xml:space="preserve">RQ2: Agreement Structure Across Fields</w:t>
      </w:r>
    </w:p>
    <w:p>
      <w:pPr>
        <w:pStyle w:val="BodyText"/>
      </w:pPr>
      <w:r>
        <w:t xml:space="preserve">Every field of all 626 clips was scored, ordered by mean agreement.</w:t>
      </w:r>
    </w:p>
    <w:p>
      <w:pPr>
        <w:sectPr>
          <w:type w:val="continuous"/>
          <w:pgSz w:w="12240" w:h="15840" w:code="1"/>
          <w:pgMar w:top="1080" w:right="907" w:bottom="1440" w:left="907" w:header="720" w:footer="720" w:gutter="0"/>
          <w:cols w:num="2" w:space="360"/>
          <w:docGrid w:linePitch="360"/>
        </w:sectPr>
      </w:pPr>
    </w:p>
    <w:p>
      <w:pPr>
        <w:pStyle w:val="tablehead"/>
      </w:pPr>
      <w:r>
        <w:t xml:space="preserve">Evidence Status And Agreement By Field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916"/>
        <w:gridCol w:w="916"/>
        <w:gridCol w:w="916"/>
        <w:gridCol w:w="916"/>
        <w:gridCol w:w="916"/>
        <w:gridCol w:w="916"/>
        <w:gridCol w:w="916"/>
        <w:gridCol w:w="916"/>
        <w:gridCol w:w="916"/>
        <w:gridCol w:w="916"/>
        <w:gridCol w:w="916"/>
      </w:tblGrid>
      <w:tr>
        <w:trPr>
          <w:cantSplit/>
          <w:tblHeader/>
          <w:jc w:val="center"/>
        </w:trPr>
        <w:tc>
          <w:tcPr>
            <w:tcW w:w="916" w:type="dxa"/>
            <w:vAlign w:val="center"/>
          </w:tcPr>
          <w:p>
            <w:pPr>
              <w:pStyle w:val="tablecolhead"/>
            </w:pPr>
            <w:r>
              <w:t xml:space="preserve">Field</w:t>
            </w:r>
          </w:p>
        </w:tc>
        <w:tc>
          <w:tcPr>
            <w:tcW w:w="916" w:type="dxa"/>
            <w:vAlign w:val="center"/>
          </w:tcPr>
          <w:p>
            <w:pPr>
              <w:pStyle w:val="tablecolhead"/>
            </w:pPr>
            <w:r>
              <w:t xml:space="preserve">Families</w:t>
            </w:r>
          </w:p>
        </w:tc>
        <w:tc>
          <w:tcPr>
            <w:tcW w:w="916" w:type="dxa"/>
            <w:vAlign w:val="center"/>
          </w:tcPr>
          <w:p>
            <w:pPr>
              <w:pStyle w:val="tablecolhead"/>
            </w:pPr>
            <w:r>
              <w:t xml:space="preserve">Observed</w:t>
            </w:r>
          </w:p>
        </w:tc>
        <w:tc>
          <w:tcPr>
            <w:tcW w:w="916" w:type="dxa"/>
            <w:vAlign w:val="center"/>
          </w:tcPr>
          <w:p>
            <w:pPr>
              <w:pStyle w:val="tablecolhead"/>
            </w:pPr>
            <w:r>
              <w:t xml:space="preserve">Conflict</w:t>
            </w:r>
          </w:p>
        </w:tc>
        <w:tc>
          <w:tcPr>
            <w:tcW w:w="916" w:type="dxa"/>
            <w:vAlign w:val="center"/>
          </w:tcPr>
          <w:p>
            <w:pPr>
              <w:pStyle w:val="tablecolhead"/>
            </w:pPr>
            <w:r>
              <w:t xml:space="preserve">Not detected</w:t>
            </w:r>
          </w:p>
        </w:tc>
        <w:tc>
          <w:tcPr>
            <w:tcW w:w="916" w:type="dxa"/>
            <w:vAlign w:val="center"/>
          </w:tcPr>
          <w:p>
            <w:pPr>
              <w:pStyle w:val="tablecolhead"/>
            </w:pPr>
            <w:r>
              <w:t xml:space="preserve">High ≥ 0.75</w:t>
            </w:r>
          </w:p>
        </w:tc>
        <w:tc>
          <w:tcPr>
            <w:tcW w:w="916" w:type="dxa"/>
            <w:vAlign w:val="center"/>
          </w:tcPr>
          <w:p>
            <w:pPr>
              <w:pStyle w:val="tablecolhead"/>
            </w:pPr>
            <w:r>
              <w:t xml:space="preserve">Moderate ≥ 0.50</w:t>
            </w:r>
          </w:p>
        </w:tc>
        <w:tc>
          <w:tcPr>
            <w:tcW w:w="916" w:type="dxa"/>
            <w:vAlign w:val="center"/>
          </w:tcPr>
          <w:p>
            <w:pPr>
              <w:pStyle w:val="tablecolhead"/>
            </w:pPr>
            <w:r>
              <w:t xml:space="preserve">Low &lt; 0.50</w:t>
            </w:r>
          </w:p>
        </w:tc>
        <w:tc>
          <w:tcPr>
            <w:tcW w:w="916" w:type="dxa"/>
            <w:vAlign w:val="center"/>
          </w:tcPr>
          <w:p>
            <w:pPr>
              <w:pStyle w:val="tablecolhead"/>
            </w:pPr>
            <w:r>
              <w:t xml:space="preserve">Not scored</w:t>
            </w:r>
          </w:p>
        </w:tc>
        <w:tc>
          <w:tcPr>
            <w:tcW w:w="916" w:type="dxa"/>
            <w:vAlign w:val="center"/>
          </w:tcPr>
          <w:p>
            <w:pPr>
              <w:pStyle w:val="tablecolhead"/>
            </w:pPr>
            <w:r>
              <w:t xml:space="preserve">Mean agreement</w:t>
            </w:r>
          </w:p>
        </w:tc>
        <w:tc>
          <w:tcPr>
            <w:tcW w:w="916" w:type="dxa"/>
            <w:vAlign w:val="center"/>
          </w:tcPr>
          <w:p>
            <w:pPr>
              <w:pStyle w:val="tablecolhead"/>
            </w:pPr>
            <w:r>
              <w:t xml:space="preserve">Needs caution</w:t>
            </w:r>
          </w:p>
        </w:tc>
      </w:tr>
      <w:tr>
        <w:trPr>
          <w:cantSplit/>
          <w:jc w:val="center"/>
        </w:trPr>
        <w:tc>
          <w:tcPr>
            <w:tcW w:w="916" w:type="dxa"/>
            <w:vAlign w:val="center"/>
          </w:tcPr>
          <w:p>
            <w:pPr>
              <w:pStyle w:val="tablecopy"/>
            </w:pPr>
            <w:r>
              <w:t xml:space="preserve">People count</w:t>
            </w:r>
          </w:p>
        </w:tc>
        <w:tc>
          <w:tcPr>
            <w:tcW w:w="916" w:type="dxa"/>
            <w:vAlign w:val="center"/>
          </w:tcPr>
          <w:p>
            <w:pPr>
              <w:pStyle w:val="tablecopy"/>
            </w:pPr>
            <w:r>
              <w:t xml:space="preserve">4</w:t>
            </w:r>
          </w:p>
        </w:tc>
        <w:tc>
          <w:tcPr>
            <w:tcW w:w="916" w:type="dxa"/>
            <w:vAlign w:val="center"/>
          </w:tcPr>
          <w:p>
            <w:pPr>
              <w:pStyle w:val="tablecopy"/>
            </w:pPr>
            <w:r>
              <w:t xml:space="preserve">0.907</w:t>
            </w:r>
          </w:p>
        </w:tc>
        <w:tc>
          <w:tcPr>
            <w:tcW w:w="916" w:type="dxa"/>
            <w:vAlign w:val="center"/>
          </w:tcPr>
          <w:p>
            <w:pPr>
              <w:pStyle w:val="tablecopy"/>
            </w:pPr>
            <w:r>
              <w:t xml:space="preserve">—</w:t>
            </w:r>
          </w:p>
        </w:tc>
        <w:tc>
          <w:tcPr>
            <w:tcW w:w="916" w:type="dxa"/>
            <w:vAlign w:val="center"/>
          </w:tcPr>
          <w:p>
            <w:pPr>
              <w:pStyle w:val="tablecopy"/>
            </w:pPr>
            <w:r>
              <w:t xml:space="preserve">0.093</w:t>
            </w:r>
          </w:p>
        </w:tc>
        <w:tc>
          <w:tcPr>
            <w:tcW w:w="916" w:type="dxa"/>
            <w:vAlign w:val="center"/>
          </w:tcPr>
          <w:p>
            <w:pPr>
              <w:pStyle w:val="tablecopy"/>
            </w:pPr>
            <w:r>
              <w:rPr>
                <w:b/>
              </w:rPr>
              <w:t xml:space="preserve">0.625</w:t>
            </w:r>
          </w:p>
        </w:tc>
        <w:tc>
          <w:tcPr>
            <w:tcW w:w="916" w:type="dxa"/>
            <w:vAlign w:val="center"/>
          </w:tcPr>
          <w:p>
            <w:pPr>
              <w:pStyle w:val="tablecopy"/>
            </w:pPr>
            <w:r>
              <w:t xml:space="preserve">0.174</w:t>
            </w:r>
          </w:p>
        </w:tc>
        <w:tc>
          <w:tcPr>
            <w:tcW w:w="916" w:type="dxa"/>
            <w:vAlign w:val="center"/>
          </w:tcPr>
          <w:p>
            <w:pPr>
              <w:pStyle w:val="tablecopy"/>
            </w:pPr>
            <w:r>
              <w:t xml:space="preserve">0.109</w:t>
            </w:r>
          </w:p>
        </w:tc>
        <w:tc>
          <w:tcPr>
            <w:tcW w:w="916" w:type="dxa"/>
            <w:vAlign w:val="center"/>
          </w:tcPr>
          <w:p>
            <w:pPr>
              <w:pStyle w:val="tablecopy"/>
            </w:pPr>
            <w:r>
              <w:t xml:space="preserve">0.093</w:t>
            </w:r>
          </w:p>
        </w:tc>
        <w:tc>
          <w:tcPr>
            <w:tcW w:w="916" w:type="dxa"/>
            <w:vAlign w:val="center"/>
          </w:tcPr>
          <w:p>
            <w:pPr>
              <w:pStyle w:val="tablecopy"/>
            </w:pPr>
            <w:r>
              <w:rPr>
                <w:b/>
              </w:rPr>
              <w:t xml:space="preserve">0.812</w:t>
            </w:r>
          </w:p>
        </w:tc>
        <w:tc>
          <w:tcPr>
            <w:tcW w:w="916" w:type="dxa"/>
            <w:vAlign w:val="center"/>
          </w:tcPr>
          <w:p>
            <w:pPr>
              <w:pStyle w:val="tablecopy"/>
            </w:pPr>
            <w:r>
              <w:rPr>
                <w:b/>
              </w:rPr>
              <w:t xml:space="preserve">0.109</w:t>
            </w:r>
          </w:p>
        </w:tc>
      </w:tr>
      <w:tr>
        <w:trPr>
          <w:cantSplit/>
          <w:jc w:val="center"/>
        </w:trPr>
        <w:tc>
          <w:tcPr>
            <w:tcW w:w="916" w:type="dxa"/>
            <w:vAlign w:val="center"/>
          </w:tcPr>
          <w:p>
            <w:pPr>
              <w:pStyle w:val="tablecopy"/>
            </w:pPr>
            <w:r>
              <w:t xml:space="preserve">Transcript</w:t>
            </w:r>
          </w:p>
        </w:tc>
        <w:tc>
          <w:tcPr>
            <w:tcW w:w="916" w:type="dxa"/>
            <w:vAlign w:val="center"/>
          </w:tcPr>
          <w:p>
            <w:pPr>
              <w:pStyle w:val="tablecopy"/>
            </w:pPr>
            <w:r>
              <w:t xml:space="preserve">2</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0.722</w:t>
            </w:r>
          </w:p>
        </w:tc>
        <w:tc>
          <w:tcPr>
            <w:tcW w:w="916" w:type="dxa"/>
            <w:vAlign w:val="center"/>
          </w:tcPr>
          <w:p>
            <w:pPr>
              <w:pStyle w:val="tablecopy"/>
            </w:pPr>
            <w:r>
              <w:t xml:space="preserve">0.045</w:t>
            </w:r>
          </w:p>
        </w:tc>
        <w:tc>
          <w:tcPr>
            <w:tcW w:w="916" w:type="dxa"/>
            <w:vAlign w:val="center"/>
          </w:tcPr>
          <w:p>
            <w:pPr>
              <w:pStyle w:val="tablecopy"/>
            </w:pPr>
            <w:r>
              <w:t xml:space="preserve">0.230</w:t>
            </w:r>
          </w:p>
        </w:tc>
        <w:tc>
          <w:tcPr>
            <w:tcW w:w="916" w:type="dxa"/>
            <w:vAlign w:val="center"/>
          </w:tcPr>
          <w:p>
            <w:pPr>
              <w:pStyle w:val="tablecopy"/>
            </w:pPr>
            <w:r>
              <w:t xml:space="preserve">0.003</w:t>
            </w:r>
          </w:p>
        </w:tc>
        <w:tc>
          <w:tcPr>
            <w:tcW w:w="916" w:type="dxa"/>
            <w:vAlign w:val="center"/>
          </w:tcPr>
          <w:p>
            <w:pPr>
              <w:pStyle w:val="tablecopy"/>
            </w:pPr>
            <w:r>
              <w:t xml:space="preserve">0.680</w:t>
            </w:r>
          </w:p>
        </w:tc>
        <w:tc>
          <w:tcPr>
            <w:tcW w:w="916" w:type="dxa"/>
            <w:vAlign w:val="center"/>
          </w:tcPr>
          <w:p>
            <w:pPr>
              <w:pStyle w:val="tablecopy"/>
            </w:pPr>
            <w:r>
              <w:t xml:space="preserve">0.233</w:t>
            </w:r>
          </w:p>
        </w:tc>
      </w:tr>
      <w:tr>
        <w:trPr>
          <w:cantSplit/>
          <w:jc w:val="center"/>
        </w:trPr>
        <w:tc>
          <w:tcPr>
            <w:tcW w:w="916" w:type="dxa"/>
            <w:vAlign w:val="center"/>
          </w:tcPr>
          <w:p>
            <w:pPr>
              <w:pStyle w:val="tablecopy"/>
            </w:pPr>
            <w:r>
              <w:t xml:space="preserve">Visual tags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0.026</w:t>
            </w:r>
          </w:p>
        </w:tc>
        <w:tc>
          <w:tcPr>
            <w:tcW w:w="916" w:type="dxa"/>
            <w:vAlign w:val="center"/>
          </w:tcPr>
          <w:p>
            <w:pPr>
              <w:pStyle w:val="tablecopy"/>
            </w:pPr>
            <w:r>
              <w:t xml:space="preserve">0.511</w:t>
            </w:r>
          </w:p>
        </w:tc>
        <w:tc>
          <w:tcPr>
            <w:tcW w:w="916" w:type="dxa"/>
            <w:vAlign w:val="center"/>
          </w:tcPr>
          <w:p>
            <w:pPr>
              <w:pStyle w:val="tablecopy"/>
            </w:pPr>
            <w:r>
              <w:t xml:space="preserve">0.463</w:t>
            </w:r>
          </w:p>
        </w:tc>
        <w:tc>
          <w:tcPr>
            <w:tcW w:w="916" w:type="dxa"/>
            <w:vAlign w:val="center"/>
          </w:tcPr>
          <w:p>
            <w:pPr>
              <w:pStyle w:val="tablecopy"/>
            </w:pPr>
            <w:r>
              <w:t xml:space="preserve">0.000</w:t>
            </w:r>
          </w:p>
        </w:tc>
        <w:tc>
          <w:tcPr>
            <w:tcW w:w="916" w:type="dxa"/>
            <w:vAlign w:val="center"/>
          </w:tcPr>
          <w:p>
            <w:pPr>
              <w:pStyle w:val="tablecopy"/>
            </w:pPr>
            <w:r>
              <w:t xml:space="preserve">0.509</w:t>
            </w:r>
          </w:p>
        </w:tc>
        <w:tc>
          <w:tcPr>
            <w:tcW w:w="916" w:type="dxa"/>
            <w:vAlign w:val="center"/>
          </w:tcPr>
          <w:p>
            <w:pPr>
              <w:pStyle w:val="tablecopy"/>
            </w:pPr>
            <w:r>
              <w:t xml:space="preserve">0.463</w:t>
            </w:r>
          </w:p>
        </w:tc>
      </w:tr>
      <w:tr>
        <w:trPr>
          <w:cantSplit/>
          <w:jc w:val="center"/>
        </w:trPr>
        <w:tc>
          <w:tcPr>
            <w:tcW w:w="916" w:type="dxa"/>
            <w:vAlign w:val="center"/>
          </w:tcPr>
          <w:p>
            <w:pPr>
              <w:pStyle w:val="tablecopy"/>
            </w:pPr>
            <w:r>
              <w:t xml:space="preserve">Keywords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0.002</w:t>
            </w:r>
          </w:p>
        </w:tc>
        <w:tc>
          <w:tcPr>
            <w:tcW w:w="916" w:type="dxa"/>
            <w:vAlign w:val="center"/>
          </w:tcPr>
          <w:p>
            <w:pPr>
              <w:pStyle w:val="tablecopy"/>
            </w:pPr>
            <w:r>
              <w:t xml:space="preserve">0.005</w:t>
            </w:r>
          </w:p>
        </w:tc>
        <w:tc>
          <w:tcPr>
            <w:tcW w:w="916" w:type="dxa"/>
            <w:vAlign w:val="center"/>
          </w:tcPr>
          <w:p>
            <w:pPr>
              <w:pStyle w:val="tablecopy"/>
            </w:pPr>
            <w:r>
              <w:rPr>
                <w:b/>
              </w:rPr>
              <w:t xml:space="preserve">0.990</w:t>
            </w:r>
          </w:p>
        </w:tc>
        <w:tc>
          <w:tcPr>
            <w:tcW w:w="916" w:type="dxa"/>
            <w:vAlign w:val="center"/>
          </w:tcPr>
          <w:p>
            <w:pPr>
              <w:pStyle w:val="tablecopy"/>
            </w:pPr>
            <w:r>
              <w:t xml:space="preserve">0.003</w:t>
            </w:r>
          </w:p>
        </w:tc>
        <w:tc>
          <w:tcPr>
            <w:tcW w:w="916" w:type="dxa"/>
            <w:vAlign w:val="center"/>
          </w:tcPr>
          <w:p>
            <w:pPr>
              <w:pStyle w:val="tablecopy"/>
            </w:pPr>
            <w:r>
              <w:rPr>
                <w:b/>
              </w:rPr>
              <w:t xml:space="preserve">0.173</w:t>
            </w:r>
          </w:p>
        </w:tc>
        <w:tc>
          <w:tcPr>
            <w:tcW w:w="916" w:type="dxa"/>
            <w:vAlign w:val="center"/>
          </w:tcPr>
          <w:p>
            <w:pPr>
              <w:pStyle w:val="tablecopy"/>
            </w:pPr>
            <w:r>
              <w:rPr>
                <w:b/>
              </w:rPr>
              <w:t xml:space="preserve">0.994</w:t>
            </w:r>
          </w:p>
        </w:tc>
      </w:tr>
      <w:tr>
        <w:trPr>
          <w:cantSplit/>
          <w:jc w:val="center"/>
        </w:trPr>
        <w:tc>
          <w:tcPr>
            <w:tcW w:w="916" w:type="dxa"/>
            <w:vAlign w:val="center"/>
          </w:tcPr>
          <w:p>
            <w:pPr>
              <w:pStyle w:val="tablecopy"/>
            </w:pPr>
            <w:r>
              <w:t xml:space="preserve">On-screen text</w:t>
            </w:r>
          </w:p>
        </w:tc>
        <w:tc>
          <w:tcPr>
            <w:tcW w:w="916" w:type="dxa"/>
            <w:vAlign w:val="center"/>
          </w:tcPr>
          <w:p>
            <w:pPr>
              <w:pStyle w:val="tablecopy"/>
            </w:pPr>
            <w:r>
              <w:t xml:space="preserve">2</w:t>
            </w:r>
          </w:p>
        </w:tc>
        <w:tc>
          <w:tcPr>
            <w:tcW w:w="916" w:type="dxa"/>
            <w:vAlign w:val="center"/>
          </w:tcPr>
          <w:p>
            <w:pPr>
              <w:pStyle w:val="tablecopy"/>
            </w:pPr>
            <w:r>
              <w:t xml:space="preserve">0.467</w:t>
            </w:r>
          </w:p>
        </w:tc>
        <w:tc>
          <w:tcPr>
            <w:tcW w:w="916" w:type="dxa"/>
            <w:vAlign w:val="center"/>
          </w:tcPr>
          <w:p>
            <w:pPr>
              <w:pStyle w:val="tablecopy"/>
            </w:pPr>
            <w:r>
              <w:rPr>
                <w:b/>
              </w:rPr>
              <w:t xml:space="preserve">0.534</w:t>
            </w:r>
          </w:p>
        </w:tc>
        <w:tc>
          <w:tcPr>
            <w:tcW w:w="916" w:type="dxa"/>
            <w:vAlign w:val="center"/>
          </w:tcPr>
          <w:p>
            <w:pPr>
              <w:pStyle w:val="tablecopy"/>
            </w:pPr>
            <w:r>
              <w:t xml:space="preserve">—</w:t>
            </w:r>
          </w:p>
        </w:tc>
        <w:tc>
          <w:tcPr>
            <w:tcW w:w="916" w:type="dxa"/>
            <w:vAlign w:val="center"/>
          </w:tcPr>
          <w:p>
            <w:pPr>
              <w:pStyle w:val="tablecopy"/>
            </w:pPr>
            <w:r>
              <w:rPr>
                <w:b/>
              </w:rPr>
              <w:t xml:space="preserve">0.000</w:t>
            </w:r>
          </w:p>
        </w:tc>
        <w:tc>
          <w:tcPr>
            <w:tcW w:w="916" w:type="dxa"/>
            <w:vAlign w:val="center"/>
          </w:tcPr>
          <w:p>
            <w:pPr>
              <w:pStyle w:val="tablecopy"/>
            </w:pPr>
            <w:r>
              <w:t xml:space="preserve">0.005</w:t>
            </w:r>
          </w:p>
        </w:tc>
        <w:tc>
          <w:tcPr>
            <w:tcW w:w="916" w:type="dxa"/>
            <w:vAlign w:val="center"/>
          </w:tcPr>
          <w:p>
            <w:pPr>
              <w:pStyle w:val="tablecopy"/>
            </w:pPr>
            <w:r>
              <w:t xml:space="preserve">0.462</w:t>
            </w:r>
          </w:p>
        </w:tc>
        <w:tc>
          <w:tcPr>
            <w:tcW w:w="916" w:type="dxa"/>
            <w:vAlign w:val="center"/>
          </w:tcPr>
          <w:p>
            <w:pPr>
              <w:pStyle w:val="tablecopy"/>
            </w:pPr>
            <w:r>
              <w:t xml:space="preserve">0.534</w:t>
            </w:r>
          </w:p>
        </w:tc>
        <w:tc>
          <w:tcPr>
            <w:tcW w:w="916" w:type="dxa"/>
            <w:vAlign w:val="center"/>
          </w:tcPr>
          <w:p>
            <w:pPr>
              <w:pStyle w:val="tablecopy"/>
            </w:pPr>
            <w:r>
              <w:t xml:space="preserve">0.156</w:t>
            </w:r>
          </w:p>
        </w:tc>
        <w:tc>
          <w:tcPr>
            <w:tcW w:w="916" w:type="dxa"/>
            <w:vAlign w:val="center"/>
          </w:tcPr>
          <w:p>
            <w:pPr>
              <w:pStyle w:val="tablecopy"/>
            </w:pPr>
            <w:r>
              <w:rPr>
                <w:b/>
              </w:rPr>
              <w:t xml:space="preserve">0.995</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Agreement tracks how independent a field's sources are, not how hard its task is.</w:t>
      </w:r>
      <w:r>
        <w:t xml:space="preserve"> People count is best corroborated (0.812, 62.5% high, 10.9% flagged) and has the most diverse evidence: two VQA models of different architecture, a detector and a hosted model, converging on an integer. Visual tags sit at 0.509; keywords, whose extractors read the </w:t>
      </w:r>
      <w:r>
        <w:rPr>
          <w:i/>
        </w:rPr>
        <w:t xml:space="preserve">same</w:t>
      </w:r>
      <w:r>
        <w:t xml:space="preserve"> transcript, collapse to 0.173. The ordering is the ordering of source independence.</w:t>
      </w:r>
    </w:p>
    <w:p>
      <w:pPr>
        <w:pStyle w:val="BodyText"/>
      </w:pPr>
      <w:r>
        <w:rPr>
          <w:b/>
        </w:rPr>
        <w:t xml:space="preserve">Keywords do not meet the design's own premise.</w:t>
      </w:r>
      <w:r>
        <w:t xml:space="preserve"> The scheme requires two independent families per field; keywords have three extractors but one input, agreeing pairwise 0.327 (TF-IDF/YAKE), 0.108 (KeyBERT/YAKE) and 0.078 (KeyBERT/TF-IDF) — three ranking functions over one text, not three sources of evidence.</w:t>
      </w:r>
    </w:p>
    <w:p>
      <w:pPr>
        <w:pStyle w:val="BodyText"/>
      </w:pPr>
      <w:r>
        <w:rPr>
          <w:b/>
        </w:rPr>
        <w:t xml:space="preserve">On-screen text is either vetoed or weakly corroborated, never confidently published:</w:t>
      </w:r>
      <w:r>
        <w:t xml:space="preserve"> 53.4% of clips end in </w:t>
      </w:r>
      <w:r>
        <w:rPr>
          <w:rFonts w:ascii="Consolas" w:hAnsi="Consolas"/>
          <w:sz w:val="16"/>
        </w:rPr>
        <w:t xml:space="preserve">conflict</w:t>
      </w:r>
      <w:r>
        <w:t xml:space="preserve">, and of the rest none reaches high agreement — the intended trade, now quantified. </w:t>
      </w:r>
      <w:r>
        <w:rPr>
          <w:b/>
        </w:rPr>
        <w:t xml:space="preserve">Transcript's 0.680 is the number to trust least</w:t>
      </w:r>
      <w:r>
        <w:t xml:space="preserve">, its two sources being the most correlated pair in the system.</w:t>
      </w:r>
    </w:p>
    <w:p>
      <w:pPr>
        <w:pStyle w:val="Heading2"/>
      </w:pPr>
      <w:r>
        <w:t xml:space="preserve">RQ3: Perturbation Robustness</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a property of each field, not of the pipeline. Under blur, visual tagging is almost unaffected (0.96) while OCR retains 7% of its output — a 13-fold difference. CLIP scores global scene semantics that survive low-pass filtering, whereas character recognition depends on high-frequency detail that blur removes and the dual-engine rule then vetoes. Hence a deployment rule: </w:t>
      </w:r>
      <w:r>
        <w:rPr>
          <w:b/>
        </w:rPr>
        <w:t xml:space="preserve">on degraded material the scene-level fields remain usable and the text field should be treated as absent rather than as evidence of absence.</w:t>
      </w:r>
      <w:r>
        <w:t xml:space="preserve"> </w:t>
      </w:r>
      <w:r>
        <w:rPr>
          <w:i/>
        </w:rPr>
        <w:t xml:space="preserve">n</w:t>
      </w:r>
      <w:r>
        <w:t xml:space="preserve"> = 5.</w:t>
      </w:r>
    </w:p>
    <w:p>
      <w:pPr>
        <w:pStyle w:val="Heading2"/>
      </w:pPr>
      <w:r>
        <w:t xml:space="preserve">RQ4: Hosted-Annotator Contribution Ablation</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On-screen text: coverage 0.385, change rate exactly 0.0</w:t>
      </w:r>
      <w:r>
        <w:t xml:space="preserve"> — the annotator proposed text on 38.5% of clips and changed the published field on none, verifying the veto empirically. </w:t>
      </w:r>
      <w:r>
        <w:rPr>
          <w:b/>
        </w:rPr>
        <w:t xml:space="preserve">People count: high agreement (0.8445), negligible change (1.8%).</w:t>
      </w:r>
      <w:r>
        <w:t xml:space="preserve"> </w:t>
      </w:r>
      <w:r>
        <w:rPr>
          <w:b/>
        </w:rPr>
        <w:t xml:space="preserve">Visual tags: the annotator disagrees with the local consensus more often than it agrees (0.4194) yet changes 49.0% of published tag sets.</w:t>
      </w:r>
    </w:p>
    <w:p>
      <w:pPr>
        <w:pStyle w:val="BodyText"/>
      </w:pPr>
      <w:r>
        <w:t xml:space="preserve">That last row is uncomfortable: under equal family weights a third voter differing systematically from two correlated ones breaks ties in its own favour at scale. Whether that is correction or corruption </w:t>
      </w:r>
      <w:r>
        <w:rPr>
          <w:b/>
        </w:rPr>
        <w:t xml:space="preserve">cannot be determined from these numbers</w:t>
      </w:r>
      <w:r>
        <w:t xml:space="preserve">, since no independent reference exists; a deployment that cannot tolerate this should run local-only, which the design permits.</w:t>
      </w:r>
    </w:p>
    <w:p>
      <w:pPr>
        <w:pStyle w:val="Heading2"/>
      </w:pPr>
      <w:r>
        <w:t xml:space="preserve">RQ5: Open-Weight VLM Benchmark</w:t>
      </w:r>
    </w:p>
    <w:p>
      <w:pPr>
        <w:pStyle w:val="BodyText"/>
      </w:pPr>
      <w:r>
        <w:t xml:space="preserve">Seven models ran zero-shot over all 626 clips under a constant protocol — 4 uniformly sampled frames, identical prompt, greedy decoding, the same vocabulary — producing </w:t>
      </w:r>
      <w:r>
        <w:rPr>
          <w:b/>
        </w:rPr>
        <w:t xml:space="preserve">21,489 (model, clip, field) scores</w:t>
      </w:r>
      <w:r>
        <w:t xml:space="preserve">. Thinking variants got a larger token budget (1400 vs 700); both 8B models ran int4-quantised.</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Scale does not predict agreement.</w:t>
      </w:r>
      <w:r>
        <w:t xml:space="preserve"> InternVL3-2B, the smallest model here, leads three of five fields — on-screen text (0.544, 19% above the best Qwen), visual tags (0.890) and people count (0.417, 29% above) — and beats InternVL3-8B on all three, while the 8B Qwen leads nothing. Quantisation confounds the 8B results, so the defensible claim is narrower: a 2B model sufficed and paying for 8B bought nothing measurable.</w:t>
      </w:r>
    </w:p>
    <w:p>
      <w:pPr>
        <w:pStyle w:val="BodyText"/>
      </w:pPr>
      <w:r>
        <w:rPr>
          <w:b/>
        </w:rPr>
        <w:t xml:space="preserve">Thinking variants do not dominate their Instruct siblings.</w:t>
      </w:r>
      <w:r>
        <w:t xml:space="preserve"> At 2B, Thinking is level on on-screen text and tags but ahead on people count (0.323 vs 0.233); at 4B it is behind on on-screen text (0.389 vs 0.456) and ahead on people count (0.315 vs 0.241) — deliberation helping enumeration, not perception. Thinking models alone receive a forced-conclusion retry.</w:t>
      </w:r>
    </w:p>
    <w:p>
      <w:pPr>
        <w:pStyle w:val="BodyText"/>
      </w:pPr>
      <w:r>
        <w:rPr>
          <w:b/>
        </w:rPr>
        <w:t xml:space="preserve">Transcript is at or near zero for every model (0.034 to 0.000), as predicted.</w:t>
      </w:r>
      <w:r>
        <w:t xml:space="preserve"> None accepts audio, so the field measures how much speech is recoverable from vision alone: essentially none. Three score exactly 0.000 by abstaining rather than inventing dialogue, which a recall metric cannot distinguish from a wrong answer. </w:t>
      </w:r>
      <w:r>
        <w:rPr>
          <w:b/>
        </w:rPr>
        <w:t xml:space="preserve">Keywords are near zero (0.027–0.040)</w:t>
      </w:r>
      <w:r>
        <w:t xml:space="preserve"> for the same reason: reference keywords come from the transcript, model keywords from frames.</w:t>
      </w:r>
    </w:p>
    <w:p>
      <w:pPr>
        <w:pStyle w:val="BodyText"/>
      </w:pPr>
      <w:r>
        <w:rPr>
          <w:b/>
        </w:rPr>
        <w:t xml:space="preserve">The benchmark also prices the OCR veto.</w:t>
      </w:r>
      <w:r>
        <w:t xml:space="preserve"> On a clip whose reference on-screen text was empty, all seven models read the station ident </w:t>
      </w:r>
      <w:r>
        <w:rPr>
          <w:i/>
        </w:rPr>
        <w:t xml:space="preserve">NVTV / BELFAST LOCAL TELEVISION</w:t>
      </w:r>
      <w:r>
        <w:t xml:space="preserve">; on another the reference held only </w:t>
      </w:r>
      <w:r>
        <w:rPr>
          <w:rFonts w:ascii="Consolas" w:hAnsi="Consolas"/>
          <w:sz w:val="16"/>
        </w:rPr>
        <w:t xml:space="preserve">TIVAL</w:t>
      </w:r>
      <w:r>
        <w:t xml:space="preserve"> while the models returned the full theatre poster — ROUGE-L recall scoring them against a reference less complete than they are.</w:t>
      </w:r>
    </w:p>
    <w:p>
      <w:pPr>
        <w:pStyle w:val="Heading2"/>
      </w:pPr>
      <w:r>
        <w:t xml:space="preserve">Anticipated versus Actual</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Agreement will be highest where the task is easiest</w:t>
            </w:r>
          </w:p>
        </w:tc>
        <w:tc>
          <w:tcPr>
            <w:tcW w:w="1170" w:type="dxa"/>
            <w:vAlign w:val="center"/>
          </w:tcPr>
          <w:p>
            <w:pPr>
              <w:pStyle w:val="tablecopy"/>
            </w:pPr>
            <w:r>
              <w:t xml:space="preserve">Highest where the sources are most independent</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Three keyword extractors give three-way corroboration</w:t>
            </w:r>
          </w:p>
        </w:tc>
        <w:tc>
          <w:tcPr>
            <w:tcW w:w="1170" w:type="dxa"/>
            <w:vAlign w:val="center"/>
          </w:tcPr>
          <w:p>
            <w:pPr>
              <w:pStyle w:val="tablecopy"/>
            </w:pPr>
            <w:r>
              <w:t xml:space="preserve">0.173 mean, 99.0% low — one input, three views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The OCR veto is conservative</w:t>
            </w:r>
          </w:p>
        </w:tc>
        <w:tc>
          <w:tcPr>
            <w:tcW w:w="1170" w:type="dxa"/>
            <w:vAlign w:val="center"/>
          </w:tcPr>
          <w:p>
            <w:pPr>
              <w:pStyle w:val="tablecopy"/>
            </w:pPr>
            <w:r>
              <w:t xml:space="preserve">53.4% conflict; no clip reaches high agreement</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Heading1"/>
      </w:pPr>
      <w:r>
        <w:t xml:space="preserve">Discussion</w:t>
      </w:r>
    </w:p>
    <w:p>
      <w:pPr>
        <w:pStyle w:val="Heading2"/>
      </w:pPr>
      <w:r>
        <w:t xml:space="preserve">Interpretation</w:t>
      </w:r>
    </w:p>
    <w:p>
      <w:pPr>
        <w:pStyle w:val="BodyText"/>
      </w:pPr>
      <w:r>
        <w:rPr>
          <w:b/>
        </w:rPr>
        <w:t xml:space="preserve">Reliability is a per-field property, not a system property</w:t>
      </w:r>
      <w:r>
        <w:t xml:space="preserve">, and the mechanisms differ enough that a single confidence number per clip would mislead. Agreement ranks fields by how architecturally independent their evidence is — 0.812 for four unrelated families, 0.173 for three views of one transcript — so the score measures a property of the </w:t>
      </w:r>
      <w:r>
        <w:rPr>
          <w:i/>
        </w:rPr>
        <w:t xml:space="preserve">ensemble</w:t>
      </w:r>
      <w:r>
        <w:t xml:space="preserve"> at least as much as of the footage. The same logic explains the rest: blur destroys OCR and spares tagging because they depend on different spatial frequencies, and a third annotator is redundant for people count yet decisive for visual tags because integer counting has a narrow answer space that independent families converge on. That last result is a genuine problem — equal weighting is neutral only if families are independent, which two CLIP variants are not — and the provenance machinery makes it visible without resolving it.</w:t>
      </w:r>
    </w:p>
    <w:p>
      <w:pPr>
        <w:pStyle w:val="Heading2"/>
      </w:pPr>
      <w:r>
        <w:t xml:space="preserve">Implications</w:t>
      </w:r>
    </w:p>
    <w:p>
      <w:pPr>
        <w:pStyle w:val="BodyText"/>
      </w:pPr>
      <w:r>
        <w:t xml:space="preserve">The deliverable is not a catalogue but a </w:t>
      </w:r>
      <w:r>
        <w:rPr>
          <w:i/>
        </w:rPr>
        <w:t xml:space="preserve">triaged</w:t>
      </w:r>
      <w:r>
        <w:t xml:space="preserve"> one, telling an archivist which fields two or more independent systems corroborated and which rest on a single source — more honest than a confident catalogue of unknown quality, and achievable with no annotation budget.</w:t>
      </w:r>
    </w:p>
    <w:p>
      <w:pPr>
        <w:pStyle w:val="Heading2"/>
      </w:pPr>
      <w:r>
        <w:t xml:space="preserve">Limitations</w:t>
      </w:r>
    </w:p>
    <w:p>
      <w:pPr>
        <w:pStyle w:val="BodyText"/>
      </w:pPr>
      <w:r>
        <w:rPr>
          <w:b/>
        </w:rPr>
        <w:t xml:space="preserve">No human reference</w:t>
      </w:r>
      <w:r>
        <w:t xml:space="preserve"> exists, so every number is agreement between automatic systems and the RQ4 tag result cannot be adjudicated. The </w:t>
      </w:r>
      <w:r>
        <w:rPr>
          <w:b/>
        </w:rPr>
        <w:t xml:space="preserve">ablations are underpowered</w:t>
      </w:r>
      <w:r>
        <w:t xml:space="preserve"> (8 and 5 clips). </w:t>
      </w:r>
      <w:r>
        <w:rPr>
          <w:b/>
        </w:rPr>
        <w:t xml:space="preserve">Vocabulary is concentrated</w:t>
      </w:r>
      <w:r>
        <w:t xml:space="preserve">: three of 34 labels fire on 63–95% of clips, two never fire. </w:t>
      </w:r>
      <w:r>
        <w:rPr>
          <w:b/>
        </w:rPr>
        <w:t xml:space="preserve">Sources are correlated</w:t>
      </w:r>
      <w:r>
        <w:t xml:space="preserve"> — the CLIP and Whisper pairs inflate their fields, and keywords are worse, three extractors over one transcript, so 0.173 reflects the design rather than the corpus; the CLIP-pair inflation could not be measured, because the artefact stores method-level rather than model-level candidates. </w:t>
      </w:r>
      <w:r>
        <w:rPr>
          <w:b/>
        </w:rPr>
        <w:t xml:space="preserve">Corroboration is blind to upstream error</w:t>
      </w:r>
      <w:r>
        <w:t xml:space="preserve">: an ASR failure enters the keyword field with every source agreeing, all three having read the same faulty text. In the benchmark both 8B models ran int4, Thinking models alone receive a retry, and the 4-frame budget was forced by the MIG slice. The corpus is one broadcaster, one city, one year, one run per model.</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totalling 5.09 h with zero failures, five fields per clip from heterogeneous pretrained families, every value carrying an evidence status, its supporting models and a self-similarity-free agreement score. The useful findings mostly contradicted expectation: agreement ranks fields by source independence rather than task difficulty (0.812 against 0.173), on-screen text is in conflict on 53.4% of clips and reaches high agreement on none, robustness is field-specific to a 13-fold degree, a third annotator rewrites 49.0% of tag sets while agreeing 42% of the time, and a 2B model leads three of five benchmark fields while every model scores at or near zero on transcript.</w:t>
      </w:r>
    </w:p>
    <w:p>
      <w:pPr>
        <w:pStyle w:val="BodyText"/>
      </w:pPr>
      <w:r>
        <w:rPr>
          <w:b/>
        </w:rPr>
        <w:t xml:space="preserve">Future work.</w:t>
      </w:r>
      <w:r>
        <w:t xml:space="preserve"> A small human reference — a few hundred clips — would convert every agreement number here into a validity measurement and settle RQ4. Beyond that: measured per-source weights, model-level candidate lists so the correlated-source inflation can be quantified, an audio-capable benchmark model, larger ablations, a language-identification gate on the ASR stage, the sub-clip timing the pipeline already records, and diarisation.</w:t>
      </w:r>
    </w:p>
    <w:p>
      <w:pPr>
        <w:pStyle w:val="Heading5"/>
      </w:pPr>
      <w:r>
        <w:t xml:space="preserve">References</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M. Mühling, M. Meister, N. Korfhage, J. Wehling, A. Hörth, R. Ewerth, and B. Freisleben, "Content-based video retrieval in historical collections of the German Broadcasting Archive," </w:t>
      </w:r>
      <w:r>
        <w:rPr>
          <w:i/>
        </w:rPr>
        <w:t xml:space="preserve">Int. J. on Digital Libraries</w:t>
      </w:r>
      <w:r>
        <w:t xml:space="preserve">, vol. 20, no. 2, pp. 167–183, 2019, doi: 10.1007/s00799-018-0236-z.</w:t>
      </w:r>
    </w:p>
    <w:p>
      <w:pPr>
        <w:pStyle w:val="references"/>
      </w:pPr>
      <w:r>
        <w:t xml:space="preserve">M. Mühling, N. Korfhage, K. Pustu-Iren, J. Bars, M. Knapp, H. Bellafkir, M. Vogelbacher, D. Schneider, A. Hörth, R. Ewerth, and B. Freisleben, "VIVA: Visual information retrieval in video archives," </w:t>
      </w:r>
      <w:r>
        <w:rPr>
          <w:i/>
        </w:rPr>
        <w:t xml:space="preserve">Int. J. on Digital Libraries</w:t>
      </w:r>
      <w:r>
        <w:t xml:space="preserve">, vol. 23, no. 4, pp. 319–333, 2022, doi: 10.1007/s00799-022-00337-y.</w:t>
      </w:r>
    </w:p>
    <w:p>
      <w:pPr>
        <w:pStyle w:val="references"/>
      </w:pPr>
      <w:r>
        <w:t xml:space="preserve">F. Pessanha and A. Akdag Salah, "A computational look at oral history archives," </w:t>
      </w:r>
      <w:r>
        <w:rPr>
          <w:i/>
        </w:rPr>
        <w:t xml:space="preserve">ACM J. on Computing and Cultural Heritage</w:t>
      </w:r>
      <w:r>
        <w:t xml:space="preserve">, vol. 15, no. 1, art. 6, pp. 1–16, 2022, doi: 10.1145/3477605.</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arXiv:2511.21631, 2025.</w:t>
      </w:r>
    </w:p>
    <w:p>
      <w:pPr>
        <w:pStyle w:val="references"/>
      </w:pPr>
      <w:r>
        <w:t xml:space="preserve">J. Zhu </w:t>
      </w:r>
      <w:r>
        <w:rPr>
          <w:i/>
        </w:rPr>
        <w:t xml:space="preserve">et al.</w:t>
      </w:r>
      <w:r>
        <w:t xml:space="preserve">, "InternVL3: Exploring advanced training and test-time recipes for open-source multimodal models," arXiv:2504.10479, 2025.</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sectPr>
      <w:pgSz w:w="12240" w:h="15840" w:code="1"/>
      <w:pgMar w:top="1080" w:right="907" w:bottom="1440" w:left="907" w:header="720" w:footer="720" w:gutter="0"/>
      <w:cols w:num="2" w:space="18pt"/>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B1FC83" w14:textId="77777777" w:rsidR="00F747F9" w:rsidRDefault="00F747F9" w:rsidP="001A3B3D">
      <w:r>
        <w:separator/>
      </w:r>
    </w:p>
  </w:endnote>
  <w:endnote w:type="continuationSeparator" w:id="0">
    <w:p w14:paraId="109FC2F7" w14:textId="77777777" w:rsidR="00F747F9" w:rsidRDefault="00F747F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F64F4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630706" w14:textId="77777777" w:rsidR="00F747F9" w:rsidRDefault="00F747F9" w:rsidP="001A3B3D">
      <w:r>
        <w:separator/>
      </w:r>
    </w:p>
  </w:footnote>
  <w:footnote w:type="continuationSeparator" w:id="0">
    <w:p w14:paraId="7BCB014D" w14:textId="77777777" w:rsidR="00F747F9" w:rsidRDefault="00F747F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641B86"/>
    <w:multiLevelType w:val="hybridMultilevel"/>
    <w:tmpl w:val="25A0D5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48B454D"/>
    <w:multiLevelType w:val="multilevel"/>
    <w:tmpl w:val="CA00E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700982884">
    <w:abstractNumId w:val="15"/>
  </w:num>
  <w:num w:numId="2" w16cid:durableId="1316911424">
    <w:abstractNumId w:val="21"/>
  </w:num>
  <w:num w:numId="3" w16cid:durableId="1271162267">
    <w:abstractNumId w:val="14"/>
  </w:num>
  <w:num w:numId="4" w16cid:durableId="1778939721">
    <w:abstractNumId w:val="17"/>
  </w:num>
  <w:num w:numId="5" w16cid:durableId="1603801197">
    <w:abstractNumId w:val="17"/>
  </w:num>
  <w:num w:numId="6" w16cid:durableId="917056986">
    <w:abstractNumId w:val="17"/>
  </w:num>
  <w:num w:numId="7" w16cid:durableId="724960054">
    <w:abstractNumId w:val="17"/>
  </w:num>
  <w:num w:numId="8" w16cid:durableId="325091309">
    <w:abstractNumId w:val="20"/>
  </w:num>
  <w:num w:numId="9" w16cid:durableId="147481650">
    <w:abstractNumId w:val="22"/>
  </w:num>
  <w:num w:numId="10" w16cid:durableId="425884344">
    <w:abstractNumId w:val="16"/>
  </w:num>
  <w:num w:numId="11" w16cid:durableId="547685622">
    <w:abstractNumId w:val="13"/>
  </w:num>
  <w:num w:numId="12" w16cid:durableId="1086457313">
    <w:abstractNumId w:val="12"/>
  </w:num>
  <w:num w:numId="13" w16cid:durableId="801650408">
    <w:abstractNumId w:val="0"/>
  </w:num>
  <w:num w:numId="14" w16cid:durableId="1334605439">
    <w:abstractNumId w:val="10"/>
  </w:num>
  <w:num w:numId="15" w16cid:durableId="2005744232">
    <w:abstractNumId w:val="8"/>
  </w:num>
  <w:num w:numId="16" w16cid:durableId="2092001325">
    <w:abstractNumId w:val="7"/>
  </w:num>
  <w:num w:numId="17" w16cid:durableId="1084037685">
    <w:abstractNumId w:val="6"/>
  </w:num>
  <w:num w:numId="18" w16cid:durableId="1107772482">
    <w:abstractNumId w:val="5"/>
  </w:num>
  <w:num w:numId="19" w16cid:durableId="654185062">
    <w:abstractNumId w:val="9"/>
  </w:num>
  <w:num w:numId="20" w16cid:durableId="852493656">
    <w:abstractNumId w:val="4"/>
  </w:num>
  <w:num w:numId="21" w16cid:durableId="873925706">
    <w:abstractNumId w:val="3"/>
  </w:num>
  <w:num w:numId="22" w16cid:durableId="519003669">
    <w:abstractNumId w:val="2"/>
  </w:num>
  <w:num w:numId="23" w16cid:durableId="1051878344">
    <w:abstractNumId w:val="1"/>
  </w:num>
  <w:num w:numId="24" w16cid:durableId="500509478">
    <w:abstractNumId w:val="19"/>
  </w:num>
  <w:num w:numId="25" w16cid:durableId="1224752512">
    <w:abstractNumId w:val="11"/>
  </w:num>
  <w:num w:numId="26" w16cid:durableId="143663260">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476F"/>
    <w:rsid w:val="0008758A"/>
    <w:rsid w:val="000C1E68"/>
    <w:rsid w:val="000D4A0F"/>
    <w:rsid w:val="00100792"/>
    <w:rsid w:val="00112900"/>
    <w:rsid w:val="00130444"/>
    <w:rsid w:val="0015079E"/>
    <w:rsid w:val="00172DBF"/>
    <w:rsid w:val="00185B94"/>
    <w:rsid w:val="001A2EFD"/>
    <w:rsid w:val="001A321F"/>
    <w:rsid w:val="001A3B3D"/>
    <w:rsid w:val="001A42EA"/>
    <w:rsid w:val="001B330D"/>
    <w:rsid w:val="001B67DC"/>
    <w:rsid w:val="001D7BCF"/>
    <w:rsid w:val="00213D69"/>
    <w:rsid w:val="00224960"/>
    <w:rsid w:val="002254A9"/>
    <w:rsid w:val="00233D97"/>
    <w:rsid w:val="002557B6"/>
    <w:rsid w:val="002850E3"/>
    <w:rsid w:val="003147F7"/>
    <w:rsid w:val="00354FCF"/>
    <w:rsid w:val="003A19E2"/>
    <w:rsid w:val="003C3F86"/>
    <w:rsid w:val="003E60F1"/>
    <w:rsid w:val="00421EC6"/>
    <w:rsid w:val="004325FB"/>
    <w:rsid w:val="004432BA"/>
    <w:rsid w:val="0044407E"/>
    <w:rsid w:val="00471EBD"/>
    <w:rsid w:val="00483303"/>
    <w:rsid w:val="004854EA"/>
    <w:rsid w:val="004B6BAF"/>
    <w:rsid w:val="004D1E89"/>
    <w:rsid w:val="004D5674"/>
    <w:rsid w:val="004D72B5"/>
    <w:rsid w:val="005473A7"/>
    <w:rsid w:val="00547E73"/>
    <w:rsid w:val="00551B7F"/>
    <w:rsid w:val="0056610F"/>
    <w:rsid w:val="00575BCA"/>
    <w:rsid w:val="005912AE"/>
    <w:rsid w:val="00594B3A"/>
    <w:rsid w:val="005B0344"/>
    <w:rsid w:val="005B520E"/>
    <w:rsid w:val="005D39EB"/>
    <w:rsid w:val="005E2800"/>
    <w:rsid w:val="006347CF"/>
    <w:rsid w:val="00636034"/>
    <w:rsid w:val="00644D16"/>
    <w:rsid w:val="00645D22"/>
    <w:rsid w:val="0065005F"/>
    <w:rsid w:val="006505FA"/>
    <w:rsid w:val="00651A08"/>
    <w:rsid w:val="00654204"/>
    <w:rsid w:val="00670434"/>
    <w:rsid w:val="006B6B66"/>
    <w:rsid w:val="006E2EE8"/>
    <w:rsid w:val="006E7D84"/>
    <w:rsid w:val="006F6D3D"/>
    <w:rsid w:val="00704134"/>
    <w:rsid w:val="00711B1E"/>
    <w:rsid w:val="00715BEA"/>
    <w:rsid w:val="00740EEA"/>
    <w:rsid w:val="00794804"/>
    <w:rsid w:val="007A7E33"/>
    <w:rsid w:val="007B33F1"/>
    <w:rsid w:val="007C0308"/>
    <w:rsid w:val="007C2FF2"/>
    <w:rsid w:val="007C38C1"/>
    <w:rsid w:val="007D6232"/>
    <w:rsid w:val="007F1F99"/>
    <w:rsid w:val="007F768F"/>
    <w:rsid w:val="0080791D"/>
    <w:rsid w:val="00873603"/>
    <w:rsid w:val="008839ED"/>
    <w:rsid w:val="00884694"/>
    <w:rsid w:val="008A2C7D"/>
    <w:rsid w:val="008C4B23"/>
    <w:rsid w:val="008C5915"/>
    <w:rsid w:val="008F6E2C"/>
    <w:rsid w:val="0090287C"/>
    <w:rsid w:val="009303D9"/>
    <w:rsid w:val="00933C64"/>
    <w:rsid w:val="00972203"/>
    <w:rsid w:val="00A059B3"/>
    <w:rsid w:val="00A83751"/>
    <w:rsid w:val="00A83C13"/>
    <w:rsid w:val="00AB15A5"/>
    <w:rsid w:val="00AC7D24"/>
    <w:rsid w:val="00AE3409"/>
    <w:rsid w:val="00AF67E6"/>
    <w:rsid w:val="00B11A60"/>
    <w:rsid w:val="00B22613"/>
    <w:rsid w:val="00B41444"/>
    <w:rsid w:val="00B829CC"/>
    <w:rsid w:val="00BA1025"/>
    <w:rsid w:val="00BC3420"/>
    <w:rsid w:val="00BD5206"/>
    <w:rsid w:val="00BE457E"/>
    <w:rsid w:val="00BE7A49"/>
    <w:rsid w:val="00BE7D3C"/>
    <w:rsid w:val="00BF5FF6"/>
    <w:rsid w:val="00BF7174"/>
    <w:rsid w:val="00C0207F"/>
    <w:rsid w:val="00C06D9F"/>
    <w:rsid w:val="00C16117"/>
    <w:rsid w:val="00C1701B"/>
    <w:rsid w:val="00C3075A"/>
    <w:rsid w:val="00C5302B"/>
    <w:rsid w:val="00C63FE2"/>
    <w:rsid w:val="00C76FFC"/>
    <w:rsid w:val="00C84605"/>
    <w:rsid w:val="00C919A4"/>
    <w:rsid w:val="00CA4392"/>
    <w:rsid w:val="00CC393F"/>
    <w:rsid w:val="00CC4040"/>
    <w:rsid w:val="00CE1D32"/>
    <w:rsid w:val="00D117FE"/>
    <w:rsid w:val="00D13749"/>
    <w:rsid w:val="00D2176E"/>
    <w:rsid w:val="00D51D2C"/>
    <w:rsid w:val="00D632BE"/>
    <w:rsid w:val="00D72D06"/>
    <w:rsid w:val="00D7522C"/>
    <w:rsid w:val="00D7536F"/>
    <w:rsid w:val="00D76668"/>
    <w:rsid w:val="00DA3B8F"/>
    <w:rsid w:val="00DA544C"/>
    <w:rsid w:val="00DF63AD"/>
    <w:rsid w:val="00E3476F"/>
    <w:rsid w:val="00E362A0"/>
    <w:rsid w:val="00E4511E"/>
    <w:rsid w:val="00E61E12"/>
    <w:rsid w:val="00E7596C"/>
    <w:rsid w:val="00E878F2"/>
    <w:rsid w:val="00EA04AE"/>
    <w:rsid w:val="00EB1460"/>
    <w:rsid w:val="00EB472D"/>
    <w:rsid w:val="00ED0149"/>
    <w:rsid w:val="00ED7817"/>
    <w:rsid w:val="00EF7DE3"/>
    <w:rsid w:val="00F03103"/>
    <w:rsid w:val="00F271DE"/>
    <w:rsid w:val="00F32EE0"/>
    <w:rsid w:val="00F50EE4"/>
    <w:rsid w:val="00F627DA"/>
    <w:rsid w:val="00F7288F"/>
    <w:rsid w:val="00F747F9"/>
    <w:rsid w:val="00F765B2"/>
    <w:rsid w:val="00F847A6"/>
    <w:rsid w:val="00F9441B"/>
    <w:rsid w:val="00F9567F"/>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CAA1CF"/>
  <w15:chartTrackingRefBased/>
  <w15:docId w15:val="{6A8D4732-0349-4EF5-BEAE-31A60C78D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Emphasis">
    <w:name w:val="Emphasis"/>
    <w:basedOn w:val="DefaultParagraphFont"/>
    <w:uiPriority w:val="20"/>
    <w:qFormat/>
    <w:rsid w:val="008C5915"/>
    <w:rPr>
      <w:i/>
      <w:iCs/>
    </w:rPr>
  </w:style>
  <w:style w:type="paragraph" w:customStyle="1" w:styleId="text-base">
    <w:name w:val="text-base"/>
    <w:basedOn w:val="Normal"/>
    <w:rsid w:val="00185B94"/>
    <w:pPr>
      <w:spacing w:before="100" w:beforeAutospacing="1" w:after="100" w:afterAutospacing="1"/>
      <w:jc w:val="left"/>
    </w:pPr>
    <w:rPr>
      <w:rFonts w:eastAsia="Times New Roman"/>
      <w:sz w:val="24"/>
      <w:szCs w:val="24"/>
      <w:lang w:val="en-GB" w:eastAsia="en-GB"/>
    </w:rPr>
  </w:style>
  <w:style w:type="character" w:styleId="Strong">
    <w:name w:val="Strong"/>
    <w:basedOn w:val="DefaultParagraphFont"/>
    <w:uiPriority w:val="22"/>
    <w:qFormat/>
    <w:rsid w:val="00185B94"/>
    <w:rPr>
      <w:b/>
      <w:bCs/>
    </w:rPr>
  </w:style>
  <w:style w:type="table" w:styleId="TableGrid">
    <w:name w:val="Table Grid"/>
    <w:basedOn w:val="TableNormal"/>
    <w:rsid w:val="00185B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A04AE"/>
    <w:pPr>
      <w:spacing w:before="100" w:beforeAutospacing="1" w:after="100" w:afterAutospacing="1"/>
      <w:jc w:val="left"/>
    </w:pPr>
    <w:rPr>
      <w:rFonts w:eastAsia="Times New Roman"/>
      <w:sz w:val="24"/>
      <w:szCs w:val="24"/>
      <w:lang w:val="en-GB" w:eastAsia="en-GB"/>
    </w:rPr>
  </w:style>
  <w:style w:type="character" w:styleId="PlaceholderText">
    <w:name w:val="Placeholder Text"/>
    <w:basedOn w:val="DefaultParagraphFont"/>
    <w:uiPriority w:val="99"/>
    <w:semiHidden/>
    <w:rsid w:val="00AC7D24"/>
    <w:rPr>
      <w:color w:val="666666"/>
    </w:rPr>
  </w:style>
  <w:style w:type="character" w:styleId="HTMLCode">
    <w:name w:val="HTML Code"/>
    <w:basedOn w:val="DefaultParagraphFont"/>
    <w:uiPriority w:val="99"/>
    <w:unhideWhenUsed/>
    <w:rsid w:val="00F9567F"/>
    <w:rPr>
      <w:rFonts w:ascii="Courier New" w:eastAsia="Times New Roman" w:hAnsi="Courier New" w:cs="Courier New"/>
      <w:sz w:val="20"/>
      <w:szCs w:val="20"/>
    </w:rPr>
  </w:style>
  <w:style w:type="character" w:styleId="Hyperlink">
    <w:name w:val="Hyperlink"/>
    <w:basedOn w:val="DefaultParagraphFont"/>
    <w:rsid w:val="00EB472D"/>
    <w:rPr>
      <w:color w:val="0563C1" w:themeColor="hyperlink"/>
      <w:u w:val="single"/>
    </w:rPr>
  </w:style>
  <w:style w:type="character" w:styleId="UnresolvedMention">
    <w:name w:val="Unresolved Mention"/>
    <w:basedOn w:val="DefaultParagraphFont"/>
    <w:uiPriority w:val="99"/>
    <w:semiHidden/>
    <w:unhideWhenUsed/>
    <w:rsid w:val="00EB472D"/>
    <w:rPr>
      <w:color w:val="605E5C"/>
      <w:shd w:val="clear" w:color="auto" w:fill="E1DFDD"/>
    </w:rPr>
  </w:style>
  <w:style w:type="character" w:styleId="FollowedHyperlink">
    <w:name w:val="FollowedHyperlink"/>
    <w:basedOn w:val="DefaultParagraphFont"/>
    <w:rsid w:val="006E2EE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361FFED-814C-4F5D-B00E-B1C7ADC09BA7}">
  <we:reference id="wa200006533" version="1.0.0.2" store="en-US" storeType="OMEX"/>
  <we:alternateReferences>
    <we:reference id="wa200006533" version="1.0.0.2" store="wa20000653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2A8DE01-92A9-49E2-8465-61D981CD573A}">
  <we:reference id="wa200008329" version="1.0.0.1" store="en-US" storeType="OMEX"/>
  <we:alternateReferences>
    <we:reference id="wa200008329" version="1.0.0.1" store="wa20000832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7803</Words>
  <Characters>44483</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Saurav Kumar Vellattuparambil Vijayakumar</cp:lastModifiedBy>
  <cp:revision>2</cp:revision>
  <cp:lastPrinted>2026-09-17T20:46:00Z</cp:lastPrinted>
  <dcterms:created xsi:type="dcterms:W3CDTF">2026-09-17T21:45:00Z</dcterms:created>
  <dcterms:modified xsi:type="dcterms:W3CDTF">2026-09-17T21:45:00Z</dcterms:modified>
</cp:coreProperties>
</file>