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community archives.</w:t>
      </w:r>
      <w:r>
        <w:t xml:space="preserve"> </w:t>
      </w:r>
      <w:r>
        <w:rPr>
          <w:b/>
          <w:bCs/>
          <w:highlight w:val="yellow"/>
          <w:highlightCs w:val="yellow"/>
        </w:rPr>
        <w:t xml:space="preserve">`[TO FILL: 4–6 sources. Search terms that work: "audiovisual archive automatic metadata", "cultural heritage video access", "community archive digitisation AI". Look for EUscreen, the Netherlands Institute for Sound and Vision's published work, and BBC R&amp;D archive-indexing output. For each, record: the collection, whether a human reference was collected, and what reliability signal (if any) accompanied the published metadata. The claim this section must support is that per-field reliability signals are rare in this literature — verify that claim rather than assuming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[2] removed the requirement for task-specific training data in visual labelling, turning annotation into a matter of writing a label vocabulary. Large-scale weakly supervised speech recognition [3] did the same for transcription. BLIP [4] and ViLT [5] brought open-ended visual question answering, and end-to-end set-prediction detection [6]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[7]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[8].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[9], InternVL3 [10]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[11]: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[2]</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[3]</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[7]</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[8]</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[9] / InternVL3 [10]</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to calibration, 38 to evaluation.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highlight w:val="yellow"/>
          <w:highlightCs w:val="yellow"/>
        </w:rPr>
        <w:t xml:space="preserve">`[TO FILL: boundary check.]`</w:t>
      </w:r>
      <w:r>
        <w:t xml:space="preserve"> Sample 10 clips, confirm that clip </w:t>
      </w:r>
      <w:r>
        <w:rPr>
          <w:i/>
          <w:iCs/>
        </w:rPr>
        <w:t xml:space="preserve">n</w:t>
      </w:r>
      <w:r>
        <w:t xml:space="preserve"> starts exactly where clip </w:t>
      </w:r>
      <w:r>
        <w:rPr>
          <w:i/>
          <w:iCs/>
        </w:rPr>
        <w:t xml:space="preserve">n</w:t>
      </w:r>
      <w:r>
        <w:t xml:space="preserve">−1 ends and that the reported </w:t>
      </w:r>
      <w:r>
        <w:rPr>
          <w:rFonts w:ascii="Consolas" w:cs="Consolas" w:eastAsia="Consolas" w:hAnsi="Consolas"/>
          <w:sz w:val="18"/>
          <w:szCs w:val="18"/>
        </w:rPr>
        <w:t xml:space="preserve">start_sec</w:t>
      </w:r>
      <w:r>
        <w:t xml:space="preserve"> matches the source timecode. Report the maximum observed drift. This is the check that catches a timestamp-reset bug, and it has not been run.</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rPr>
          <w:b/>
          <w:bCs/>
          <w:highlight w:val="yellow"/>
          <w:highlightCs w:val="yellow"/>
        </w:rPr>
        <w:t xml:space="preserve">`[TO FILL]`</w:t>
      </w:r>
      <w:r>
        <w:t xml:space="preserve"> Confirm programmatically that the intersection of source IDs across splits is empty, and report the clip counts per split.</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highlight w:val="yellow"/>
          <w:highlightCs w:val="yellow"/>
        </w:rPr>
        <w:t xml:space="preserve">`[TO FILL]`</w:t>
      </w:r>
      <w:r>
        <w:t xml:space="preserve"> Quantify this: report mean agreement within the correlated pair against mean agreement between an unrelated pair (e.g. Tesseract/EasyOCR, or BLIP-VQA/DETR). If the correlated pairs score systematically higher, the size of that gap is the inflation factor, and it belongs in the paper's limitations with a number attached rather than as a qualitative caveat.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RQ2's agreement distribution </w:t>
      </w:r>
      <w:r>
        <w:rPr>
          <w:b/>
          <w:bCs/>
          <w:highlight w:val="yellow"/>
          <w:highlightCs w:val="yellow"/>
        </w:rPr>
        <w:t xml:space="preserve">`[TO FILL]`</w:t>
      </w:r>
      <w:r>
        <w:t xml:space="preserve">; adequately powered ablations; sub-clip temporal localisation; speaker attribution; the fine-tuning the notebook's rules cell describes.</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 </w:t>
      </w:r>
      <w:r>
        <w:rPr>
          <w:b/>
          <w:bCs/>
          <w:highlight w:val="yellow"/>
          <w:highlightCs w:val="yellow"/>
        </w:rPr>
        <w:t xml:space="preserve">`[TO FILL: report tag frequency across the corpus. A label that never fires, or one that fires on most clips, is evidence about the vocabulary rather than about the footage.]`</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count how many clips contain non-English tokens in the transcript or keyword fields, and report it — this converts an anecdote into a measurement.]`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 Clips per programme range 10–22.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w:t>
      </w:r>
      <w:r>
        <w:rPr>
          <w:b/>
          <w:bCs/>
          <w:highlight w:val="yellow"/>
          <w:highlightCs w:val="yellow"/>
        </w:rPr>
        <w:t xml:space="preserve">`[TO FILL]`</w:t>
      </w:r>
      <w:r>
        <w:t xml:space="preserve">.</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Section 11 of </w:t>
      </w:r>
      <w:r>
        <w:rPr>
          <w:rFonts w:ascii="Consolas" w:cs="Consolas" w:eastAsia="Consolas" w:hAnsi="Consolas"/>
          <w:sz w:val="18"/>
          <w:szCs w:val="18"/>
        </w:rPr>
        <w:t xml:space="preserve">02_vlm_benchmark_run.ipynb</w:t>
      </w:r>
      <w:r>
        <w:t xml:space="preserve"> writes one PNG per model (</w:t>
      </w:r>
      <w:r>
        <w:rPr>
          <w:rFonts w:ascii="Consolas" w:cs="Consolas" w:eastAsia="Consolas" w:hAnsi="Consolas"/>
          <w:sz w:val="18"/>
          <w:szCs w:val="18"/>
        </w:rPr>
        <w:t xml:space="preserve">&lt;model&gt;_vs_agreement_tier.png</w:t>
      </w:r>
      <w:r>
        <w:t xml:space="preserve">). </w:t>
      </w:r>
      <w:r>
        <w:rPr>
          <w:b/>
          <w:bCs/>
          <w:highlight w:val="yellow"/>
          <w:highlightCs w:val="yellow"/>
        </w:rPr>
        <w:t xml:space="preserve">`[TO FILL: the sampled rows carry `agreement_tier = not_scored`. Check whether enough fields are tiered for these charts to say anything; if most rows are `not_scored`, report that as the finding and drop the charts.]`</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2026-09-17T04:43:05.660Z</dcterms:created>
  <dcterms:modified xsi:type="dcterms:W3CDTF">2026-09-17T04:43:05.673Z</dcterms:modified>
</cp:coreProperties>
</file>

<file path=docProps/custom.xml><?xml version="1.0" encoding="utf-8"?>
<Properties xmlns="http://schemas.openxmlformats.org/officeDocument/2006/custom-properties" xmlns:vt="http://schemas.openxmlformats.org/officeDocument/2006/docPropsVTypes"/>
</file>