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Reliability-Aware Multi-Model Metadata Generation for Archival Community Television</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community archives.</w:t>
      </w:r>
      <w:r>
        <w:t xml:space="preserve"> </w:t>
      </w:r>
      <w:r>
        <w:rPr>
          <w:b/>
          <w:bCs/>
          <w:highlight w:val="yellow"/>
          <w:highlightCs w:val="yellow"/>
        </w:rPr>
        <w:t xml:space="preserve">`[TO FILL: 4–6 sources. Search terms that work: "audiovisual archive automatic metadata", "cultural heritage video access", "community archive digitisation AI". Look for EUscreen, the Netherlands Institute for Sound and Vision's published work, and BBC R&amp;D archive-indexing output. For each, record: the collection, whether a human reference was collected, and what reliability signal (if any) accompanied the published metadata. The claim this section must support is that per-field reliability signals are rare in this literature — verify that claim rather than assuming it.]`</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[2] removed the requirement for task-specific training data in visual labelling, turning annotation into a matter of writing a label vocabulary. Large-scale weakly supervised speech recognition [3] did the same for transcription. BLIP [4] and ViLT [5] brought open-ended visual question answering, and end-to-end set-prediction detection [6]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[7] formalised combining noisy, correlated labelling sources of unknown accuracy into probabilistic labels, learning source accuracies from agreement patterns without ground truth.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[8].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[9], InternVL3 [10]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[11]: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FEFEF" w:color="auto" w:val="clear"/>
            <w:tcMar>
              <w:top w:type="dxa" w:w="60"/>
              <w:left w:type="dxa" w:w="90"/>
              <w:bottom w:type="dxa" w:w="60"/>
              <w:right w:type="dxa" w:w="90"/>
            </w:tcMar>
          </w:tcPr>
          <w:p>
            <w:pPr>
              <w:spacing w:after="0"/>
            </w:pPr>
            <w:r>
              <w:rPr>
                <w:b/>
                <w:bCs/>
              </w:rPr>
              <w:t xml:space="preserve">Work</w:t>
            </w:r>
          </w:p>
        </w:tc>
        <w:tc>
          <w:tcPr>
            <w:tcW w:type="dxa" w:w="1560"/>
            <w:shd w:fill="EFEFEF" w:color="auto" w:val="clear"/>
            <w:tcMar>
              <w:top w:type="dxa" w:w="60"/>
              <w:left w:type="dxa" w:w="90"/>
              <w:bottom w:type="dxa" w:w="60"/>
              <w:right w:type="dxa" w:w="90"/>
            </w:tcMar>
          </w:tcPr>
          <w:p>
            <w:pPr>
              <w:spacing w:after="0"/>
            </w:pPr>
            <w:r>
              <w:rPr>
                <w:b/>
                <w:bCs/>
              </w:rPr>
              <w:t xml:space="preserve">Domain</w:t>
            </w:r>
          </w:p>
        </w:tc>
        <w:tc>
          <w:tcPr>
            <w:tcW w:type="dxa" w:w="1560"/>
            <w:shd w:fill="EFEFEF" w:color="auto" w:val="clear"/>
            <w:tcMar>
              <w:top w:type="dxa" w:w="60"/>
              <w:left w:type="dxa" w:w="90"/>
              <w:bottom w:type="dxa" w:w="60"/>
              <w:right w:type="dxa" w:w="90"/>
            </w:tcMar>
          </w:tcPr>
          <w:p>
            <w:pPr>
              <w:spacing w:after="0"/>
            </w:pPr>
            <w:r>
              <w:rPr>
                <w:b/>
                <w:bCs/>
              </w:rPr>
              <w:t xml:space="preserve">Reference standard</w:t>
            </w:r>
          </w:p>
        </w:tc>
        <w:tc>
          <w:tcPr>
            <w:tcW w:type="dxa" w:w="1560"/>
            <w:shd w:fill="EFEFEF" w:color="auto" w:val="clear"/>
            <w:tcMar>
              <w:top w:type="dxa" w:w="60"/>
              <w:left w:type="dxa" w:w="90"/>
              <w:bottom w:type="dxa" w:w="60"/>
              <w:right w:type="dxa" w:w="90"/>
            </w:tcMar>
          </w:tcPr>
          <w:p>
            <w:pPr>
              <w:spacing w:after="0"/>
            </w:pPr>
            <w:r>
              <w:rPr>
                <w:b/>
                <w:bCs/>
              </w:rPr>
              <w:t xml:space="preserve">Reliability signal published</w:t>
            </w:r>
          </w:p>
        </w:tc>
        <w:tc>
          <w:tcPr>
            <w:tcW w:type="dxa" w:w="1560"/>
            <w:shd w:fill="EFEFEF" w:color="auto" w:val="clear"/>
            <w:tcMar>
              <w:top w:type="dxa" w:w="60"/>
              <w:left w:type="dxa" w:w="90"/>
              <w:bottom w:type="dxa" w:w="60"/>
              <w:right w:type="dxa" w:w="90"/>
            </w:tcMar>
          </w:tcPr>
          <w:p>
            <w:pPr>
              <w:spacing w:after="0"/>
            </w:pPr>
            <w:r>
              <w:rPr>
                <w:b/>
                <w:bCs/>
              </w:rPr>
              <w:t xml:space="preserve">Modalities</w:t>
            </w:r>
          </w:p>
        </w:tc>
        <w:tc>
          <w:tcPr>
            <w:tcW w:type="dxa" w:w="1560"/>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60"/>
            <w:tcMar>
              <w:top w:type="dxa" w:w="60"/>
              <w:left w:type="dxa" w:w="90"/>
              <w:bottom w:type="dxa" w:w="60"/>
              <w:right w:type="dxa" w:w="90"/>
            </w:tcMar>
          </w:tcPr>
          <w:p>
            <w:pPr>
              <w:spacing w:after="0"/>
            </w:pPr>
            <w:r>
              <w:t xml:space="preserve">TRECVid [1]</w:t>
            </w:r>
          </w:p>
        </w:tc>
        <w:tc>
          <w:tcPr>
            <w:tcW w:type="dxa" w:w="1560"/>
            <w:tcMar>
              <w:top w:type="dxa" w:w="60"/>
              <w:left w:type="dxa" w:w="90"/>
              <w:bottom w:type="dxa" w:w="60"/>
              <w:right w:type="dxa" w:w="90"/>
            </w:tcMar>
          </w:tcPr>
          <w:p>
            <w:pPr>
              <w:spacing w:after="0"/>
            </w:pPr>
            <w:r>
              <w:t xml:space="preserve">Broadcast video</w:t>
            </w:r>
          </w:p>
        </w:tc>
        <w:tc>
          <w:tcPr>
            <w:tcW w:type="dxa" w:w="1560"/>
            <w:tcMar>
              <w:top w:type="dxa" w:w="60"/>
              <w:left w:type="dxa" w:w="90"/>
              <w:bottom w:type="dxa" w:w="60"/>
              <w:right w:type="dxa" w:w="90"/>
            </w:tcMar>
          </w:tcPr>
          <w:p>
            <w:pPr>
              <w:spacing w:after="0"/>
            </w:pPr>
            <w:r>
              <w:t xml:space="preserve">Human annotation</w:t>
            </w:r>
          </w:p>
        </w:tc>
        <w:tc>
          <w:tcPr>
            <w:tcW w:type="dxa" w:w="1560"/>
            <w:tcMar>
              <w:top w:type="dxa" w:w="60"/>
              <w:left w:type="dxa" w:w="90"/>
              <w:bottom w:type="dxa" w:w="60"/>
              <w:right w:type="dxa" w:w="90"/>
            </w:tcMar>
          </w:tcPr>
          <w:p>
            <w:pPr>
              <w:spacing w:after="0"/>
            </w:pPr>
            <w:r>
              <w:t xml:space="preserve">System scores only</w:t>
            </w:r>
          </w:p>
        </w:tc>
        <w:tc>
          <w:tcPr>
            <w:tcW w:type="dxa" w:w="1560"/>
            <w:tcMar>
              <w:top w:type="dxa" w:w="60"/>
              <w:left w:type="dxa" w:w="90"/>
              <w:bottom w:type="dxa" w:w="60"/>
              <w:right w:type="dxa" w:w="90"/>
            </w:tcMar>
          </w:tcPr>
          <w:p>
            <w:pPr>
              <w:spacing w:after="0"/>
            </w:pPr>
            <w:r>
              <w:t xml:space="preserve">Visual, some ASR</w:t>
            </w:r>
          </w:p>
        </w:tc>
        <w:tc>
          <w:tcPr>
            <w:tcW w:type="dxa" w:w="1560"/>
            <w:tcMar>
              <w:top w:type="dxa" w:w="60"/>
              <w:left w:type="dxa" w:w="90"/>
              <w:bottom w:type="dxa" w:w="60"/>
              <w:right w:type="dxa" w:w="90"/>
            </w:tcMar>
          </w:tcPr>
          <w:p>
            <w:pPr>
              <w:spacing w:after="0"/>
            </w:pPr>
            <w:r>
              <w:t xml:space="preserve">Assumes an annotation budget exists</w:t>
            </w:r>
          </w:p>
        </w:tc>
      </w:tr>
      <w:tr>
        <w:trPr>
          <w:tblHeader w:val="false"/>
        </w:trPr>
        <w:tc>
          <w:tcPr>
            <w:tcW w:type="dxa" w:w="1560"/>
            <w:tcMar>
              <w:top w:type="dxa" w:w="60"/>
              <w:left w:type="dxa" w:w="90"/>
              <w:bottom w:type="dxa" w:w="60"/>
              <w:right w:type="dxa" w:w="90"/>
            </w:tcMar>
          </w:tcPr>
          <w:p>
            <w:pPr>
              <w:spacing w:after="0"/>
            </w:pPr>
            <w:r>
              <w:t xml:space="preserve">CLIP [2]</w:t>
            </w:r>
          </w:p>
        </w:tc>
        <w:tc>
          <w:tcPr>
            <w:tcW w:type="dxa" w:w="1560"/>
            <w:tcMar>
              <w:top w:type="dxa" w:w="60"/>
              <w:left w:type="dxa" w:w="90"/>
              <w:bottom w:type="dxa" w:w="60"/>
              <w:right w:type="dxa" w:w="90"/>
            </w:tcMar>
          </w:tcPr>
          <w:p>
            <w:pPr>
              <w:spacing w:after="0"/>
            </w:pPr>
            <w:r>
              <w:t xml:space="preserve">General images</w:t>
            </w:r>
          </w:p>
        </w:tc>
        <w:tc>
          <w:tcPr>
            <w:tcW w:type="dxa" w:w="1560"/>
            <w:tcMar>
              <w:top w:type="dxa" w:w="60"/>
              <w:left w:type="dxa" w:w="90"/>
              <w:bottom w:type="dxa" w:w="60"/>
              <w:right w:type="dxa" w:w="90"/>
            </w:tcMar>
          </w:tcPr>
          <w:p>
            <w:pPr>
              <w:spacing w:after="0"/>
            </w:pPr>
            <w:r>
              <w:t xml:space="preserve">Zero-shot, benchmark datasets</w:t>
            </w:r>
          </w:p>
        </w:tc>
        <w:tc>
          <w:tcPr>
            <w:tcW w:type="dxa" w:w="1560"/>
            <w:tcMar>
              <w:top w:type="dxa" w:w="60"/>
              <w:left w:type="dxa" w:w="90"/>
              <w:bottom w:type="dxa" w:w="60"/>
              <w:right w:type="dxa" w:w="90"/>
            </w:tcMar>
          </w:tcPr>
          <w:p>
            <w:pPr>
              <w:spacing w:after="0"/>
            </w:pPr>
            <w:r>
              <w:t xml:space="preserve">Softmax ranking scores</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Scores are not calibrated probabilities</w:t>
            </w:r>
          </w:p>
        </w:tc>
      </w:tr>
      <w:tr>
        <w:trPr>
          <w:tblHeader w:val="false"/>
        </w:trPr>
        <w:tc>
          <w:tcPr>
            <w:tcW w:type="dxa" w:w="1560"/>
            <w:tcMar>
              <w:top w:type="dxa" w:w="60"/>
              <w:left w:type="dxa" w:w="90"/>
              <w:bottom w:type="dxa" w:w="60"/>
              <w:right w:type="dxa" w:w="90"/>
            </w:tcMar>
          </w:tcPr>
          <w:p>
            <w:pPr>
              <w:spacing w:after="0"/>
            </w:pPr>
            <w:r>
              <w:t xml:space="preserve">Whisper [3]</w:t>
            </w:r>
          </w:p>
        </w:tc>
        <w:tc>
          <w:tcPr>
            <w:tcW w:type="dxa" w:w="1560"/>
            <w:tcMar>
              <w:top w:type="dxa" w:w="60"/>
              <w:left w:type="dxa" w:w="90"/>
              <w:bottom w:type="dxa" w:w="60"/>
              <w:right w:type="dxa" w:w="90"/>
            </w:tcMar>
          </w:tcPr>
          <w:p>
            <w:pPr>
              <w:spacing w:after="0"/>
            </w:pPr>
            <w:r>
              <w:t xml:space="preserve">Speech</w:t>
            </w:r>
          </w:p>
        </w:tc>
        <w:tc>
          <w:tcPr>
            <w:tcW w:type="dxa" w:w="1560"/>
            <w:tcMar>
              <w:top w:type="dxa" w:w="60"/>
              <w:left w:type="dxa" w:w="90"/>
              <w:bottom w:type="dxa" w:w="60"/>
              <w:right w:type="dxa" w:w="90"/>
            </w:tcMar>
          </w:tcPr>
          <w:p>
            <w:pPr>
              <w:spacing w:after="0"/>
            </w:pPr>
            <w:r>
              <w:t xml:space="preserve">Human transcripts</w:t>
            </w:r>
          </w:p>
        </w:tc>
        <w:tc>
          <w:tcPr>
            <w:tcW w:type="dxa" w:w="1560"/>
            <w:tcMar>
              <w:top w:type="dxa" w:w="60"/>
              <w:left w:type="dxa" w:w="90"/>
              <w:bottom w:type="dxa" w:w="60"/>
              <w:right w:type="dxa" w:w="90"/>
            </w:tcMar>
          </w:tcPr>
          <w:p>
            <w:pPr>
              <w:spacing w:after="0"/>
            </w:pPr>
            <w:r>
              <w:t xml:space="preserve">None per-utterance</w:t>
            </w:r>
          </w:p>
        </w:tc>
        <w:tc>
          <w:tcPr>
            <w:tcW w:type="dxa" w:w="1560"/>
            <w:tcMar>
              <w:top w:type="dxa" w:w="60"/>
              <w:left w:type="dxa" w:w="90"/>
              <w:bottom w:type="dxa" w:w="60"/>
              <w:right w:type="dxa" w:w="90"/>
            </w:tcMar>
          </w:tcPr>
          <w:p>
            <w:pPr>
              <w:spacing w:after="0"/>
            </w:pPr>
            <w:r>
              <w:t xml:space="preserve">Audio</w:t>
            </w:r>
          </w:p>
        </w:tc>
        <w:tc>
          <w:tcPr>
            <w:tcW w:type="dxa" w:w="1560"/>
            <w:tcMar>
              <w:top w:type="dxa" w:w="60"/>
              <w:left w:type="dxa" w:w="90"/>
              <w:bottom w:type="dxa" w:w="60"/>
              <w:right w:type="dxa" w:w="90"/>
            </w:tcMar>
          </w:tcPr>
          <w:p>
            <w:pPr>
              <w:spacing w:after="0"/>
            </w:pPr>
            <w:r>
              <w:t xml:space="preserve">No per-segment reliability estimate</w:t>
            </w:r>
          </w:p>
        </w:tc>
      </w:tr>
      <w:tr>
        <w:trPr>
          <w:tblHeader w:val="false"/>
        </w:trPr>
        <w:tc>
          <w:tcPr>
            <w:tcW w:type="dxa" w:w="1560"/>
            <w:tcMar>
              <w:top w:type="dxa" w:w="60"/>
              <w:left w:type="dxa" w:w="90"/>
              <w:bottom w:type="dxa" w:w="60"/>
              <w:right w:type="dxa" w:w="90"/>
            </w:tcMar>
          </w:tcPr>
          <w:p>
            <w:pPr>
              <w:spacing w:after="0"/>
            </w:pPr>
            <w:r>
              <w:t xml:space="preserve">Snorkel [7]</w:t>
            </w:r>
          </w:p>
        </w:tc>
        <w:tc>
          <w:tcPr>
            <w:tcW w:type="dxa" w:w="1560"/>
            <w:tcMar>
              <w:top w:type="dxa" w:w="60"/>
              <w:left w:type="dxa" w:w="90"/>
              <w:bottom w:type="dxa" w:w="60"/>
              <w:right w:type="dxa" w:w="90"/>
            </w:tcMar>
          </w:tcPr>
          <w:p>
            <w:pPr>
              <w:spacing w:after="0"/>
            </w:pPr>
            <w:r>
              <w:t xml:space="preserve">Text/structured</w:t>
            </w:r>
          </w:p>
        </w:tc>
        <w:tc>
          <w:tcPr>
            <w:tcW w:type="dxa" w:w="1560"/>
            <w:tcMar>
              <w:top w:type="dxa" w:w="60"/>
              <w:left w:type="dxa" w:w="90"/>
              <w:bottom w:type="dxa" w:w="60"/>
              <w:right w:type="dxa" w:w="90"/>
            </w:tcMar>
          </w:tcPr>
          <w:p>
            <w:pPr>
              <w:spacing w:after="0"/>
            </w:pPr>
            <w:r>
              <w:t xml:space="preserve">None required</w:t>
            </w:r>
          </w:p>
        </w:tc>
        <w:tc>
          <w:tcPr>
            <w:tcW w:type="dxa" w:w="1560"/>
            <w:tcMar>
              <w:top w:type="dxa" w:w="60"/>
              <w:left w:type="dxa" w:w="90"/>
              <w:bottom w:type="dxa" w:w="60"/>
              <w:right w:type="dxa" w:w="90"/>
            </w:tcMar>
          </w:tcPr>
          <w:p>
            <w:pPr>
              <w:spacing w:after="0"/>
            </w:pPr>
            <w:r>
              <w:t xml:space="preserve">Learned source accuracies</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Assumes conditional source independence</w:t>
            </w:r>
          </w:p>
        </w:tc>
      </w:tr>
      <w:tr>
        <w:trPr>
          <w:tblHeader w:val="false"/>
        </w:trPr>
        <w:tc>
          <w:tcPr>
            <w:tcW w:type="dxa" w:w="1560"/>
            <w:tcMar>
              <w:top w:type="dxa" w:w="60"/>
              <w:left w:type="dxa" w:w="90"/>
              <w:bottom w:type="dxa" w:w="60"/>
              <w:right w:type="dxa" w:w="90"/>
            </w:tcMar>
          </w:tcPr>
          <w:p>
            <w:pPr>
              <w:spacing w:after="0"/>
            </w:pPr>
            <w:r>
              <w:t xml:space="preserve">Artstein &amp; Poesio [8]</w:t>
            </w:r>
          </w:p>
        </w:tc>
        <w:tc>
          <w:tcPr>
            <w:tcW w:type="dxa" w:w="1560"/>
            <w:tcMar>
              <w:top w:type="dxa" w:w="60"/>
              <w:left w:type="dxa" w:w="90"/>
              <w:bottom w:type="dxa" w:w="60"/>
              <w:right w:type="dxa" w:w="90"/>
            </w:tcMar>
          </w:tcPr>
          <w:p>
            <w:pPr>
              <w:spacing w:after="0"/>
            </w:pPr>
            <w:r>
              <w:t xml:space="preserve">Annotated corpora</w:t>
            </w:r>
          </w:p>
        </w:tc>
        <w:tc>
          <w:tcPr>
            <w:tcW w:type="dxa" w:w="1560"/>
            <w:tcMar>
              <w:top w:type="dxa" w:w="60"/>
              <w:left w:type="dxa" w:w="90"/>
              <w:bottom w:type="dxa" w:w="60"/>
              <w:right w:type="dxa" w:w="90"/>
            </w:tcMar>
          </w:tcPr>
          <w:p>
            <w:pPr>
              <w:spacing w:after="0"/>
            </w:pPr>
            <w:r>
              <w:t xml:space="preserve">Multiple human coders</w:t>
            </w:r>
          </w:p>
        </w:tc>
        <w:tc>
          <w:tcPr>
            <w:tcW w:type="dxa" w:w="1560"/>
            <w:tcMar>
              <w:top w:type="dxa" w:w="60"/>
              <w:left w:type="dxa" w:w="90"/>
              <w:bottom w:type="dxa" w:w="60"/>
              <w:right w:type="dxa" w:w="90"/>
            </w:tcMar>
          </w:tcPr>
          <w:p>
            <w:pPr>
              <w:spacing w:after="0"/>
            </w:pPr>
            <w:r>
              <w:t xml:space="preserve">Chance-corrected agreement</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Human coders, not model families</w:t>
            </w:r>
          </w:p>
        </w:tc>
      </w:tr>
      <w:tr>
        <w:trPr>
          <w:tblHeader w:val="false"/>
        </w:trPr>
        <w:tc>
          <w:tcPr>
            <w:tcW w:type="dxa" w:w="1560"/>
            <w:tcMar>
              <w:top w:type="dxa" w:w="60"/>
              <w:left w:type="dxa" w:w="90"/>
              <w:bottom w:type="dxa" w:w="60"/>
              <w:right w:type="dxa" w:w="90"/>
            </w:tcMar>
          </w:tcPr>
          <w:p>
            <w:pPr>
              <w:spacing w:after="0"/>
            </w:pPr>
            <w:r>
              <w:t xml:space="preserve">Qwen3-VL [9] / InternVL3 [10]</w:t>
            </w:r>
          </w:p>
        </w:tc>
        <w:tc>
          <w:tcPr>
            <w:tcW w:type="dxa" w:w="1560"/>
            <w:tcMar>
              <w:top w:type="dxa" w:w="60"/>
              <w:left w:type="dxa" w:w="90"/>
              <w:bottom w:type="dxa" w:w="60"/>
              <w:right w:type="dxa" w:w="90"/>
            </w:tcMar>
          </w:tcPr>
          <w:p>
            <w:pPr>
              <w:spacing w:after="0"/>
            </w:pPr>
            <w:r>
              <w:t xml:space="preserve">General multimodal</w:t>
            </w:r>
          </w:p>
        </w:tc>
        <w:tc>
          <w:tcPr>
            <w:tcW w:type="dxa" w:w="1560"/>
            <w:tcMar>
              <w:top w:type="dxa" w:w="60"/>
              <w:left w:type="dxa" w:w="90"/>
              <w:bottom w:type="dxa" w:w="60"/>
              <w:right w:type="dxa" w:w="90"/>
            </w:tcMar>
          </w:tcPr>
          <w:p>
            <w:pPr>
              <w:spacing w:after="0"/>
            </w:pPr>
            <w:r>
              <w:t xml:space="preserve">Benchmark suites</w:t>
            </w:r>
          </w:p>
        </w:tc>
        <w:tc>
          <w:tcPr>
            <w:tcW w:type="dxa" w:w="1560"/>
            <w:tcMar>
              <w:top w:type="dxa" w:w="60"/>
              <w:left w:type="dxa" w:w="90"/>
              <w:bottom w:type="dxa" w:w="60"/>
              <w:right w:type="dxa" w:w="90"/>
            </w:tcMar>
          </w:tcPr>
          <w:p>
            <w:pPr>
              <w:spacing w:after="0"/>
            </w:pPr>
            <w:r>
              <w:t xml:space="preserve">None</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60"/>
            <w:tcMar>
              <w:top w:type="dxa" w:w="60"/>
              <w:left w:type="dxa" w:w="90"/>
              <w:bottom w:type="dxa" w:w="60"/>
              <w:right w:type="dxa" w:w="90"/>
            </w:tcMar>
          </w:tcPr>
          <w:p>
            <w:pPr>
              <w:spacing w:after="0"/>
            </w:pPr>
            <w:r>
              <w:rPr>
                <w:b/>
                <w:bCs/>
              </w:rPr>
              <w:t xml:space="preserve">This work</w:t>
            </w:r>
          </w:p>
        </w:tc>
        <w:tc>
          <w:tcPr>
            <w:tcW w:type="dxa" w:w="1560"/>
            <w:tcMar>
              <w:top w:type="dxa" w:w="60"/>
              <w:left w:type="dxa" w:w="90"/>
              <w:bottom w:type="dxa" w:w="60"/>
              <w:right w:type="dxa" w:w="90"/>
            </w:tcMar>
          </w:tcPr>
          <w:p>
            <w:pPr>
              <w:spacing w:after="0"/>
            </w:pPr>
            <w:r>
              <w:t xml:space="preserve">Archival community TV</w:t>
            </w:r>
          </w:p>
        </w:tc>
        <w:tc>
          <w:tcPr>
            <w:tcW w:type="dxa" w:w="1560"/>
            <w:tcMar>
              <w:top w:type="dxa" w:w="60"/>
              <w:left w:type="dxa" w:w="90"/>
              <w:bottom w:type="dxa" w:w="60"/>
              <w:right w:type="dxa" w:w="90"/>
            </w:tcMar>
          </w:tcPr>
          <w:p>
            <w:pPr>
              <w:spacing w:after="0"/>
            </w:pPr>
            <w:r>
              <w:rPr>
                <w:b/>
                <w:bCs/>
              </w:rPr>
              <w:t xml:space="preserve">None available</w:t>
            </w:r>
          </w:p>
        </w:tc>
        <w:tc>
          <w:tcPr>
            <w:tcW w:type="dxa" w:w="1560"/>
            <w:tcMar>
              <w:top w:type="dxa" w:w="60"/>
              <w:left w:type="dxa" w:w="90"/>
              <w:bottom w:type="dxa" w:w="60"/>
              <w:right w:type="dxa" w:w="90"/>
            </w:tcMar>
          </w:tcPr>
          <w:p>
            <w:pPr>
              <w:spacing w:after="0"/>
            </w:pPr>
            <w:r>
              <w:rPr>
                <w:b/>
                <w:bCs/>
              </w:rPr>
              <w:t xml:space="preserve">Per-field status + agreement + support set</w:t>
            </w:r>
          </w:p>
        </w:tc>
        <w:tc>
          <w:tcPr>
            <w:tcW w:type="dxa" w:w="1560"/>
            <w:tcMar>
              <w:top w:type="dxa" w:w="60"/>
              <w:left w:type="dxa" w:w="90"/>
              <w:bottom w:type="dxa" w:w="60"/>
              <w:right w:type="dxa" w:w="90"/>
            </w:tcMar>
          </w:tcPr>
          <w:p>
            <w:pPr>
              <w:spacing w:after="0"/>
            </w:pPr>
            <w:r>
              <w:t xml:space="preserve">Audio, visual, OCR, text</w:t>
            </w:r>
          </w:p>
        </w:tc>
        <w:tc>
          <w:tcPr>
            <w:tcW w:type="dxa" w:w="1560"/>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Notebook</w:t>
            </w:r>
          </w:p>
        </w:tc>
        <w:tc>
          <w:tcPr>
            <w:tcW w:type="dxa" w:w="468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468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468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468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highlight w:val="yellow"/>
          <w:highlightCs w:val="yellow"/>
        </w:rPr>
        <w:t xml:space="preserve">`[TO FILL: boundary check.]`</w:t>
      </w:r>
      <w:r>
        <w:t xml:space="preserve"> Sample 10 clips, confirm that clip </w:t>
      </w:r>
      <w:r>
        <w:rPr>
          <w:i/>
          <w:iCs/>
        </w:rPr>
        <w:t xml:space="preserve">n</w:t>
      </w:r>
      <w:r>
        <w:t xml:space="preserve"> starts exactly where clip </w:t>
      </w:r>
      <w:r>
        <w:rPr>
          <w:i/>
          <w:iCs/>
        </w:rPr>
        <w:t xml:space="preserve">n</w:t>
      </w:r>
      <w:r>
        <w:t xml:space="preserve">−1 ends and that the reported </w:t>
      </w:r>
      <w:r>
        <w:rPr>
          <w:rFonts w:ascii="Consolas" w:cs="Consolas" w:eastAsia="Consolas" w:hAnsi="Consolas"/>
          <w:sz w:val="18"/>
          <w:szCs w:val="18"/>
        </w:rPr>
        <w:t xml:space="preserve">start_sec</w:t>
      </w:r>
      <w:r>
        <w:t xml:space="preserve"> matches the source timecode. Report the maximum observed drift. This is the check that catches a timestamp-reset bug, and it has not been run.</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highlight w:val="yellow"/>
          <w:highlightCs w:val="yellow"/>
        </w:rPr>
        <w:t xml:space="preserve">`[TO FILL]`</w:t>
      </w:r>
      <w:r>
        <w:t xml:space="preserve"> Confirm programmatically that the intersection of source IDs across splits is empty. The assignment builds one label per source so this should hold by construction, but it is a one-line assertion and worth having in the record.</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Pair</w:t>
            </w:r>
          </w:p>
        </w:tc>
        <w:tc>
          <w:tcPr>
            <w:tcW w:type="dxa" w:w="3120"/>
            <w:shd w:fill="EFEFEF" w:color="auto" w:val="clear"/>
            <w:tcMar>
              <w:top w:type="dxa" w:w="60"/>
              <w:left w:type="dxa" w:w="90"/>
              <w:bottom w:type="dxa" w:w="60"/>
              <w:right w:type="dxa" w:w="90"/>
            </w:tcMar>
          </w:tcPr>
          <w:p>
            <w:pPr>
              <w:spacing w:after="0"/>
            </w:pPr>
            <w:r>
              <w:rPr>
                <w:b/>
                <w:bCs/>
              </w:rPr>
              <w:t xml:space="preserve">Shared</w:t>
            </w:r>
          </w:p>
        </w:tc>
        <w:tc>
          <w:tcPr>
            <w:tcW w:type="dxa" w:w="312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3120"/>
            <w:tcMar>
              <w:top w:type="dxa" w:w="60"/>
              <w:left w:type="dxa" w:w="90"/>
              <w:bottom w:type="dxa" w:w="60"/>
              <w:right w:type="dxa" w:w="90"/>
            </w:tcMar>
          </w:tcPr>
          <w:p>
            <w:pPr>
              <w:spacing w:after="0"/>
            </w:pPr>
            <w:r>
              <w:t xml:space="preserve">CLIP ViT-B/32 / ViT-L/14</w:t>
            </w:r>
          </w:p>
        </w:tc>
        <w:tc>
          <w:tcPr>
            <w:tcW w:type="dxa" w:w="3120"/>
            <w:tcMar>
              <w:top w:type="dxa" w:w="60"/>
              <w:left w:type="dxa" w:w="90"/>
              <w:bottom w:type="dxa" w:w="60"/>
              <w:right w:type="dxa" w:w="90"/>
            </w:tcMar>
          </w:tcPr>
          <w:p>
            <w:pPr>
              <w:spacing w:after="0"/>
            </w:pPr>
            <w:r>
              <w:t xml:space="preserve">Architecture, training objective, data distribution</w:t>
            </w:r>
          </w:p>
        </w:tc>
        <w:tc>
          <w:tcPr>
            <w:tcW w:type="dxa" w:w="3120"/>
            <w:tcMar>
              <w:top w:type="dxa" w:w="60"/>
              <w:left w:type="dxa" w:w="90"/>
              <w:bottom w:type="dxa" w:w="60"/>
              <w:right w:type="dxa" w:w="90"/>
            </w:tcMar>
          </w:tcPr>
          <w:p>
            <w:pPr>
              <w:spacing w:after="0"/>
            </w:pPr>
            <w:r>
              <w:t xml:space="preserve">Visual-tag agreement overstated</w:t>
            </w:r>
          </w:p>
        </w:tc>
      </w:tr>
      <w:tr>
        <w:trPr>
          <w:tblHeader w:val="false"/>
        </w:trPr>
        <w:tc>
          <w:tcPr>
            <w:tcW w:type="dxa" w:w="3120"/>
            <w:tcMar>
              <w:top w:type="dxa" w:w="60"/>
              <w:left w:type="dxa" w:w="90"/>
              <w:bottom w:type="dxa" w:w="60"/>
              <w:right w:type="dxa" w:w="90"/>
            </w:tcMar>
          </w:tcPr>
          <w:p>
            <w:pPr>
              <w:spacing w:after="0"/>
            </w:pPr>
            <w:r>
              <w:t xml:space="preserve">Whisper-small / -turbo</w:t>
            </w:r>
          </w:p>
        </w:tc>
        <w:tc>
          <w:tcPr>
            <w:tcW w:type="dxa" w:w="3120"/>
            <w:tcMar>
              <w:top w:type="dxa" w:w="60"/>
              <w:left w:type="dxa" w:w="90"/>
              <w:bottom w:type="dxa" w:w="60"/>
              <w:right w:type="dxa" w:w="90"/>
            </w:tcMar>
          </w:tcPr>
          <w:p>
            <w:pPr>
              <w:spacing w:after="0"/>
            </w:pPr>
            <w:r>
              <w:t xml:space="preserve">Architecture, training data</w:t>
            </w:r>
          </w:p>
        </w:tc>
        <w:tc>
          <w:tcPr>
            <w:tcW w:type="dxa" w:w="312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highlight w:val="yellow"/>
          <w:highlightCs w:val="yellow"/>
        </w:rPr>
        <w:t xml:space="preserve">`[TO FILL]`</w:t>
      </w:r>
      <w:r>
        <w:t xml:space="preserve"> Quantify this: report mean agreement within the correlated pair against mean agreement between an unrelated pair (e.g. Tesseract/EasyOCR, or BLIP-VQA/DETR). If the correlated pairs score systematically higher, the size of that gap is the inflation factor, and it belongs in the paper's limitations with a number attached rather than as a qualitative caveat.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t xml:space="preserve"/>
            </w:r>
          </w:p>
        </w:tc>
        <w:tc>
          <w:tcPr>
            <w:tcW w:type="dxa" w:w="3120"/>
            <w:shd w:fill="EFEFEF" w:color="auto" w:val="clear"/>
            <w:tcMar>
              <w:top w:type="dxa" w:w="60"/>
              <w:left w:type="dxa" w:w="90"/>
              <w:bottom w:type="dxa" w:w="60"/>
              <w:right w:type="dxa" w:w="90"/>
            </w:tcMar>
          </w:tcPr>
          <w:p>
            <w:pPr>
              <w:spacing w:after="0"/>
            </w:pPr>
            <w:r>
              <w:rPr>
                <w:b/>
                <w:bCs/>
              </w:rPr>
              <w:t xml:space="preserve">Pipeline</w:t>
            </w:r>
          </w:p>
        </w:tc>
        <w:tc>
          <w:tcPr>
            <w:tcW w:type="dxa" w:w="3120"/>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3120"/>
            <w:tcMar>
              <w:top w:type="dxa" w:w="60"/>
              <w:left w:type="dxa" w:w="90"/>
              <w:bottom w:type="dxa" w:w="60"/>
              <w:right w:type="dxa" w:w="90"/>
            </w:tcMar>
          </w:tcPr>
          <w:p>
            <w:pPr>
              <w:spacing w:after="0"/>
            </w:pPr>
            <w:r>
              <w:t xml:space="preserve">Platform</w:t>
            </w:r>
          </w:p>
        </w:tc>
        <w:tc>
          <w:tcPr>
            <w:tcW w:type="dxa" w:w="3120"/>
            <w:tcMar>
              <w:top w:type="dxa" w:w="60"/>
              <w:left w:type="dxa" w:w="90"/>
              <w:bottom w:type="dxa" w:w="60"/>
              <w:right w:type="dxa" w:w="90"/>
            </w:tcMar>
          </w:tcPr>
          <w:p>
            <w:pPr>
              <w:spacing w:after="0"/>
            </w:pPr>
            <w:r>
              <w:t xml:space="preserve">Google Colab</w:t>
            </w:r>
          </w:p>
        </w:tc>
        <w:tc>
          <w:tcPr>
            <w:tcW w:type="dxa" w:w="3120"/>
            <w:tcMar>
              <w:top w:type="dxa" w:w="60"/>
              <w:left w:type="dxa" w:w="90"/>
              <w:bottom w:type="dxa" w:w="60"/>
              <w:right w:type="dxa" w:w="90"/>
            </w:tcMar>
          </w:tcPr>
          <w:p>
            <w:pPr>
              <w:spacing w:after="0"/>
            </w:pPr>
            <w:r>
              <w:t xml:space="preserve">Kelvin2 HPC (QUB)</w:t>
            </w:r>
          </w:p>
        </w:tc>
      </w:tr>
      <w:tr>
        <w:trPr>
          <w:tblHeader w:val="false"/>
        </w:trPr>
        <w:tc>
          <w:tcPr>
            <w:tcW w:type="dxa" w:w="3120"/>
            <w:tcMar>
              <w:top w:type="dxa" w:w="60"/>
              <w:left w:type="dxa" w:w="90"/>
              <w:bottom w:type="dxa" w:w="60"/>
              <w:right w:type="dxa" w:w="90"/>
            </w:tcMar>
          </w:tcPr>
          <w:p>
            <w:pPr>
              <w:spacing w:after="0"/>
            </w:pPr>
            <w:r>
              <w:t xml:space="preserve">GPU</w:t>
            </w:r>
          </w:p>
        </w:tc>
        <w:tc>
          <w:tcPr>
            <w:tcW w:type="dxa" w:w="3120"/>
            <w:tcMar>
              <w:top w:type="dxa" w:w="60"/>
              <w:left w:type="dxa" w:w="90"/>
              <w:bottom w:type="dxa" w:w="60"/>
              <w:right w:type="dxa" w:w="90"/>
            </w:tcMar>
          </w:tcPr>
          <w:p>
            <w:pPr>
              <w:spacing w:after="0"/>
            </w:pPr>
            <w:r>
              <w:t xml:space="preserve">NVIDIA A100-SXM4-40GB</w:t>
            </w:r>
          </w:p>
        </w:tc>
        <w:tc>
          <w:tcPr>
            <w:tcW w:type="dxa" w:w="3120"/>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3120"/>
            <w:tcMar>
              <w:top w:type="dxa" w:w="60"/>
              <w:left w:type="dxa" w:w="90"/>
              <w:bottom w:type="dxa" w:w="60"/>
              <w:right w:type="dxa" w:w="90"/>
            </w:tcMar>
          </w:tcPr>
          <w:p>
            <w:pPr>
              <w:spacing w:after="0"/>
            </w:pPr>
            <w:r>
              <w:t xml:space="preserve">CPUs</w:t>
            </w:r>
          </w:p>
        </w:tc>
        <w:tc>
          <w:tcPr>
            <w:tcW w:type="dxa" w:w="3120"/>
            <w:tcMar>
              <w:top w:type="dxa" w:w="60"/>
              <w:left w:type="dxa" w:w="90"/>
              <w:bottom w:type="dxa" w:w="60"/>
              <w:right w:type="dxa" w:w="90"/>
            </w:tcMar>
          </w:tcPr>
          <w:p>
            <w:pPr>
              <w:spacing w:after="0"/>
            </w:pPr>
            <w:r>
              <w:t xml:space="preserve">12</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Python</w:t>
            </w:r>
          </w:p>
        </w:tc>
        <w:tc>
          <w:tcPr>
            <w:tcW w:type="dxa" w:w="3120"/>
            <w:tcMar>
              <w:top w:type="dxa" w:w="60"/>
              <w:left w:type="dxa" w:w="90"/>
              <w:bottom w:type="dxa" w:w="60"/>
              <w:right w:type="dxa" w:w="90"/>
            </w:tcMar>
          </w:tcPr>
          <w:p>
            <w:pPr>
              <w:spacing w:after="0"/>
            </w:pPr>
            <w:r>
              <w:t xml:space="preserve">3.13.15</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PyTorch</w:t>
            </w:r>
          </w:p>
        </w:tc>
        <w:tc>
          <w:tcPr>
            <w:tcW w:type="dxa" w:w="3120"/>
            <w:tcMar>
              <w:top w:type="dxa" w:w="60"/>
              <w:left w:type="dxa" w:w="90"/>
              <w:bottom w:type="dxa" w:w="60"/>
              <w:right w:type="dxa" w:w="90"/>
            </w:tcMar>
          </w:tcPr>
          <w:p>
            <w:pPr>
              <w:spacing w:after="0"/>
            </w:pPr>
            <w:r>
              <w:t xml:space="preserve">2.11.0+cu128</w:t>
            </w:r>
          </w:p>
        </w:tc>
        <w:tc>
          <w:tcPr>
            <w:tcW w:type="dxa" w:w="3120"/>
            <w:tcMar>
              <w:top w:type="dxa" w:w="60"/>
              <w:left w:type="dxa" w:w="90"/>
              <w:bottom w:type="dxa" w:w="60"/>
              <w:right w:type="dxa" w:w="90"/>
            </w:tcMar>
          </w:tcPr>
          <w:p>
            <w:pPr>
              <w:spacing w:after="0"/>
            </w:pPr>
            <w:r>
              <w:t xml:space="preserve">2.7.1+cu118</w:t>
            </w:r>
          </w:p>
        </w:tc>
      </w:tr>
      <w:tr>
        <w:trPr>
          <w:tblHeader w:val="false"/>
        </w:trPr>
        <w:tc>
          <w:tcPr>
            <w:tcW w:type="dxa" w:w="3120"/>
            <w:tcMar>
              <w:top w:type="dxa" w:w="60"/>
              <w:left w:type="dxa" w:w="90"/>
              <w:bottom w:type="dxa" w:w="60"/>
              <w:right w:type="dxa" w:w="90"/>
            </w:tcMar>
          </w:tcPr>
          <w:p>
            <w:pPr>
              <w:spacing w:after="0"/>
            </w:pPr>
            <w:r>
              <w:t xml:space="preserve">Persistence</w:t>
            </w:r>
          </w:p>
        </w:tc>
        <w:tc>
          <w:tcPr>
            <w:tcW w:type="dxa" w:w="3120"/>
            <w:tcMar>
              <w:top w:type="dxa" w:w="60"/>
              <w:left w:type="dxa" w:w="90"/>
              <w:bottom w:type="dxa" w:w="60"/>
              <w:right w:type="dxa" w:w="90"/>
            </w:tcMar>
          </w:tcPr>
          <w:p>
            <w:pPr>
              <w:spacing w:after="0"/>
            </w:pPr>
            <w:r>
              <w:t xml:space="preserve">Google Drive</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Role</w:t>
            </w:r>
          </w:p>
        </w:tc>
        <w:tc>
          <w:tcPr>
            <w:tcW w:type="dxa" w:w="3120"/>
            <w:shd w:fill="EFEFEF" w:color="auto" w:val="clear"/>
            <w:tcMar>
              <w:top w:type="dxa" w:w="60"/>
              <w:left w:type="dxa" w:w="90"/>
              <w:bottom w:type="dxa" w:w="60"/>
              <w:right w:type="dxa" w:w="90"/>
            </w:tcMar>
          </w:tcPr>
          <w:p>
            <w:pPr>
              <w:spacing w:after="0"/>
            </w:pPr>
            <w:r>
              <w:rPr>
                <w:b/>
                <w:bCs/>
              </w:rPr>
              <w:t xml:space="preserve">Model</w:t>
            </w:r>
          </w:p>
        </w:tc>
        <w:tc>
          <w:tcPr>
            <w:tcW w:type="dxa" w:w="3120"/>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3120"/>
            <w:tcMar>
              <w:top w:type="dxa" w:w="60"/>
              <w:left w:type="dxa" w:w="90"/>
              <w:bottom w:type="dxa" w:w="60"/>
              <w:right w:type="dxa" w:w="90"/>
            </w:tcMar>
          </w:tcPr>
          <w:p>
            <w:pPr>
              <w:spacing w:after="0"/>
            </w:pPr>
            <w:r>
              <w:t xml:space="preserve">ASR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whisper-small</w:t>
            </w:r>
          </w:p>
        </w:tc>
        <w:tc>
          <w:tcPr>
            <w:tcW w:type="dxa" w:w="3120"/>
            <w:tcMar>
              <w:top w:type="dxa" w:w="60"/>
              <w:left w:type="dxa" w:w="90"/>
              <w:bottom w:type="dxa" w:w="60"/>
              <w:right w:type="dxa" w:w="90"/>
            </w:tcMar>
          </w:tcPr>
          <w:p>
            <w:pPr>
              <w:spacing w:after="0"/>
            </w:pPr>
            <w:r>
              <w:t xml:space="preserve">Also performs language ID</w:t>
            </w:r>
          </w:p>
        </w:tc>
      </w:tr>
      <w:tr>
        <w:trPr>
          <w:tblHeader w:val="false"/>
        </w:trPr>
        <w:tc>
          <w:tcPr>
            <w:tcW w:type="dxa" w:w="3120"/>
            <w:tcMar>
              <w:top w:type="dxa" w:w="60"/>
              <w:left w:type="dxa" w:w="90"/>
              <w:bottom w:type="dxa" w:w="60"/>
              <w:right w:type="dxa" w:w="90"/>
            </w:tcMar>
          </w:tcPr>
          <w:p>
            <w:pPr>
              <w:spacing w:after="0"/>
            </w:pPr>
            <w:r>
              <w:t xml:space="preserve">ASR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whisper-turbo</w:t>
            </w:r>
          </w:p>
        </w:tc>
        <w:tc>
          <w:tcPr>
            <w:tcW w:type="dxa" w:w="3120"/>
            <w:tcMar>
              <w:top w:type="dxa" w:w="60"/>
              <w:left w:type="dxa" w:w="90"/>
              <w:bottom w:type="dxa" w:w="60"/>
              <w:right w:type="dxa" w:w="90"/>
            </w:tcMar>
          </w:tcPr>
          <w:p>
            <w:pPr>
              <w:spacing w:after="0"/>
            </w:pPr>
            <w:r>
              <w:t xml:space="preserve">Deterministic output published</w:t>
            </w:r>
          </w:p>
        </w:tc>
      </w:tr>
      <w:tr>
        <w:trPr>
          <w:tblHeader w:val="false"/>
        </w:trPr>
        <w:tc>
          <w:tcPr>
            <w:tcW w:type="dxa" w:w="3120"/>
            <w:tcMar>
              <w:top w:type="dxa" w:w="60"/>
              <w:left w:type="dxa" w:w="90"/>
              <w:bottom w:type="dxa" w:w="60"/>
              <w:right w:type="dxa" w:w="90"/>
            </w:tcMar>
          </w:tcPr>
          <w:p>
            <w:pPr>
              <w:spacing w:after="0"/>
            </w:pPr>
            <w:r>
              <w:t xml:space="preserve">OCR</w:t>
            </w:r>
          </w:p>
        </w:tc>
        <w:tc>
          <w:tcPr>
            <w:tcW w:type="dxa" w:w="3120"/>
            <w:tcMar>
              <w:top w:type="dxa" w:w="60"/>
              <w:left w:type="dxa" w:w="90"/>
              <w:bottom w:type="dxa" w:w="60"/>
              <w:right w:type="dxa" w:w="90"/>
            </w:tcMar>
          </w:tcPr>
          <w:p>
            <w:pPr>
              <w:spacing w:after="0"/>
            </w:pPr>
            <w:r>
              <w:t xml:space="preserve">Tesseract; EasyOCR</w:t>
            </w:r>
          </w:p>
        </w:tc>
        <w:tc>
          <w:tcPr>
            <w:tcW w:type="dxa" w:w="3120"/>
            <w:tcMar>
              <w:top w:type="dxa" w:w="60"/>
              <w:left w:type="dxa" w:w="90"/>
              <w:bottom w:type="dxa" w:w="60"/>
              <w:right w:type="dxa" w:w="90"/>
            </w:tcMar>
          </w:tcPr>
          <w:p>
            <w:pPr>
              <w:spacing w:after="0"/>
            </w:pPr>
            <w:r>
              <w:t xml:space="preserve">Both required for publication</w:t>
            </w:r>
          </w:p>
        </w:tc>
      </w:tr>
      <w:tr>
        <w:trPr>
          <w:tblHeader w:val="false"/>
        </w:trPr>
        <w:tc>
          <w:tcPr>
            <w:tcW w:type="dxa" w:w="3120"/>
            <w:tcMar>
              <w:top w:type="dxa" w:w="60"/>
              <w:left w:type="dxa" w:w="90"/>
              <w:bottom w:type="dxa" w:w="60"/>
              <w:right w:type="dxa" w:w="90"/>
            </w:tcMar>
          </w:tcPr>
          <w:p>
            <w:pPr>
              <w:spacing w:after="0"/>
            </w:pPr>
            <w:r>
              <w:t xml:space="preserve">Visual tags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p>
        </w:tc>
        <w:tc>
          <w:tcPr>
            <w:tcW w:type="dxa" w:w="3120"/>
            <w:tcMar>
              <w:top w:type="dxa" w:w="60"/>
              <w:left w:type="dxa" w:w="90"/>
              <w:bottom w:type="dxa" w:w="60"/>
              <w:right w:type="dxa" w:w="90"/>
            </w:tcMar>
          </w:tcPr>
          <w:p>
            <w:pPr>
              <w:spacing w:after="0"/>
            </w:pPr>
            <w:r>
              <w:t xml:space="preserve">34-label vocabulary</w:t>
            </w:r>
          </w:p>
        </w:tc>
      </w:tr>
      <w:tr>
        <w:trPr>
          <w:tblHeader w:val="false"/>
        </w:trPr>
        <w:tc>
          <w:tcPr>
            <w:tcW w:type="dxa" w:w="3120"/>
            <w:tcMar>
              <w:top w:type="dxa" w:w="60"/>
              <w:left w:type="dxa" w:w="90"/>
              <w:bottom w:type="dxa" w:w="60"/>
              <w:right w:type="dxa" w:w="90"/>
            </w:tcMar>
          </w:tcPr>
          <w:p>
            <w:pPr>
              <w:spacing w:after="0"/>
            </w:pPr>
            <w:r>
              <w:t xml:space="preserve">Visual tags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p>
        </w:tc>
        <w:tc>
          <w:tcPr>
            <w:tcW w:type="dxa" w:w="3120"/>
            <w:tcMar>
              <w:top w:type="dxa" w:w="60"/>
              <w:left w:type="dxa" w:w="90"/>
              <w:bottom w:type="dxa" w:w="60"/>
              <w:right w:type="dxa" w:w="90"/>
            </w:tcMar>
          </w:tcPr>
          <w:p>
            <w:pPr>
              <w:spacing w:after="0"/>
            </w:pPr>
            <w:r>
              <w:t xml:space="preserve">Prompt: "a photograph of {label}"</w:t>
            </w:r>
          </w:p>
        </w:tc>
      </w:tr>
      <w:tr>
        <w:trPr>
          <w:tblHeader w:val="false"/>
        </w:trPr>
        <w:tc>
          <w:tcPr>
            <w:tcW w:type="dxa" w:w="3120"/>
            <w:tcMar>
              <w:top w:type="dxa" w:w="60"/>
              <w:left w:type="dxa" w:w="90"/>
              <w:bottom w:type="dxa" w:w="60"/>
              <w:right w:type="dxa" w:w="90"/>
            </w:tcMar>
          </w:tcPr>
          <w:p>
            <w:pPr>
              <w:spacing w:after="0"/>
            </w:pPr>
            <w:r>
              <w:t xml:space="preserve">People count</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Salesforce/blip-vqa-base</w:t>
            </w:r>
            <w:r>
              <w:t xml:space="preserve">; </w:t>
            </w:r>
            <w:r>
              <w:rPr>
                <w:rFonts w:ascii="Consolas" w:cs="Consolas" w:eastAsia="Consolas" w:hAnsi="Consolas"/>
                <w:sz w:val="18"/>
                <w:szCs w:val="18"/>
              </w:rPr>
              <w:t xml:space="preserve">dandelin/vilt-b32-finetuned-vqa</w:t>
            </w:r>
            <w:r>
              <w:t xml:space="preserve">; </w:t>
            </w:r>
            <w:r>
              <w:rPr>
                <w:rFonts w:ascii="Consolas" w:cs="Consolas" w:eastAsia="Consolas" w:hAnsi="Consolas"/>
                <w:sz w:val="18"/>
                <w:szCs w:val="18"/>
              </w:rPr>
              <w:t xml:space="preserve">facebook/detr-resnet-50</w:t>
            </w:r>
          </w:p>
        </w:tc>
        <w:tc>
          <w:tcPr>
            <w:tcW w:type="dxa" w:w="3120"/>
            <w:tcMar>
              <w:top w:type="dxa" w:w="60"/>
              <w:left w:type="dxa" w:w="90"/>
              <w:bottom w:type="dxa" w:w="60"/>
              <w:right w:type="dxa" w:w="90"/>
            </w:tcMar>
          </w:tcPr>
          <w:p>
            <w:pPr>
              <w:spacing w:after="0"/>
            </w:pPr>
            <w:r>
              <w:t xml:space="preserve">Three families</w:t>
            </w:r>
          </w:p>
        </w:tc>
      </w:tr>
      <w:tr>
        <w:trPr>
          <w:tblHeader w:val="false"/>
        </w:trPr>
        <w:tc>
          <w:tcPr>
            <w:tcW w:type="dxa" w:w="3120"/>
            <w:tcMar>
              <w:top w:type="dxa" w:w="60"/>
              <w:left w:type="dxa" w:w="90"/>
              <w:bottom w:type="dxa" w:w="60"/>
              <w:right w:type="dxa" w:w="90"/>
            </w:tcMar>
          </w:tcPr>
          <w:p>
            <w:pPr>
              <w:spacing w:after="0"/>
            </w:pPr>
            <w:r>
              <w:t xml:space="preserve">Keywords</w:t>
            </w:r>
          </w:p>
        </w:tc>
        <w:tc>
          <w:tcPr>
            <w:tcW w:type="dxa" w:w="3120"/>
            <w:tcMar>
              <w:top w:type="dxa" w:w="60"/>
              <w:left w:type="dxa" w:w="90"/>
              <w:bottom w:type="dxa" w:w="60"/>
              <w:right w:type="dxa" w:w="90"/>
            </w:tcMar>
          </w:tcPr>
          <w:p>
            <w:pPr>
              <w:spacing w:after="0"/>
            </w:pPr>
            <w:r>
              <w:t xml:space="preserve">KeyBERT (</w:t>
            </w:r>
            <w:r>
              <w:rPr>
                <w:rFonts w:ascii="Consolas" w:cs="Consolas" w:eastAsia="Consolas" w:hAnsi="Consolas"/>
                <w:sz w:val="18"/>
                <w:szCs w:val="18"/>
              </w:rPr>
              <w:t xml:space="preserve">all-MiniLM-L6-v2</w:t>
            </w:r>
            <w:r>
              <w:t xml:space="preserve">); YAKE; TF-IDF</w:t>
            </w:r>
          </w:p>
        </w:tc>
        <w:tc>
          <w:tcPr>
            <w:tcW w:type="dxa" w:w="3120"/>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3120"/>
            <w:tcMar>
              <w:top w:type="dxa" w:w="60"/>
              <w:left w:type="dxa" w:w="90"/>
              <w:bottom w:type="dxa" w:w="60"/>
              <w:right w:type="dxa" w:w="90"/>
            </w:tcMar>
          </w:tcPr>
          <w:p>
            <w:pPr>
              <w:spacing w:after="0"/>
            </w:pPr>
            <w:r>
              <w:t xml:space="preserve">Hosted annotator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120"/>
            <w:tcMar>
              <w:top w:type="dxa" w:w="60"/>
              <w:left w:type="dxa" w:w="90"/>
              <w:bottom w:type="dxa" w:w="60"/>
              <w:right w:type="dxa" w:w="90"/>
            </w:tcMar>
          </w:tcPr>
          <w:p>
            <w:pPr>
              <w:spacing w:after="0"/>
            </w:pPr>
            <w:r>
              <w:t xml:space="preserve">Optional; ≤ 5 frames; one family vote</w:t>
            </w:r>
          </w:p>
        </w:tc>
      </w:tr>
      <w:tr>
        <w:trPr>
          <w:tblHeader w:val="false"/>
        </w:trPr>
        <w:tc>
          <w:tcPr>
            <w:tcW w:type="dxa" w:w="3120"/>
            <w:tcMar>
              <w:top w:type="dxa" w:w="60"/>
              <w:left w:type="dxa" w:w="90"/>
              <w:bottom w:type="dxa" w:w="60"/>
              <w:right w:type="dxa" w:w="90"/>
            </w:tcMar>
          </w:tcPr>
          <w:p>
            <w:pPr>
              <w:spacing w:after="0"/>
            </w:pPr>
            <w:r>
              <w:t xml:space="preserve">Benchmark</w:t>
            </w:r>
          </w:p>
        </w:tc>
        <w:tc>
          <w:tcPr>
            <w:tcW w:type="dxa" w:w="3120"/>
            <w:tcMar>
              <w:top w:type="dxa" w:w="60"/>
              <w:left w:type="dxa" w:w="90"/>
              <w:bottom w:type="dxa" w:w="60"/>
              <w:right w:type="dxa" w:w="90"/>
            </w:tcMar>
          </w:tcPr>
          <w:p>
            <w:pPr>
              <w:spacing w:after="0"/>
            </w:pPr>
            <w:r>
              <w:t xml:space="preserve">Qwen3-VL 2B/4B/8B (Instruct, Thinking); InternVL3-2B/-8B</w:t>
            </w:r>
          </w:p>
        </w:tc>
        <w:tc>
          <w:tcPr>
            <w:tcW w:type="dxa" w:w="3120"/>
            <w:tcMar>
              <w:top w:type="dxa" w:w="60"/>
              <w:left w:type="dxa" w:w="90"/>
              <w:bottom w:type="dxa" w:w="60"/>
              <w:right w:type="dxa" w:w="90"/>
            </w:tcMar>
          </w:tcPr>
          <w:p>
            <w:pPr>
              <w:spacing w:after="0"/>
            </w:pPr>
            <w:r>
              <w:t xml:space="preserve">8B models int4</w:t>
            </w:r>
          </w:p>
        </w:tc>
      </w:tr>
    </w:tbl>
    <w:p>
      <w:pPr>
        <w:spacing w:after="160"/>
      </w:pP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RQ2's agreement distribution </w:t>
      </w:r>
      <w:r>
        <w:rPr>
          <w:b/>
          <w:bCs/>
          <w:highlight w:val="yellow"/>
          <w:highlightCs w:val="yellow"/>
        </w:rPr>
        <w:t xml:space="preserve">`[TO FILL]`</w:t>
      </w:r>
      <w:r>
        <w:t xml:space="preserve">; adequately powered ablations; speaker attribution; the fine-tuning the notebook's rules cell describes.</w:t>
      </w:r>
    </w:p>
    <w:p>
      <w:pPr>
        <w:spacing w:after="140" w:line="276"/>
        <w:jc w:val="both"/>
      </w:pPr>
      <w:r>
        <w:t xml:space="preserve">Sub-clip temporal localisation belongs on a separate line, because it is nearer than it looks.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 </w:t>
      </w:r>
      <w:r>
        <w:rPr>
          <w:b/>
          <w:bCs/>
          <w:highlight w:val="yellow"/>
          <w:highlightCs w:val="yellow"/>
        </w:rPr>
        <w:t xml:space="preserve">`[TO FILL: report tag frequency across the corpus. A label that never fires, or one that fires on most clips, is evidence about the vocabulary rather than about the footage.]`</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count how many clips contain non-English tokens in the transcript or keyword fields, and report it — this converts an anecdote into a measurement.]`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highlight w:val="yellow"/>
          <w:highlightCs w:val="yellow"/>
        </w:rPr>
        <w:t xml:space="preserve">`[TO FILL: state which AI tools were used, for what — code scaffolding, debugging, drafting — and confirm that all experimental design, execution, interpretation and the claims made are the author's own and have been verified. Both exemplars carry this section; QUB requires it.]`</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Parameter</w:t>
            </w:r>
          </w:p>
        </w:tc>
        <w:tc>
          <w:tcPr>
            <w:tcW w:type="dxa" w:w="4680"/>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680"/>
            <w:tcMar>
              <w:top w:type="dxa" w:w="60"/>
              <w:left w:type="dxa" w:w="90"/>
              <w:bottom w:type="dxa" w:w="60"/>
              <w:right w:type="dxa" w:w="90"/>
            </w:tcMar>
          </w:tcPr>
          <w:p>
            <w:pPr>
              <w:spacing w:after="0"/>
            </w:pPr>
            <w:r>
              <w:t xml:space="preserve">30.0 / 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680"/>
            <w:tcMar>
              <w:top w:type="dxa" w:w="60"/>
              <w:left w:type="dxa" w:w="90"/>
              <w:bottom w:type="dxa" w:w="60"/>
              <w:right w:type="dxa" w:w="90"/>
            </w:tcMar>
          </w:tcPr>
          <w:p>
            <w:pPr>
              <w:spacing w:after="0"/>
            </w:pPr>
            <w:r>
              <w:t xml:space="preserve">2 × 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680"/>
            <w:tcMar>
              <w:top w:type="dxa" w:w="60"/>
              <w:left w:type="dxa" w:w="90"/>
              <w:bottom w:type="dxa" w:w="60"/>
              <w:right w:type="dxa" w:w="90"/>
            </w:tcMar>
          </w:tcPr>
          <w:p>
            <w:pPr>
              <w:spacing w:after="0"/>
            </w:pPr>
            <w:r>
              <w:t xml:space="preserve">0.20, 0.50, 0.80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680"/>
            <w:tcMar>
              <w:top w:type="dxa" w:w="60"/>
              <w:left w:type="dxa" w:w="90"/>
              <w:bottom w:type="dxa" w:w="60"/>
              <w:right w:type="dxa" w:w="90"/>
            </w:tcMar>
          </w:tcPr>
          <w:p>
            <w:pPr>
              <w:spacing w:after="0"/>
            </w:pPr>
            <w:r>
              <w:t xml:space="preserve">3.0 / 0.6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680"/>
            <w:tcMar>
              <w:top w:type="dxa" w:w="60"/>
              <w:left w:type="dxa" w:w="90"/>
              <w:bottom w:type="dxa" w:w="60"/>
              <w:right w:type="dxa" w:w="90"/>
            </w:tcMar>
          </w:tcPr>
          <w:p>
            <w:pPr>
              <w:spacing w:after="0"/>
            </w:pPr>
            <w:r>
              <w:t xml:space="preserve">60.0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680"/>
            <w:tcMar>
              <w:top w:type="dxa" w:w="60"/>
              <w:left w:type="dxa" w:w="90"/>
              <w:bottom w:type="dxa" w:w="60"/>
              <w:right w:type="dxa" w:w="90"/>
            </w:tcMar>
          </w:tcPr>
          <w:p>
            <w:pPr>
              <w:spacing w:after="0"/>
            </w:pPr>
            <w:r>
              <w:t xml:space="preserve">0.50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680"/>
            <w:tcMar>
              <w:top w:type="dxa" w:w="60"/>
              <w:left w:type="dxa" w:w="90"/>
              <w:bottom w:type="dxa" w:w="60"/>
              <w:right w:type="dxa" w:w="90"/>
            </w:tcMar>
          </w:tcPr>
          <w:p>
            <w:pPr>
              <w:spacing w:after="0"/>
            </w:pPr>
            <w:r>
              <w:t xml:space="preserve">0.88</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680"/>
            <w:tcMar>
              <w:top w:type="dxa" w:w="60"/>
              <w:left w:type="dxa" w:w="90"/>
              <w:bottom w:type="dxa" w:w="60"/>
              <w:right w:type="dxa" w:w="90"/>
            </w:tcMar>
          </w:tcPr>
          <w:p>
            <w:pPr>
              <w:spacing w:after="0"/>
            </w:pPr>
            <w:r>
              <w:t xml:space="preserve">0.82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680"/>
            <w:tcMar>
              <w:top w:type="dxa" w:w="60"/>
              <w:left w:type="dxa" w:w="90"/>
              <w:bottom w:type="dxa" w:w="60"/>
              <w:right w:type="dxa" w:w="90"/>
            </w:tcMar>
          </w:tcPr>
          <w:p>
            <w:pPr>
              <w:spacing w:after="0"/>
            </w:pPr>
            <w:r>
              <w:t xml:space="preserve">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680"/>
            <w:tcMar>
              <w:top w:type="dxa" w:w="60"/>
              <w:left w:type="dxa" w:w="90"/>
              <w:bottom w:type="dxa" w:w="60"/>
              <w:right w:type="dxa" w:w="90"/>
            </w:tcMar>
          </w:tcPr>
          <w:p>
            <w:pPr>
              <w:spacing w:after="0"/>
            </w:pPr>
            <w:r>
              <w:t xml:space="preserve">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680"/>
            <w:tcMar>
              <w:top w:type="dxa" w:w="60"/>
              <w:left w:type="dxa" w:w="90"/>
              <w:bottom w:type="dxa" w:w="60"/>
              <w:right w:type="dxa" w:w="90"/>
            </w:tcMar>
          </w:tcPr>
          <w:p>
            <w:pPr>
              <w:spacing w:after="0"/>
            </w:pPr>
            <w:r>
              <w:t xml:space="preserve">2.5 s / 12 / 0.5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680"/>
            <w:tcMar>
              <w:top w:type="dxa" w:w="60"/>
              <w:left w:type="dxa" w:w="90"/>
              <w:bottom w:type="dxa" w:w="60"/>
              <w:right w:type="dxa" w:w="90"/>
            </w:tcMar>
          </w:tcPr>
          <w:p>
            <w:pPr>
              <w:spacing w:after="0"/>
            </w:pPr>
            <w:r>
              <w:t xml:space="preserve">0.20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680"/>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680"/>
            <w:tcMar>
              <w:top w:type="dxa" w:w="60"/>
              <w:left w:type="dxa" w:w="90"/>
              <w:bottom w:type="dxa" w:w="60"/>
              <w:right w:type="dxa" w:w="90"/>
            </w:tcMar>
          </w:tcPr>
          <w:p>
            <w:pPr>
              <w:spacing w:after="0"/>
            </w:pPr>
            <w:r>
              <w:t xml:space="preserve">8 / 5</w:t>
            </w:r>
          </w:p>
        </w:tc>
      </w:tr>
      <w:tr>
        <w:trPr>
          <w:tblHeader w:val="false"/>
        </w:trPr>
        <w:tc>
          <w:tcPr>
            <w:tcW w:type="dxa" w:w="4680"/>
            <w:tcMar>
              <w:top w:type="dxa" w:w="60"/>
              <w:left w:type="dxa" w:w="90"/>
              <w:bottom w:type="dxa" w:w="60"/>
              <w:right w:type="dxa" w:w="90"/>
            </w:tcMar>
          </w:tcPr>
          <w:p>
            <w:pPr>
              <w:spacing w:after="0"/>
            </w:pPr>
            <w:r>
              <w:t xml:space="preserve">Agreement tiers</w:t>
            </w:r>
          </w:p>
        </w:tc>
        <w:tc>
          <w:tcPr>
            <w:tcW w:type="dxa" w:w="4680"/>
            <w:tcMar>
              <w:top w:type="dxa" w:w="60"/>
              <w:left w:type="dxa" w:w="90"/>
              <w:bottom w:type="dxa" w:w="60"/>
              <w:right w:type="dxa" w:w="90"/>
            </w:tcMar>
          </w:tcPr>
          <w:p>
            <w:pPr>
              <w:spacing w:after="0"/>
            </w:pPr>
            <w:r>
              <w:t xml:space="preserve">high ≥ 0.75, moderate ≥ 0.50, low &lt; 0.50</w:t>
            </w:r>
          </w:p>
        </w:tc>
      </w:tr>
      <w:tr>
        <w:trPr>
          <w:tblHeader w:val="false"/>
        </w:trPr>
        <w:tc>
          <w:tcPr>
            <w:tcW w:type="dxa" w:w="4680"/>
            <w:tcMar>
              <w:top w:type="dxa" w:w="60"/>
              <w:left w:type="dxa" w:w="90"/>
              <w:bottom w:type="dxa" w:w="60"/>
              <w:right w:type="dxa" w:w="90"/>
            </w:tcMar>
          </w:tcPr>
          <w:p>
            <w:pPr>
              <w:spacing w:after="0"/>
            </w:pPr>
            <w:r>
              <w:t xml:space="preserve">Benchmark frames / decoding</w:t>
            </w:r>
          </w:p>
        </w:tc>
        <w:tc>
          <w:tcPr>
            <w:tcW w:type="dxa" w:w="4680"/>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4680"/>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680"/>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w:t>
      </w:r>
      <w:r>
        <w:rPr>
          <w:b/>
          <w:bCs/>
          <w:highlight w:val="yellow"/>
          <w:highlightCs w:val="yellow"/>
        </w:rPr>
        <w:t xml:space="preserve">`[TO FILL: full table — title, duration, clip count, split.]`</w:t>
      </w: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w:t>
      </w:r>
      <w:r>
        <w:rPr>
          <w:b/>
          <w:bCs/>
          <w:highlight w:val="yellow"/>
          <w:highlightCs w:val="yellow"/>
        </w:rPr>
        <w:t xml:space="preserve">`[TO FILL]`</w:t>
      </w:r>
      <w:r>
        <w:t xml:space="preserve">.</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Section 11 of </w:t>
      </w:r>
      <w:r>
        <w:rPr>
          <w:rFonts w:ascii="Consolas" w:cs="Consolas" w:eastAsia="Consolas" w:hAnsi="Consolas"/>
          <w:sz w:val="18"/>
          <w:szCs w:val="18"/>
        </w:rPr>
        <w:t xml:space="preserve">02_vlm_benchmark_run.ipynb</w:t>
      </w:r>
      <w:r>
        <w:t xml:space="preserve"> writes one PNG per model (</w:t>
      </w:r>
      <w:r>
        <w:rPr>
          <w:rFonts w:ascii="Consolas" w:cs="Consolas" w:eastAsia="Consolas" w:hAnsi="Consolas"/>
          <w:sz w:val="18"/>
          <w:szCs w:val="18"/>
        </w:rPr>
        <w:t xml:space="preserve">&lt;model&gt;_vs_agreement_tier.png</w:t>
      </w:r>
      <w:r>
        <w:t xml:space="preserve">). </w:t>
      </w:r>
      <w:r>
        <w:rPr>
          <w:b/>
          <w:bCs/>
          <w:highlight w:val="yellow"/>
          <w:highlightCs w:val="yellow"/>
        </w:rPr>
        <w:t xml:space="preserve">`[TO FILL: the sampled rows carry `agreement_tier = not_scored`. Check whether enough fields are tiered for these charts to say anything; if most rows are `not_scored`, report that as the finding and drop the charts.]`</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Two clips are reproduced here because each shows something the aggregate tables cannot.</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Source</w:t>
            </w:r>
          </w:p>
        </w:tc>
        <w:tc>
          <w:tcPr>
            <w:tcW w:type="dxa" w:w="4680"/>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680"/>
            <w:tcMar>
              <w:top w:type="dxa" w:w="60"/>
              <w:left w:type="dxa" w:w="90"/>
              <w:bottom w:type="dxa" w:w="60"/>
              <w:right w:type="dxa" w:w="90"/>
            </w:tcMar>
          </w:tcPr>
          <w:p>
            <w:pPr>
              <w:spacing w:after="0"/>
            </w:pPr>
            <w:r>
              <w:t xml:space="preserve">Reference (pipeline)</w:t>
            </w:r>
          </w:p>
        </w:tc>
        <w:tc>
          <w:tcPr>
            <w:tcW w:type="dxa" w:w="4680"/>
            <w:tcMar>
              <w:top w:type="dxa" w:w="60"/>
              <w:left w:type="dxa" w:w="90"/>
              <w:bottom w:type="dxa" w:w="60"/>
              <w:right w:type="dxa" w:w="90"/>
            </w:tcMar>
          </w:tcPr>
          <w:p>
            <w:pPr>
              <w:spacing w:after="0"/>
            </w:pPr>
            <w:r>
              <w:rPr>
                <w:i/>
                <w:iCs/>
              </w:rPr>
              <w:t xml:space="preserve">(empty)</w:t>
            </w:r>
          </w:p>
        </w:tc>
      </w:tr>
      <w:tr>
        <w:trPr>
          <w:tblHeader w:val="false"/>
        </w:trPr>
        <w:tc>
          <w:tcPr>
            <w:tcW w:type="dxa" w:w="4680"/>
            <w:tcMar>
              <w:top w:type="dxa" w:w="60"/>
              <w:left w:type="dxa" w:w="90"/>
              <w:bottom w:type="dxa" w:w="60"/>
              <w:right w:type="dxa" w:w="90"/>
            </w:tcMar>
          </w:tcPr>
          <w:p>
            <w:pPr>
              <w:spacing w:after="0"/>
            </w:pPr>
            <w:r>
              <w:t xml:space="preserve">InternVL3-2B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InternVL3-8B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680"/>
            <w:tcMar>
              <w:top w:type="dxa" w:w="60"/>
              <w:left w:type="dxa" w:w="90"/>
              <w:bottom w:type="dxa" w:w="60"/>
              <w:right w:type="dxa" w:w="90"/>
            </w:tcMar>
          </w:tcPr>
          <w:p>
            <w:pPr>
              <w:spacing w:after="0"/>
            </w:pPr>
            <w:r>
              <w:t xml:space="preserve">Qwen3-VL-2B-Instruct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Qwen3-VL-2B-Thinking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Qwen3-VL-8B-Instruct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highlight w:val="yellow"/>
          <w:highlightCs w:val="yellow"/>
        </w:rPr>
        <w:t xml:space="preserve">`[TO FILL: add 3–4 more clips, chosen to include at least one where the hosted annotator changed the published visual tags (paper §IV-F), since that is the most consequential unresolved result and the aggregate numbers cannot settle it.]`</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2026-09-17T18:31:15.840Z</dcterms:created>
  <dcterms:modified xsi:type="dcterms:W3CDTF">2026-09-17T18:31:15.851Z</dcterms:modified>
</cp:coreProperties>
</file>

<file path=docProps/custom.xml><?xml version="1.0" encoding="utf-8"?>
<Properties xmlns="http://schemas.openxmlformats.org/officeDocument/2006/custom-properties" xmlns:vt="http://schemas.openxmlformats.org/officeDocument/2006/docPropsVTypes"/>
</file>