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Leveraging Foundational Models for Video Archival Data</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[30]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broadcast archives.</w:t>
      </w:r>
      <w:r>
        <w:t xml:space="preserve"> The German Broadcasting Archive supplies the closest published analogue to this project. Mühling </w:t>
      </w:r>
      <w:r>
        <w:rPr>
          <w:i/>
          <w:iCs/>
        </w:rPr>
        <w:t xml:space="preserve">et al.</w:t>
      </w:r>
      <w:r>
        <w:t xml:space="preserve"> [2] built a distributed content-analysis and retrieval system over roughly 34,000 hours of GDR television, combining shot-boundary detection, concept classification, person recognition, text recognition and similarity search. The later VIVA system [3], on the same collection, extended coverage to 91 archive-specific concepts and 98 personalities and added a semi-automatic acquisition workflow — a web crawler, image similarity search, and review and user-feedback components — explicitly to cut the manual cost of assembling training data. Pessanha and Akdag Salah [4] survey the parallel development in oral-history archives, where speech recognition and language processing have made large interview collections tractable, and note what is lost when aural material is reduced to text.</w:t>
      </w:r>
    </w:p>
    <w:p>
      <w:pPr>
        <w:spacing w:after="140" w:line="276"/>
        <w:jc w:val="both"/>
      </w:pPr>
      <w:r>
        <w:t xml:space="preserve">Read against this project's claim, the pattern is consistent but the wording must be careful. These systems report </w:t>
      </w:r>
      <w:r>
        <w:rPr>
          <w:b/>
          <w:bCs/>
        </w:rPr>
        <w:t xml:space="preserve">system-level</w:t>
      </w:r>
      <w:r>
        <w:t xml:space="preserve"> effectiveness — retrieval accuracy over an evaluated concept set — rather than a per-record reliability signal. VIVA does confront unreliability, and its answer is a human in the loop: review and feedback components that correct the model's output. That is a different and entirely legitimate response to the same problem, and it is the right comparison for the present work, which has no reviewer available and therefore publishes corroboration instead.</w:t>
      </w:r>
    </w:p>
    <w:p>
      <w:pPr>
        <w:spacing w:after="140" w:line="276"/>
        <w:jc w:val="both"/>
      </w:pPr>
      <w:r>
        <w:rPr>
          <w:b/>
          <w:bCs/>
          <w:highlight w:val="yellow"/>
          <w:highlightCs w:val="yellow"/>
        </w:rPr>
        <w:t xml:space="preserve">`[TO FILL: this characterisation rests on the abstracts and project descriptions, since the publisher sites were not reachable during drafting. Read [2], [3] and [4] in full via the QUB library and confirm that none attaches a per-field confidence or reliability estimate to its published records. If one does, cite it as the exception and position against it — that would strengthen §1.8 rather than weaken it.]`</w:t>
      </w:r>
    </w:p>
    <w:p>
      <w:pPr>
        <w:spacing w:after="140" w:line="276"/>
        <w:jc w:val="both"/>
      </w:pPr>
      <w:r>
        <w:rPr>
          <w:b/>
          <w:bCs/>
        </w:rPr>
        <w:t xml:space="preserve">Metadata standards.</w:t>
      </w:r>
      <w:r>
        <w:t xml:space="preserve"> Descriptive metadata for broadcast archives is normally expressed in a controlled schema rather than free text: PBCore [37] in US public broadcasting, EBUCore [38] in European broadcasting, both layered over Dublin Core [40]. These specify </w:t>
      </w:r>
      <w:r>
        <w:rPr>
          <w:i/>
          <w:iCs/>
        </w:rPr>
        <w:t xml:space="preserve">which</w:t>
      </w:r>
      <w:r>
        <w:t xml:space="preserve"> fields a record carries and how they are exchanged, but not how a field generated by a model should be qualified when its support is weak. The five fields published here map onto PBCore's descriptive elements; the evidence status and agreement score attached to each are additions that no current standard provides a slot for, which is itself a finding worth recording.</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[5] removed the requirement for task-specific training data in visual labelling, turning annotation into a matter of writing a label vocabulary. Large-scale weakly supervised speech recognition [6] did the same for transcription. BLIP [7] and ViLT [8] brought open-ended visual question answering, and end-to-end set-prediction detection [9]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[10], [28] formalised combining noisy, correlated labelling sources of unknown accuracy into probabilistic labels, learning source accuracies from agreement patterns without ground truth. The idea predates it: Dawid and Skene [27] estimated per-observer error rates by expectation-maximisation with no reference labels at all, which is the ancestor of every later consensus scheme, this one included.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[11].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Why agreement is not published as a probability.</w:t>
      </w:r>
      <w:r>
        <w:t xml:space="preserve"> Modern neural networks are systematically overconfident, and their softmax outputs do not match empirical correctness frequencies without explicit recalibration [29]. Two consequences follow for this design. CLIP's per-label scores are ranking scores, not probabilities, so they cannot be averaged into anything resembling a confidence. And an agreement score built from such outputs inherits the problem: calling it a probability of correctness would require a validation set this project does not have.</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[12], InternVL3 [13], descended from the visual instruction-tuning line opened by LLaVA [34] and the frozen-encoder bridging of BLIP-2 [33]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[14]: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5"/>
        <w:gridCol w:w="1276"/>
        <w:gridCol w:w="1499"/>
        <w:gridCol w:w="1804"/>
        <w:gridCol w:w="1364"/>
        <w:gridCol w:w="1892"/>
      </w:tblGrid>
      <w:tr>
        <w:trPr>
          <w:tblHeader/>
        </w:trPr>
        <w:tc>
          <w:tcPr>
            <w:tcW w:type="dxa" w:w="1525"/>
            <w:shd w:fill="EFEFEF" w:color="auto" w:val="clear"/>
            <w:tcMar>
              <w:top w:type="dxa" w:w="60"/>
              <w:left w:type="dxa" w:w="90"/>
              <w:bottom w:type="dxa" w:w="60"/>
              <w:right w:type="dxa" w:w="90"/>
            </w:tcMar>
          </w:tcPr>
          <w:p>
            <w:pPr>
              <w:spacing w:after="0"/>
            </w:pPr>
            <w:r>
              <w:rPr>
                <w:b/>
                <w:bCs/>
              </w:rPr>
              <w:t xml:space="preserve">Work</w:t>
            </w:r>
          </w:p>
        </w:tc>
        <w:tc>
          <w:tcPr>
            <w:tcW w:type="dxa" w:w="1276"/>
            <w:shd w:fill="EFEFEF" w:color="auto" w:val="clear"/>
            <w:tcMar>
              <w:top w:type="dxa" w:w="60"/>
              <w:left w:type="dxa" w:w="90"/>
              <w:bottom w:type="dxa" w:w="60"/>
              <w:right w:type="dxa" w:w="90"/>
            </w:tcMar>
          </w:tcPr>
          <w:p>
            <w:pPr>
              <w:spacing w:after="0"/>
            </w:pPr>
            <w:r>
              <w:rPr>
                <w:b/>
                <w:bCs/>
              </w:rPr>
              <w:t xml:space="preserve">Domain</w:t>
            </w:r>
          </w:p>
        </w:tc>
        <w:tc>
          <w:tcPr>
            <w:tcW w:type="dxa" w:w="1499"/>
            <w:shd w:fill="EFEFEF" w:color="auto" w:val="clear"/>
            <w:tcMar>
              <w:top w:type="dxa" w:w="60"/>
              <w:left w:type="dxa" w:w="90"/>
              <w:bottom w:type="dxa" w:w="60"/>
              <w:right w:type="dxa" w:w="90"/>
            </w:tcMar>
          </w:tcPr>
          <w:p>
            <w:pPr>
              <w:spacing w:after="0"/>
            </w:pPr>
            <w:r>
              <w:rPr>
                <w:b/>
                <w:bCs/>
              </w:rPr>
              <w:t xml:space="preserve">Reference standard</w:t>
            </w:r>
          </w:p>
        </w:tc>
        <w:tc>
          <w:tcPr>
            <w:tcW w:type="dxa" w:w="1804"/>
            <w:shd w:fill="EFEFEF" w:color="auto" w:val="clear"/>
            <w:tcMar>
              <w:top w:type="dxa" w:w="60"/>
              <w:left w:type="dxa" w:w="90"/>
              <w:bottom w:type="dxa" w:w="60"/>
              <w:right w:type="dxa" w:w="90"/>
            </w:tcMar>
          </w:tcPr>
          <w:p>
            <w:pPr>
              <w:spacing w:after="0"/>
            </w:pPr>
            <w:r>
              <w:rPr>
                <w:b/>
                <w:bCs/>
              </w:rPr>
              <w:t xml:space="preserve">Reliability signal published</w:t>
            </w:r>
          </w:p>
        </w:tc>
        <w:tc>
          <w:tcPr>
            <w:tcW w:type="dxa" w:w="1364"/>
            <w:shd w:fill="EFEFEF" w:color="auto" w:val="clear"/>
            <w:tcMar>
              <w:top w:type="dxa" w:w="60"/>
              <w:left w:type="dxa" w:w="90"/>
              <w:bottom w:type="dxa" w:w="60"/>
              <w:right w:type="dxa" w:w="90"/>
            </w:tcMar>
          </w:tcPr>
          <w:p>
            <w:pPr>
              <w:spacing w:after="0"/>
            </w:pPr>
            <w:r>
              <w:rPr>
                <w:b/>
                <w:bCs/>
              </w:rPr>
              <w:t xml:space="preserve">Modalities</w:t>
            </w:r>
          </w:p>
        </w:tc>
        <w:tc>
          <w:tcPr>
            <w:tcW w:type="dxa" w:w="1892"/>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25"/>
            <w:tcMar>
              <w:top w:type="dxa" w:w="60"/>
              <w:left w:type="dxa" w:w="90"/>
              <w:bottom w:type="dxa" w:w="60"/>
              <w:right w:type="dxa" w:w="90"/>
            </w:tcMar>
          </w:tcPr>
          <w:p>
            <w:pPr>
              <w:spacing w:after="0"/>
            </w:pPr>
            <w:r>
              <w:t xml:space="preserve">TRECVid [1]</w:t>
            </w:r>
          </w:p>
        </w:tc>
        <w:tc>
          <w:tcPr>
            <w:tcW w:type="dxa" w:w="1276"/>
            <w:tcMar>
              <w:top w:type="dxa" w:w="60"/>
              <w:left w:type="dxa" w:w="90"/>
              <w:bottom w:type="dxa" w:w="60"/>
              <w:right w:type="dxa" w:w="90"/>
            </w:tcMar>
          </w:tcPr>
          <w:p>
            <w:pPr>
              <w:spacing w:after="0"/>
            </w:pPr>
            <w:r>
              <w:t xml:space="preserve">Broadcast video</w:t>
            </w:r>
          </w:p>
        </w:tc>
        <w:tc>
          <w:tcPr>
            <w:tcW w:type="dxa" w:w="1499"/>
            <w:tcMar>
              <w:top w:type="dxa" w:w="60"/>
              <w:left w:type="dxa" w:w="90"/>
              <w:bottom w:type="dxa" w:w="60"/>
              <w:right w:type="dxa" w:w="90"/>
            </w:tcMar>
          </w:tcPr>
          <w:p>
            <w:pPr>
              <w:spacing w:after="0"/>
            </w:pPr>
            <w:r>
              <w:t xml:space="preserve">Human annotation</w:t>
            </w:r>
          </w:p>
        </w:tc>
        <w:tc>
          <w:tcPr>
            <w:tcW w:type="dxa" w:w="1804"/>
            <w:tcMar>
              <w:top w:type="dxa" w:w="60"/>
              <w:left w:type="dxa" w:w="90"/>
              <w:bottom w:type="dxa" w:w="60"/>
              <w:right w:type="dxa" w:w="90"/>
            </w:tcMar>
          </w:tcPr>
          <w:p>
            <w:pPr>
              <w:spacing w:after="0"/>
            </w:pPr>
            <w:r>
              <w:t xml:space="preserve">System scores only</w:t>
            </w:r>
          </w:p>
        </w:tc>
        <w:tc>
          <w:tcPr>
            <w:tcW w:type="dxa" w:w="1364"/>
            <w:tcMar>
              <w:top w:type="dxa" w:w="60"/>
              <w:left w:type="dxa" w:w="90"/>
              <w:bottom w:type="dxa" w:w="60"/>
              <w:right w:type="dxa" w:w="90"/>
            </w:tcMar>
          </w:tcPr>
          <w:p>
            <w:pPr>
              <w:spacing w:after="0"/>
            </w:pPr>
            <w:r>
              <w:t xml:space="preserve">Visual, some ASR</w:t>
            </w:r>
          </w:p>
        </w:tc>
        <w:tc>
          <w:tcPr>
            <w:tcW w:type="dxa" w:w="1892"/>
            <w:tcMar>
              <w:top w:type="dxa" w:w="60"/>
              <w:left w:type="dxa" w:w="90"/>
              <w:bottom w:type="dxa" w:w="60"/>
              <w:right w:type="dxa" w:w="90"/>
            </w:tcMar>
          </w:tcPr>
          <w:p>
            <w:pPr>
              <w:spacing w:after="0"/>
            </w:pPr>
            <w:r>
              <w:t xml:space="preserve">Assumes an annotation budget exists</w:t>
            </w:r>
          </w:p>
        </w:tc>
      </w:tr>
      <w:tr>
        <w:trPr>
          <w:tblHeader w:val="false"/>
        </w:trPr>
        <w:tc>
          <w:tcPr>
            <w:tcW w:type="dxa" w:w="1525"/>
            <w:tcMar>
              <w:top w:type="dxa" w:w="60"/>
              <w:left w:type="dxa" w:w="90"/>
              <w:bottom w:type="dxa" w:w="60"/>
              <w:right w:type="dxa" w:w="90"/>
            </w:tcMar>
          </w:tcPr>
          <w:p>
            <w:pPr>
              <w:spacing w:after="0"/>
            </w:pPr>
            <w:r>
              <w:t xml:space="preserve">CLIP [5]</w:t>
            </w:r>
          </w:p>
        </w:tc>
        <w:tc>
          <w:tcPr>
            <w:tcW w:type="dxa" w:w="1276"/>
            <w:tcMar>
              <w:top w:type="dxa" w:w="60"/>
              <w:left w:type="dxa" w:w="90"/>
              <w:bottom w:type="dxa" w:w="60"/>
              <w:right w:type="dxa" w:w="90"/>
            </w:tcMar>
          </w:tcPr>
          <w:p>
            <w:pPr>
              <w:spacing w:after="0"/>
            </w:pPr>
            <w:r>
              <w:t xml:space="preserve">General images</w:t>
            </w:r>
          </w:p>
        </w:tc>
        <w:tc>
          <w:tcPr>
            <w:tcW w:type="dxa" w:w="1499"/>
            <w:tcMar>
              <w:top w:type="dxa" w:w="60"/>
              <w:left w:type="dxa" w:w="90"/>
              <w:bottom w:type="dxa" w:w="60"/>
              <w:right w:type="dxa" w:w="90"/>
            </w:tcMar>
          </w:tcPr>
          <w:p>
            <w:pPr>
              <w:spacing w:after="0"/>
            </w:pPr>
            <w:r>
              <w:t xml:space="preserve">Zero-shot, benchmark datasets</w:t>
            </w:r>
          </w:p>
        </w:tc>
        <w:tc>
          <w:tcPr>
            <w:tcW w:type="dxa" w:w="1804"/>
            <w:tcMar>
              <w:top w:type="dxa" w:w="60"/>
              <w:left w:type="dxa" w:w="90"/>
              <w:bottom w:type="dxa" w:w="60"/>
              <w:right w:type="dxa" w:w="90"/>
            </w:tcMar>
          </w:tcPr>
          <w:p>
            <w:pPr>
              <w:spacing w:after="0"/>
            </w:pPr>
            <w:r>
              <w:t xml:space="preserve">Softmax ranking scores</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Scores are not calibrated probabilities</w:t>
            </w:r>
          </w:p>
        </w:tc>
      </w:tr>
      <w:tr>
        <w:trPr>
          <w:tblHeader w:val="false"/>
        </w:trPr>
        <w:tc>
          <w:tcPr>
            <w:tcW w:type="dxa" w:w="1525"/>
            <w:tcMar>
              <w:top w:type="dxa" w:w="60"/>
              <w:left w:type="dxa" w:w="90"/>
              <w:bottom w:type="dxa" w:w="60"/>
              <w:right w:type="dxa" w:w="90"/>
            </w:tcMar>
          </w:tcPr>
          <w:p>
            <w:pPr>
              <w:spacing w:after="0"/>
            </w:pPr>
            <w:r>
              <w:t xml:space="preserve">Whisper [6]</w:t>
            </w:r>
          </w:p>
        </w:tc>
        <w:tc>
          <w:tcPr>
            <w:tcW w:type="dxa" w:w="1276"/>
            <w:tcMar>
              <w:top w:type="dxa" w:w="60"/>
              <w:left w:type="dxa" w:w="90"/>
              <w:bottom w:type="dxa" w:w="60"/>
              <w:right w:type="dxa" w:w="90"/>
            </w:tcMar>
          </w:tcPr>
          <w:p>
            <w:pPr>
              <w:spacing w:after="0"/>
            </w:pPr>
            <w:r>
              <w:t xml:space="preserve">Speech</w:t>
            </w:r>
          </w:p>
        </w:tc>
        <w:tc>
          <w:tcPr>
            <w:tcW w:type="dxa" w:w="1499"/>
            <w:tcMar>
              <w:top w:type="dxa" w:w="60"/>
              <w:left w:type="dxa" w:w="90"/>
              <w:bottom w:type="dxa" w:w="60"/>
              <w:right w:type="dxa" w:w="90"/>
            </w:tcMar>
          </w:tcPr>
          <w:p>
            <w:pPr>
              <w:spacing w:after="0"/>
            </w:pPr>
            <w:r>
              <w:t xml:space="preserve">Human transcripts</w:t>
            </w:r>
          </w:p>
        </w:tc>
        <w:tc>
          <w:tcPr>
            <w:tcW w:type="dxa" w:w="1804"/>
            <w:tcMar>
              <w:top w:type="dxa" w:w="60"/>
              <w:left w:type="dxa" w:w="90"/>
              <w:bottom w:type="dxa" w:w="60"/>
              <w:right w:type="dxa" w:w="90"/>
            </w:tcMar>
          </w:tcPr>
          <w:p>
            <w:pPr>
              <w:spacing w:after="0"/>
            </w:pPr>
            <w:r>
              <w:t xml:space="preserve">None per-utterance</w:t>
            </w:r>
          </w:p>
        </w:tc>
        <w:tc>
          <w:tcPr>
            <w:tcW w:type="dxa" w:w="1364"/>
            <w:tcMar>
              <w:top w:type="dxa" w:w="60"/>
              <w:left w:type="dxa" w:w="90"/>
              <w:bottom w:type="dxa" w:w="60"/>
              <w:right w:type="dxa" w:w="90"/>
            </w:tcMar>
          </w:tcPr>
          <w:p>
            <w:pPr>
              <w:spacing w:after="0"/>
            </w:pPr>
            <w:r>
              <w:t xml:space="preserve">Audio</w:t>
            </w:r>
          </w:p>
        </w:tc>
        <w:tc>
          <w:tcPr>
            <w:tcW w:type="dxa" w:w="1892"/>
            <w:tcMar>
              <w:top w:type="dxa" w:w="60"/>
              <w:left w:type="dxa" w:w="90"/>
              <w:bottom w:type="dxa" w:w="60"/>
              <w:right w:type="dxa" w:w="90"/>
            </w:tcMar>
          </w:tcPr>
          <w:p>
            <w:pPr>
              <w:spacing w:after="0"/>
            </w:pPr>
            <w:r>
              <w:t xml:space="preserve">No per-segment reliability estimate</w:t>
            </w:r>
          </w:p>
        </w:tc>
      </w:tr>
      <w:tr>
        <w:trPr>
          <w:tblHeader w:val="false"/>
        </w:trPr>
        <w:tc>
          <w:tcPr>
            <w:tcW w:type="dxa" w:w="1525"/>
            <w:tcMar>
              <w:top w:type="dxa" w:w="60"/>
              <w:left w:type="dxa" w:w="90"/>
              <w:bottom w:type="dxa" w:w="60"/>
              <w:right w:type="dxa" w:w="90"/>
            </w:tcMar>
          </w:tcPr>
          <w:p>
            <w:pPr>
              <w:spacing w:after="0"/>
            </w:pPr>
            <w:r>
              <w:t xml:space="preserve">Snorkel [10]</w:t>
            </w:r>
          </w:p>
        </w:tc>
        <w:tc>
          <w:tcPr>
            <w:tcW w:type="dxa" w:w="1276"/>
            <w:tcMar>
              <w:top w:type="dxa" w:w="60"/>
              <w:left w:type="dxa" w:w="90"/>
              <w:bottom w:type="dxa" w:w="60"/>
              <w:right w:type="dxa" w:w="90"/>
            </w:tcMar>
          </w:tcPr>
          <w:p>
            <w:pPr>
              <w:spacing w:after="0"/>
            </w:pPr>
            <w:r>
              <w:t xml:space="preserve">Text/structured</w:t>
            </w:r>
          </w:p>
        </w:tc>
        <w:tc>
          <w:tcPr>
            <w:tcW w:type="dxa" w:w="1499"/>
            <w:tcMar>
              <w:top w:type="dxa" w:w="60"/>
              <w:left w:type="dxa" w:w="90"/>
              <w:bottom w:type="dxa" w:w="60"/>
              <w:right w:type="dxa" w:w="90"/>
            </w:tcMar>
          </w:tcPr>
          <w:p>
            <w:pPr>
              <w:spacing w:after="0"/>
            </w:pPr>
            <w:r>
              <w:t xml:space="preserve">None required</w:t>
            </w:r>
          </w:p>
        </w:tc>
        <w:tc>
          <w:tcPr>
            <w:tcW w:type="dxa" w:w="1804"/>
            <w:tcMar>
              <w:top w:type="dxa" w:w="60"/>
              <w:left w:type="dxa" w:w="90"/>
              <w:bottom w:type="dxa" w:w="60"/>
              <w:right w:type="dxa" w:w="90"/>
            </w:tcMar>
          </w:tcPr>
          <w:p>
            <w:pPr>
              <w:spacing w:after="0"/>
            </w:pPr>
            <w:r>
              <w:t xml:space="preserve">Learned source accuracies</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Assumes conditional source independence</w:t>
            </w:r>
          </w:p>
        </w:tc>
      </w:tr>
      <w:tr>
        <w:trPr>
          <w:tblHeader w:val="false"/>
        </w:trPr>
        <w:tc>
          <w:tcPr>
            <w:tcW w:type="dxa" w:w="1525"/>
            <w:tcMar>
              <w:top w:type="dxa" w:w="60"/>
              <w:left w:type="dxa" w:w="90"/>
              <w:bottom w:type="dxa" w:w="60"/>
              <w:right w:type="dxa" w:w="90"/>
            </w:tcMar>
          </w:tcPr>
          <w:p>
            <w:pPr>
              <w:spacing w:after="0"/>
            </w:pPr>
            <w:r>
              <w:t xml:space="preserve">Artstein &amp; Poesio [11]</w:t>
            </w:r>
          </w:p>
        </w:tc>
        <w:tc>
          <w:tcPr>
            <w:tcW w:type="dxa" w:w="1276"/>
            <w:tcMar>
              <w:top w:type="dxa" w:w="60"/>
              <w:left w:type="dxa" w:w="90"/>
              <w:bottom w:type="dxa" w:w="60"/>
              <w:right w:type="dxa" w:w="90"/>
            </w:tcMar>
          </w:tcPr>
          <w:p>
            <w:pPr>
              <w:spacing w:after="0"/>
            </w:pPr>
            <w:r>
              <w:t xml:space="preserve">Annotated corpora</w:t>
            </w:r>
          </w:p>
        </w:tc>
        <w:tc>
          <w:tcPr>
            <w:tcW w:type="dxa" w:w="1499"/>
            <w:tcMar>
              <w:top w:type="dxa" w:w="60"/>
              <w:left w:type="dxa" w:w="90"/>
              <w:bottom w:type="dxa" w:w="60"/>
              <w:right w:type="dxa" w:w="90"/>
            </w:tcMar>
          </w:tcPr>
          <w:p>
            <w:pPr>
              <w:spacing w:after="0"/>
            </w:pPr>
            <w:r>
              <w:t xml:space="preserve">Multiple human coders</w:t>
            </w:r>
          </w:p>
        </w:tc>
        <w:tc>
          <w:tcPr>
            <w:tcW w:type="dxa" w:w="1804"/>
            <w:tcMar>
              <w:top w:type="dxa" w:w="60"/>
              <w:left w:type="dxa" w:w="90"/>
              <w:bottom w:type="dxa" w:w="60"/>
              <w:right w:type="dxa" w:w="90"/>
            </w:tcMar>
          </w:tcPr>
          <w:p>
            <w:pPr>
              <w:spacing w:after="0"/>
            </w:pPr>
            <w:r>
              <w:t xml:space="preserve">Chance-corrected agreement</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Human coders, not model families</w:t>
            </w:r>
          </w:p>
        </w:tc>
      </w:tr>
      <w:tr>
        <w:trPr>
          <w:tblHeader w:val="false"/>
        </w:trPr>
        <w:tc>
          <w:tcPr>
            <w:tcW w:type="dxa" w:w="1525"/>
            <w:tcMar>
              <w:top w:type="dxa" w:w="60"/>
              <w:left w:type="dxa" w:w="90"/>
              <w:bottom w:type="dxa" w:w="60"/>
              <w:right w:type="dxa" w:w="90"/>
            </w:tcMar>
          </w:tcPr>
          <w:p>
            <w:pPr>
              <w:spacing w:after="0"/>
            </w:pPr>
            <w:r>
              <w:t xml:space="preserve">Qwen3-VL [12] / InternVL3 [13]</w:t>
            </w:r>
          </w:p>
        </w:tc>
        <w:tc>
          <w:tcPr>
            <w:tcW w:type="dxa" w:w="1276"/>
            <w:tcMar>
              <w:top w:type="dxa" w:w="60"/>
              <w:left w:type="dxa" w:w="90"/>
              <w:bottom w:type="dxa" w:w="60"/>
              <w:right w:type="dxa" w:w="90"/>
            </w:tcMar>
          </w:tcPr>
          <w:p>
            <w:pPr>
              <w:spacing w:after="0"/>
            </w:pPr>
            <w:r>
              <w:t xml:space="preserve">General multimodal</w:t>
            </w:r>
          </w:p>
        </w:tc>
        <w:tc>
          <w:tcPr>
            <w:tcW w:type="dxa" w:w="1499"/>
            <w:tcMar>
              <w:top w:type="dxa" w:w="60"/>
              <w:left w:type="dxa" w:w="90"/>
              <w:bottom w:type="dxa" w:w="60"/>
              <w:right w:type="dxa" w:w="90"/>
            </w:tcMar>
          </w:tcPr>
          <w:p>
            <w:pPr>
              <w:spacing w:after="0"/>
            </w:pPr>
            <w:r>
              <w:t xml:space="preserve">Benchmark suites</w:t>
            </w:r>
          </w:p>
        </w:tc>
        <w:tc>
          <w:tcPr>
            <w:tcW w:type="dxa" w:w="1804"/>
            <w:tcMar>
              <w:top w:type="dxa" w:w="60"/>
              <w:left w:type="dxa" w:w="90"/>
              <w:bottom w:type="dxa" w:w="60"/>
              <w:right w:type="dxa" w:w="90"/>
            </w:tcMar>
          </w:tcPr>
          <w:p>
            <w:pPr>
              <w:spacing w:after="0"/>
            </w:pPr>
            <w:r>
              <w:t xml:space="preserve">None</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25"/>
            <w:tcMar>
              <w:top w:type="dxa" w:w="60"/>
              <w:left w:type="dxa" w:w="90"/>
              <w:bottom w:type="dxa" w:w="60"/>
              <w:right w:type="dxa" w:w="90"/>
            </w:tcMar>
          </w:tcPr>
          <w:p>
            <w:pPr>
              <w:spacing w:after="0"/>
            </w:pPr>
            <w:r>
              <w:rPr>
                <w:b/>
                <w:bCs/>
              </w:rPr>
              <w:t xml:space="preserve">This work</w:t>
            </w:r>
          </w:p>
        </w:tc>
        <w:tc>
          <w:tcPr>
            <w:tcW w:type="dxa" w:w="1276"/>
            <w:tcMar>
              <w:top w:type="dxa" w:w="60"/>
              <w:left w:type="dxa" w:w="90"/>
              <w:bottom w:type="dxa" w:w="60"/>
              <w:right w:type="dxa" w:w="90"/>
            </w:tcMar>
          </w:tcPr>
          <w:p>
            <w:pPr>
              <w:spacing w:after="0"/>
            </w:pPr>
            <w:r>
              <w:t xml:space="preserve">Archival community TV</w:t>
            </w:r>
          </w:p>
        </w:tc>
        <w:tc>
          <w:tcPr>
            <w:tcW w:type="dxa" w:w="1499"/>
            <w:tcMar>
              <w:top w:type="dxa" w:w="60"/>
              <w:left w:type="dxa" w:w="90"/>
              <w:bottom w:type="dxa" w:w="60"/>
              <w:right w:type="dxa" w:w="90"/>
            </w:tcMar>
          </w:tcPr>
          <w:p>
            <w:pPr>
              <w:spacing w:after="0"/>
            </w:pPr>
            <w:r>
              <w:rPr>
                <w:b/>
                <w:bCs/>
              </w:rPr>
              <w:t xml:space="preserve">None available</w:t>
            </w:r>
          </w:p>
        </w:tc>
        <w:tc>
          <w:tcPr>
            <w:tcW w:type="dxa" w:w="1804"/>
            <w:tcMar>
              <w:top w:type="dxa" w:w="60"/>
              <w:left w:type="dxa" w:w="90"/>
              <w:bottom w:type="dxa" w:w="60"/>
              <w:right w:type="dxa" w:w="90"/>
            </w:tcMar>
          </w:tcPr>
          <w:p>
            <w:pPr>
              <w:spacing w:after="0"/>
            </w:pPr>
            <w:r>
              <w:rPr>
                <w:b/>
                <w:bCs/>
              </w:rPr>
              <w:t xml:space="preserve">Per-field status + agreement + support set</w:t>
            </w:r>
          </w:p>
        </w:tc>
        <w:tc>
          <w:tcPr>
            <w:tcW w:type="dxa" w:w="1364"/>
            <w:tcMar>
              <w:top w:type="dxa" w:w="60"/>
              <w:left w:type="dxa" w:w="90"/>
              <w:bottom w:type="dxa" w:w="60"/>
              <w:right w:type="dxa" w:w="90"/>
            </w:tcMar>
          </w:tcPr>
          <w:p>
            <w:pPr>
              <w:spacing w:after="0"/>
            </w:pPr>
            <w:r>
              <w:t xml:space="preserve">Audio, visual, OCR, text</w:t>
            </w:r>
          </w:p>
        </w:tc>
        <w:tc>
          <w:tcPr>
            <w:tcW w:type="dxa" w:w="1892"/>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0"/>
        <w:gridCol w:w="6690"/>
      </w:tblGrid>
      <w:tr>
        <w:trPr>
          <w:tblHeader/>
        </w:trPr>
        <w:tc>
          <w:tcPr>
            <w:tcW w:type="dxa" w:w="2670"/>
            <w:shd w:fill="EFEFEF" w:color="auto" w:val="clear"/>
            <w:tcMar>
              <w:top w:type="dxa" w:w="60"/>
              <w:left w:type="dxa" w:w="90"/>
              <w:bottom w:type="dxa" w:w="60"/>
              <w:right w:type="dxa" w:w="90"/>
            </w:tcMar>
          </w:tcPr>
          <w:p>
            <w:pPr>
              <w:spacing w:after="0"/>
            </w:pPr>
            <w:r>
              <w:rPr>
                <w:b/>
                <w:bCs/>
              </w:rPr>
              <w:t xml:space="preserve">Notebook</w:t>
            </w:r>
          </w:p>
        </w:tc>
        <w:tc>
          <w:tcPr>
            <w:tcW w:type="dxa" w:w="669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669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669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669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rPr>
        <w:t xml:space="preserve">Boundary continuity — verified.</w:t>
      </w:r>
      <w:r>
        <w:t xml:space="preserve"> Across all 579 adjacent clip pairs in the manifest, the maximum |</w:t>
      </w:r>
      <w:r>
        <w:rPr>
          <w:rFonts w:ascii="Consolas" w:cs="Consolas" w:eastAsia="Consolas" w:hAnsi="Consolas"/>
          <w:sz w:val="18"/>
          <w:szCs w:val="18"/>
        </w:rPr>
        <w:t xml:space="preserve">start_sec</w:t>
      </w:r>
      <w:r>
        <w:t xml:space="preserve">(n) − </w:t>
      </w:r>
      <w:r>
        <w:rPr>
          <w:rFonts w:ascii="Consolas" w:cs="Consolas" w:eastAsia="Consolas" w:hAnsi="Consolas"/>
          <w:sz w:val="18"/>
          <w:szCs w:val="18"/>
        </w:rPr>
        <w:t xml:space="preserve">end_sec</w:t>
      </w:r>
      <w:r>
        <w:t xml:space="preserve">(n−1)| is </w:t>
      </w:r>
      <w:r>
        <w:rPr>
          <w:b/>
          <w:bCs/>
        </w:rPr>
        <w:t xml:space="preserve">0.0000 s</w:t>
      </w:r>
      <w:r>
        <w:t xml:space="preserve">, mean 0.0000 s. Segment boundaries are exact; no timestamp drift or reset is present.</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rPr>
        <w:t xml:space="preserve">Split disjointness — verified.</w:t>
      </w:r>
      <w:r>
        <w:t xml:space="preserve"> 9 calibration source IDs, 38 evaluation, intersection of size </w:t>
      </w:r>
      <w:r>
        <w:rPr>
          <w:b/>
          <w:bCs/>
        </w:rPr>
        <w:t xml:space="preserve">0</w:t>
      </w:r>
      <w:r>
        <w:t xml:space="preserve">. No programme contributes clips to both sides.</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796"/>
        <w:gridCol w:w="2960"/>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796"/>
            <w:shd w:fill="EFEFEF" w:color="auto" w:val="clear"/>
            <w:tcMar>
              <w:top w:type="dxa" w:w="60"/>
              <w:left w:type="dxa" w:w="90"/>
              <w:bottom w:type="dxa" w:w="60"/>
              <w:right w:type="dxa" w:w="90"/>
            </w:tcMar>
          </w:tcPr>
          <w:p>
            <w:pPr>
              <w:spacing w:after="0"/>
            </w:pPr>
            <w:r>
              <w:rPr>
                <w:b/>
                <w:bCs/>
              </w:rPr>
              <w:t xml:space="preserve">Shared</w:t>
            </w:r>
          </w:p>
        </w:tc>
        <w:tc>
          <w:tcPr>
            <w:tcW w:type="dxa" w:w="296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2604"/>
            <w:tcMar>
              <w:top w:type="dxa" w:w="60"/>
              <w:left w:type="dxa" w:w="90"/>
              <w:bottom w:type="dxa" w:w="60"/>
              <w:right w:type="dxa" w:w="90"/>
            </w:tcMar>
          </w:tcPr>
          <w:p>
            <w:pPr>
              <w:spacing w:after="0"/>
            </w:pPr>
            <w:r>
              <w:t xml:space="preserve">CLIP ViT-B/32 / ViT-L/14</w:t>
            </w:r>
          </w:p>
        </w:tc>
        <w:tc>
          <w:tcPr>
            <w:tcW w:type="dxa" w:w="3796"/>
            <w:tcMar>
              <w:top w:type="dxa" w:w="60"/>
              <w:left w:type="dxa" w:w="90"/>
              <w:bottom w:type="dxa" w:w="60"/>
              <w:right w:type="dxa" w:w="90"/>
            </w:tcMar>
          </w:tcPr>
          <w:p>
            <w:pPr>
              <w:spacing w:after="0"/>
            </w:pPr>
            <w:r>
              <w:t xml:space="preserve">Architecture, training objective, data distribution</w:t>
            </w:r>
          </w:p>
        </w:tc>
        <w:tc>
          <w:tcPr>
            <w:tcW w:type="dxa" w:w="2960"/>
            <w:tcMar>
              <w:top w:type="dxa" w:w="60"/>
              <w:left w:type="dxa" w:w="90"/>
              <w:bottom w:type="dxa" w:w="60"/>
              <w:right w:type="dxa" w:w="90"/>
            </w:tcMar>
          </w:tcPr>
          <w:p>
            <w:pPr>
              <w:spacing w:after="0"/>
            </w:pPr>
            <w:r>
              <w:t xml:space="preserve">Visual-tag agreement overstated</w:t>
            </w:r>
          </w:p>
        </w:tc>
      </w:tr>
      <w:tr>
        <w:trPr>
          <w:tblHeader w:val="false"/>
        </w:trPr>
        <w:tc>
          <w:tcPr>
            <w:tcW w:type="dxa" w:w="2604"/>
            <w:tcMar>
              <w:top w:type="dxa" w:w="60"/>
              <w:left w:type="dxa" w:w="90"/>
              <w:bottom w:type="dxa" w:w="60"/>
              <w:right w:type="dxa" w:w="90"/>
            </w:tcMar>
          </w:tcPr>
          <w:p>
            <w:pPr>
              <w:spacing w:after="0"/>
            </w:pPr>
            <w:r>
              <w:t xml:space="preserve">Whisper-small / -turbo</w:t>
            </w:r>
          </w:p>
        </w:tc>
        <w:tc>
          <w:tcPr>
            <w:tcW w:type="dxa" w:w="3796"/>
            <w:tcMar>
              <w:top w:type="dxa" w:w="60"/>
              <w:left w:type="dxa" w:w="90"/>
              <w:bottom w:type="dxa" w:w="60"/>
              <w:right w:type="dxa" w:w="90"/>
            </w:tcMar>
          </w:tcPr>
          <w:p>
            <w:pPr>
              <w:spacing w:after="0"/>
            </w:pPr>
            <w:r>
              <w:t xml:space="preserve">Architecture, training data</w:t>
            </w:r>
          </w:p>
        </w:tc>
        <w:tc>
          <w:tcPr>
            <w:tcW w:type="dxa" w:w="296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rPr>
        <w:t xml:space="preserve">Partially measured.</w:t>
      </w:r>
      <w:r>
        <w:t xml:space="preserve"> The audit runs only where the artefact stores per-model candidate lists, which is </w:t>
      </w:r>
      <w:r>
        <w:rPr>
          <w:b/>
          <w:bCs/>
        </w:rPr>
        <w:t xml:space="preserve">keywords alone</w:t>
      </w:r>
      <w:r>
        <w:t xml:space="preserve">. There the pairwise agreements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190"/>
        <w:gridCol w:w="1127"/>
        <w:gridCol w:w="2439"/>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190"/>
            <w:shd w:fill="EFEFEF" w:color="auto" w:val="clear"/>
            <w:tcMar>
              <w:top w:type="dxa" w:w="60"/>
              <w:left w:type="dxa" w:w="90"/>
              <w:bottom w:type="dxa" w:w="60"/>
              <w:right w:type="dxa" w:w="90"/>
            </w:tcMar>
          </w:tcPr>
          <w:p>
            <w:pPr>
              <w:spacing w:after="0"/>
            </w:pPr>
            <w:r>
              <w:rPr>
                <w:b/>
                <w:bCs/>
              </w:rPr>
              <w:t xml:space="preserve">Mechanism</w:t>
            </w:r>
          </w:p>
        </w:tc>
        <w:tc>
          <w:tcPr>
            <w:tcW w:type="dxa" w:w="1127"/>
            <w:shd w:fill="EFEFEF" w:color="auto" w:val="clear"/>
            <w:tcMar>
              <w:top w:type="dxa" w:w="60"/>
              <w:left w:type="dxa" w:w="90"/>
              <w:bottom w:type="dxa" w:w="60"/>
              <w:right w:type="dxa" w:w="90"/>
            </w:tcMar>
          </w:tcPr>
          <w:p>
            <w:pPr>
              <w:spacing w:after="0"/>
            </w:pPr>
            <w:r>
              <w:rPr>
                <w:b/>
                <w:bCs/>
                <w:i/>
                <w:iCs/>
              </w:rPr>
              <w:t xml:space="preserve">n</w:t>
            </w:r>
          </w:p>
        </w:tc>
        <w:tc>
          <w:tcPr>
            <w:tcW w:type="dxa" w:w="2439"/>
            <w:shd w:fill="EFEFEF" w:color="auto" w:val="clear"/>
            <w:tcMar>
              <w:top w:type="dxa" w:w="60"/>
              <w:left w:type="dxa" w:w="90"/>
              <w:bottom w:type="dxa" w:w="60"/>
              <w:right w:type="dxa" w:w="90"/>
            </w:tcMar>
          </w:tcPr>
          <w:p>
            <w:pPr>
              <w:spacing w:after="0"/>
            </w:pPr>
            <w:r>
              <w:rPr>
                <w:b/>
                <w:bCs/>
              </w:rPr>
              <w:t xml:space="preserve">Mean agreement</w:t>
            </w:r>
          </w:p>
        </w:tc>
      </w:tr>
      <w:tr>
        <w:trPr>
          <w:tblHeader w:val="false"/>
        </w:trPr>
        <w:tc>
          <w:tcPr>
            <w:tcW w:type="dxa" w:w="2604"/>
            <w:tcMar>
              <w:top w:type="dxa" w:w="60"/>
              <w:left w:type="dxa" w:w="90"/>
              <w:bottom w:type="dxa" w:w="60"/>
              <w:right w:type="dxa" w:w="90"/>
            </w:tcMar>
          </w:tcPr>
          <w:p>
            <w:pPr>
              <w:spacing w:after="0"/>
            </w:pPr>
            <w:r>
              <w:t xml:space="preserve">TF-IDF / YAKE</w:t>
            </w:r>
          </w:p>
        </w:tc>
        <w:tc>
          <w:tcPr>
            <w:tcW w:type="dxa" w:w="3190"/>
            <w:tcMar>
              <w:top w:type="dxa" w:w="60"/>
              <w:left w:type="dxa" w:w="90"/>
              <w:bottom w:type="dxa" w:w="60"/>
              <w:right w:type="dxa" w:w="90"/>
            </w:tcMar>
          </w:tcPr>
          <w:p>
            <w:pPr>
              <w:spacing w:after="0"/>
            </w:pPr>
            <w:r>
              <w:t xml:space="preserve">both statistical</w:t>
            </w:r>
          </w:p>
        </w:tc>
        <w:tc>
          <w:tcPr>
            <w:tcW w:type="dxa" w:w="1127"/>
            <w:tcMar>
              <w:top w:type="dxa" w:w="60"/>
              <w:left w:type="dxa" w:w="90"/>
              <w:bottom w:type="dxa" w:w="60"/>
              <w:right w:type="dxa" w:w="90"/>
            </w:tcMar>
          </w:tcPr>
          <w:p>
            <w:pPr>
              <w:spacing w:after="0"/>
            </w:pPr>
            <w:r>
              <w:t xml:space="preserve">624</w:t>
            </w:r>
          </w:p>
        </w:tc>
        <w:tc>
          <w:tcPr>
            <w:tcW w:type="dxa" w:w="2439"/>
            <w:tcMar>
              <w:top w:type="dxa" w:w="60"/>
              <w:left w:type="dxa" w:w="90"/>
              <w:bottom w:type="dxa" w:w="60"/>
              <w:right w:type="dxa" w:w="90"/>
            </w:tcMar>
          </w:tcPr>
          <w:p>
            <w:pPr>
              <w:spacing w:after="0"/>
            </w:pPr>
            <w:r>
              <w:rPr>
                <w:b/>
                <w:bCs/>
              </w:rPr>
              <w:t xml:space="preserve">0.327</w:t>
            </w:r>
          </w:p>
        </w:tc>
      </w:tr>
      <w:tr>
        <w:trPr>
          <w:tblHeader w:val="false"/>
        </w:trPr>
        <w:tc>
          <w:tcPr>
            <w:tcW w:type="dxa" w:w="2604"/>
            <w:tcMar>
              <w:top w:type="dxa" w:w="60"/>
              <w:left w:type="dxa" w:w="90"/>
              <w:bottom w:type="dxa" w:w="60"/>
              <w:right w:type="dxa" w:w="90"/>
            </w:tcMar>
          </w:tcPr>
          <w:p>
            <w:pPr>
              <w:spacing w:after="0"/>
            </w:pPr>
            <w:r>
              <w:t xml:space="preserve">KeyBERT / YAKE</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0.108</w:t>
            </w:r>
          </w:p>
        </w:tc>
      </w:tr>
      <w:tr>
        <w:trPr>
          <w:tblHeader w:val="false"/>
        </w:trPr>
        <w:tc>
          <w:tcPr>
            <w:tcW w:type="dxa" w:w="2604"/>
            <w:tcMar>
              <w:top w:type="dxa" w:w="60"/>
              <w:left w:type="dxa" w:w="90"/>
              <w:bottom w:type="dxa" w:w="60"/>
              <w:right w:type="dxa" w:w="90"/>
            </w:tcMar>
          </w:tcPr>
          <w:p>
            <w:pPr>
              <w:spacing w:after="0"/>
            </w:pPr>
            <w:r>
              <w:t xml:space="preserve">KeyBERT / TF-IDF</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0.078</w:t>
            </w:r>
          </w:p>
        </w:tc>
      </w:tr>
    </w:tbl>
    <w:p>
      <w:pPr>
        <w:spacing w:after="160"/>
      </w:pPr>
    </w:p>
    <w:p>
      <w:pPr>
        <w:spacing w:after="140" w:line="276"/>
        <w:jc w:val="both"/>
      </w:pPr>
      <w:r>
        <w:t xml:space="preserve">The two statistical extractors agree with each other roughly four times as often as either agrees with the embedding-based one — mechanism similarity predicting agreement, on the one field where it can be measured. This is the inflation effect in miniature, and it is why the keyword field's headline 0.173 must not be read as three-way corroboration.</w:t>
      </w:r>
    </w:p>
    <w:p>
      <w:pPr>
        <w:spacing w:after="140" w:line="276"/>
        <w:jc w:val="both"/>
      </w:pPr>
      <w:r>
        <w:rPr>
          <w:b/>
          <w:bCs/>
        </w:rPr>
        <w:t xml:space="preserve">Why the other fields could not be audited.</w:t>
      </w:r>
      <w:r>
        <w:t xml:space="preserve"> For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w:t>
      </w:r>
      <w:r>
        <w:rPr>
          <w:rFonts w:ascii="Consolas" w:cs="Consolas" w:eastAsia="Consolas" w:hAnsi="Consolas"/>
          <w:sz w:val="18"/>
          <w:szCs w:val="18"/>
        </w:rPr>
        <w:t xml:space="preserve">people_count</w:t>
      </w:r>
      <w:r>
        <w:t xml:space="preserve"> and </w:t>
      </w:r>
      <w:r>
        <w:rPr>
          <w:rFonts w:ascii="Consolas" w:cs="Consolas" w:eastAsia="Consolas" w:hAnsi="Consolas"/>
          <w:sz w:val="18"/>
          <w:szCs w:val="18"/>
        </w:rPr>
        <w:t xml:space="preserve">transcript</w:t>
      </w:r>
      <w:r>
        <w:t xml:space="preserve"> the </w:t>
      </w:r>
      <w:r>
        <w:rPr>
          <w:rFonts w:ascii="Consolas" w:cs="Consolas" w:eastAsia="Consolas" w:hAnsi="Consolas"/>
          <w:sz w:val="18"/>
          <w:szCs w:val="18"/>
        </w:rPr>
        <w:t xml:space="preserve">candidates</w:t>
      </w:r>
      <w:r>
        <w:t xml:space="preserve"> dictionary holds </w:t>
      </w:r>
      <w:r>
        <w:rPr>
          <w:i/>
          <w:iCs/>
        </w:rPr>
        <w:t xml:space="preserve">method</w:t>
      </w:r>
      <w:r>
        <w:t xml:space="preserve"> labels — </w:t>
      </w:r>
      <w:r>
        <w:rPr>
          <w:rFonts w:ascii="Consolas" w:cs="Consolas" w:eastAsia="Consolas" w:hAnsi="Consolas"/>
          <w:sz w:val="18"/>
          <w:szCs w:val="18"/>
        </w:rPr>
        <w:t xml:space="preserve">centre_frame_diagnostic</w:t>
      </w:r>
      <w:r>
        <w:t xml:space="preserve">, </w:t>
      </w:r>
      <w:r>
        <w:rPr>
          <w:rFonts w:ascii="Consolas" w:cs="Consolas" w:eastAsia="Consolas" w:hAnsi="Consolas"/>
          <w:sz w:val="18"/>
          <w:szCs w:val="18"/>
        </w:rPr>
        <w:t xml:space="preserve">cross_engine_matching</w:t>
      </w:r>
      <w:r>
        <w:t xml:space="preserve">, </w:t>
      </w:r>
      <w:r>
        <w:rPr>
          <w:rFonts w:ascii="Consolas" w:cs="Consolas" w:eastAsia="Consolas" w:hAnsi="Consolas"/>
          <w:sz w:val="18"/>
          <w:szCs w:val="18"/>
        </w:rPr>
        <w:t xml:space="preserve">temporal_evidence</w:t>
      </w:r>
      <w:r>
        <w:t xml:space="preserve">, </w:t>
      </w:r>
      <w:r>
        <w:rPr>
          <w:rFonts w:ascii="Consolas" w:cs="Consolas" w:eastAsia="Consolas" w:hAnsi="Consolas"/>
          <w:sz w:val="18"/>
          <w:szCs w:val="18"/>
        </w:rPr>
        <w:t xml:space="preserve">temporally_persistent</w:t>
      </w:r>
      <w:r>
        <w:t xml:space="preserve">, </w:t>
      </w:r>
      <w:r>
        <w:rPr>
          <w:rFonts w:ascii="Consolas" w:cs="Consolas" w:eastAsia="Consolas" w:hAnsi="Consolas"/>
          <w:sz w:val="18"/>
          <w:szCs w:val="18"/>
        </w:rPr>
        <w:t xml:space="preserve">scene_aware</w:t>
      </w:r>
      <w:r>
        <w:t xml:space="preserve">, </w:t>
      </w:r>
      <w:r>
        <w:rPr>
          <w:rFonts w:ascii="Consolas" w:cs="Consolas" w:eastAsia="Consolas" w:hAnsi="Consolas"/>
          <w:sz w:val="18"/>
          <w:szCs w:val="18"/>
        </w:rPr>
        <w:t xml:space="preserve">model_level_votes</w:t>
      </w:r>
      <w:r>
        <w:t xml:space="preserve">, </w:t>
      </w:r>
      <w:r>
        <w:rPr>
          <w:rFonts w:ascii="Consolas" w:cs="Consolas" w:eastAsia="Consolas" w:hAnsi="Consolas"/>
          <w:sz w:val="18"/>
          <w:szCs w:val="18"/>
        </w:rPr>
        <w:t xml:space="preserve">raw</w:t>
      </w:r>
      <w:r>
        <w:t xml:space="preserve"> — not the model families that produced them. Per-model outputs are consumed inside the consensus functions and not retained. So the CLIP ViT-B/32 vs ViT-L/14 comparison, the one the limitations most need a number for, cannot be computed from the stored artefacts.</w:t>
      </w:r>
    </w:p>
    <w:p>
      <w:pPr>
        <w:spacing w:after="140" w:line="276"/>
        <w:jc w:val="both"/>
      </w:pPr>
      <w:r>
        <w:rPr>
          <w:b/>
          <w:bCs/>
          <w:highlight w:val="yellow"/>
          <w:highlightCs w:val="yellow"/>
        </w:rPr>
        <w:t xml:space="preserve">`[TO FILL: to close this, persist the per-family candidate lists under their model names in `make_consensus_field` alongside the method labels, and re-run Section 14. That single change would let the CLIP-pair and Whisper-pair inflation be quantified directly, converting the correlated-source limitation from a caveat into a measurement.]`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2"/>
        <w:spacing w:after="140" w:before="260"/>
      </w:pPr>
      <w:r>
        <w:rPr>
          <w:b/>
          <w:bCs/>
          <w:sz w:val="24"/>
          <w:szCs w:val="24"/>
        </w:rPr>
        <w:t xml:space="preserve">3.8 Fixed-Grid Segmentation Diagnostic</w:t>
      </w:r>
    </w:p>
    <w:p>
      <w:pPr>
        <w:spacing w:after="140" w:line="276"/>
        <w:jc w:val="both"/>
      </w:pPr>
      <w:r>
        <w:t xml:space="preserve">Both documents declare fixed 30-second segmentation a design boundary and list shot-aware segmentation as future work. This subsection replaces that assertion with a measurement.</w:t>
      </w:r>
    </w:p>
    <w:p>
      <w:pPr>
        <w:spacing w:after="140" w:line="276"/>
        <w:jc w:val="both"/>
      </w:pPr>
      <w:r>
        <w:rPr>
          <w:b/>
          <w:bCs/>
        </w:rPr>
        <w:t xml:space="preserve">Method.</w:t>
      </w:r>
      <w:r>
        <w:t xml:space="preserve"> </w:t>
      </w:r>
      <w:r>
        <w:rPr>
          <w:rFonts w:ascii="Consolas" w:cs="Consolas" w:eastAsia="Consolas" w:hAnsi="Consolas"/>
          <w:sz w:val="18"/>
          <w:szCs w:val="18"/>
        </w:rPr>
        <w:t xml:space="preserve">scripts/detect_scenes.py</w:t>
      </w:r>
      <w:r>
        <w:t xml:space="preserve"> runs PySceneDetect's </w:t>
      </w:r>
      <w:r>
        <w:rPr>
          <w:rFonts w:ascii="Consolas" w:cs="Consolas" w:eastAsia="Consolas" w:hAnsi="Consolas"/>
          <w:sz w:val="18"/>
          <w:szCs w:val="18"/>
        </w:rPr>
        <w:t xml:space="preserve">ContentDetector</w:t>
      </w:r>
      <w:r>
        <w:t xml:space="preserve"> [15] over the source programmes at </w:t>
      </w:r>
      <w:r>
        <w:rPr>
          <w:rFonts w:ascii="Consolas" w:cs="Consolas" w:eastAsia="Consolas" w:hAnsi="Consolas"/>
          <w:sz w:val="18"/>
          <w:szCs w:val="18"/>
        </w:rPr>
        <w:t xml:space="preserve">threshold = 27.0</w:t>
      </w:r>
      <w:r>
        <w:t xml:space="preserve"> and </w:t>
      </w:r>
      <w:r>
        <w:rPr>
          <w:rFonts w:ascii="Consolas" w:cs="Consolas" w:eastAsia="Consolas" w:hAnsi="Consolas"/>
          <w:sz w:val="18"/>
          <w:szCs w:val="18"/>
        </w:rPr>
        <w:t xml:space="preserve">min_scene_len = 10.0 s × fps</w:t>
      </w:r>
      <w:r>
        <w:t xml:space="preserve">, writing one CSV row per detected scene (</w:t>
      </w:r>
      <w:r>
        <w:rPr>
          <w:rFonts w:ascii="Consolas" w:cs="Consolas" w:eastAsia="Consolas" w:hAnsi="Consolas"/>
          <w:sz w:val="18"/>
          <w:szCs w:val="18"/>
        </w:rPr>
        <w:t xml:space="preserve">video, scene, start_sec, end_sec, length_sec</w:t>
      </w:r>
      <w:r>
        <w:t xml:space="preserve">). It is CPU-only and writes timestamps rather than clips, so no re-encoding occurs and the source media is untouched. </w:t>
      </w:r>
      <w:r>
        <w:rPr>
          <w:rFonts w:ascii="Consolas" w:cs="Consolas" w:eastAsia="Consolas" w:hAnsi="Consolas"/>
          <w:sz w:val="18"/>
          <w:szCs w:val="18"/>
        </w:rPr>
        <w:t xml:space="preserve">scripts/segmentation_diagnostic.py</w:t>
      </w:r>
      <w:r>
        <w:t xml:space="preserve"> then reconstructs the production 30-second grid over the same programmes and compares the two partitions. Both are deterministic and need no GPU.</w:t>
      </w:r>
    </w:p>
    <w:p>
      <w:pPr>
        <w:spacing w:after="140" w:line="276"/>
        <w:jc w:val="both"/>
      </w:pPr>
      <w:r>
        <w:rPr>
          <w:b/>
          <w:bCs/>
        </w:rPr>
        <w:t xml:space="preserve">Coverage.</w:t>
      </w:r>
      <w:r>
        <w:t xml:space="preserve"> 641 scenes were detected across </w:t>
      </w:r>
      <w:r>
        <w:rPr>
          <w:b/>
          <w:bCs/>
        </w:rPr>
        <w:t xml:space="preserve">46 of the 47 programmes</w:t>
      </w:r>
      <w:r>
        <w:t xml:space="preserve"> — programme 32 was not processed and is absent from the CSV — totalling 5.00 h against the corpus's 5.09 h. Reconstructing the fixed grid over those same 46 programmes yields </w:t>
      </w:r>
      <w:r>
        <w:rPr>
          <w:b/>
          <w:bCs/>
        </w:rPr>
        <w:t xml:space="preserve">622 clips</w:t>
      </w:r>
      <w:r>
        <w:t xml:space="preserve"> against the 626 actually published across 47; the four-clip difference is the unprocessed programme, which confirms the reconstruction reproduces the production segmentation exactly.</w:t>
      </w:r>
    </w:p>
    <w:p>
      <w:pPr>
        <w:spacing w:after="140" w:line="276"/>
        <w:jc w:val="both"/>
      </w:pPr>
      <w:r>
        <w:rPr>
          <w:b/>
          <w:bCs/>
        </w:rPr>
        <w:t xml:space="preserve">Segment-length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3521"/>
        <w:gridCol w:w="2579"/>
      </w:tblGrid>
      <w:tr>
        <w:trPr>
          <w:tblHeader/>
        </w:trPr>
        <w:tc>
          <w:tcPr>
            <w:tcW w:type="dxa" w:w="3260"/>
            <w:shd w:fill="EFEFEF" w:color="auto" w:val="clear"/>
            <w:tcMar>
              <w:top w:type="dxa" w:w="60"/>
              <w:left w:type="dxa" w:w="90"/>
              <w:bottom w:type="dxa" w:w="60"/>
              <w:right w:type="dxa" w:w="90"/>
            </w:tcMar>
          </w:tcPr>
          <w:p>
            <w:pPr>
              <w:spacing w:after="0"/>
            </w:pPr>
            <w:r>
              <w:t xml:space="preserve"/>
            </w:r>
          </w:p>
        </w:tc>
        <w:tc>
          <w:tcPr>
            <w:tcW w:type="dxa" w:w="3521"/>
            <w:shd w:fill="EFEFEF" w:color="auto" w:val="clear"/>
            <w:tcMar>
              <w:top w:type="dxa" w:w="60"/>
              <w:left w:type="dxa" w:w="90"/>
              <w:bottom w:type="dxa" w:w="60"/>
              <w:right w:type="dxa" w:w="90"/>
            </w:tcMar>
          </w:tcPr>
          <w:p>
            <w:pPr>
              <w:spacing w:after="0"/>
            </w:pPr>
            <w:r>
              <w:rPr>
                <w:b/>
                <w:bCs/>
              </w:rPr>
              <w:t xml:space="preserve">Fixed grid</w:t>
            </w:r>
          </w:p>
        </w:tc>
        <w:tc>
          <w:tcPr>
            <w:tcW w:type="dxa" w:w="2579"/>
            <w:shd w:fill="EFEFEF" w:color="auto" w:val="clear"/>
            <w:tcMar>
              <w:top w:type="dxa" w:w="60"/>
              <w:left w:type="dxa" w:w="90"/>
              <w:bottom w:type="dxa" w:w="60"/>
              <w:right w:type="dxa" w:w="90"/>
            </w:tcMar>
          </w:tcPr>
          <w:p>
            <w:pPr>
              <w:spacing w:after="0"/>
            </w:pPr>
            <w:r>
              <w:rPr>
                <w:b/>
                <w:bCs/>
              </w:rPr>
              <w:t xml:space="preserve">Scene-aware</w:t>
            </w:r>
          </w:p>
        </w:tc>
      </w:tr>
      <w:tr>
        <w:trPr>
          <w:tblHeader w:val="false"/>
        </w:trPr>
        <w:tc>
          <w:tcPr>
            <w:tcW w:type="dxa" w:w="3260"/>
            <w:tcMar>
              <w:top w:type="dxa" w:w="60"/>
              <w:left w:type="dxa" w:w="90"/>
              <w:bottom w:type="dxa" w:w="60"/>
              <w:right w:type="dxa" w:w="90"/>
            </w:tcMar>
          </w:tcPr>
          <w:p>
            <w:pPr>
              <w:spacing w:after="0"/>
            </w:pPr>
            <w:r>
              <w:t xml:space="preserve">Segments (46 programmes)</w:t>
            </w:r>
          </w:p>
        </w:tc>
        <w:tc>
          <w:tcPr>
            <w:tcW w:type="dxa" w:w="3521"/>
            <w:tcMar>
              <w:top w:type="dxa" w:w="60"/>
              <w:left w:type="dxa" w:w="90"/>
              <w:bottom w:type="dxa" w:w="60"/>
              <w:right w:type="dxa" w:w="90"/>
            </w:tcMar>
          </w:tcPr>
          <w:p>
            <w:pPr>
              <w:spacing w:after="0"/>
            </w:pPr>
            <w:r>
              <w:t xml:space="preserve">622</w:t>
            </w:r>
          </w:p>
        </w:tc>
        <w:tc>
          <w:tcPr>
            <w:tcW w:type="dxa" w:w="2579"/>
            <w:tcMar>
              <w:top w:type="dxa" w:w="60"/>
              <w:left w:type="dxa" w:w="90"/>
              <w:bottom w:type="dxa" w:w="60"/>
              <w:right w:type="dxa" w:w="90"/>
            </w:tcMar>
          </w:tcPr>
          <w:p>
            <w:pPr>
              <w:spacing w:after="0"/>
            </w:pPr>
            <w:r>
              <w:t xml:space="preserve">641</w:t>
            </w:r>
          </w:p>
        </w:tc>
      </w:tr>
      <w:tr>
        <w:trPr>
          <w:tblHeader w:val="false"/>
        </w:trPr>
        <w:tc>
          <w:tcPr>
            <w:tcW w:type="dxa" w:w="3260"/>
            <w:tcMar>
              <w:top w:type="dxa" w:w="60"/>
              <w:left w:type="dxa" w:w="90"/>
              <w:bottom w:type="dxa" w:w="60"/>
              <w:right w:type="dxa" w:w="90"/>
            </w:tcMar>
          </w:tcPr>
          <w:p>
            <w:pPr>
              <w:spacing w:after="0"/>
            </w:pPr>
            <w:r>
              <w:t xml:space="preserve">Mean length</w:t>
            </w:r>
          </w:p>
        </w:tc>
        <w:tc>
          <w:tcPr>
            <w:tcW w:type="dxa" w:w="3521"/>
            <w:tcMar>
              <w:top w:type="dxa" w:w="60"/>
              <w:left w:type="dxa" w:w="90"/>
              <w:bottom w:type="dxa" w:w="60"/>
              <w:right w:type="dxa" w:w="90"/>
            </w:tcMar>
          </w:tcPr>
          <w:p>
            <w:pPr>
              <w:spacing w:after="0"/>
            </w:pPr>
            <w:r>
              <w:t xml:space="preserve">30.00 s (29.4 s incl. tails)</w:t>
            </w:r>
          </w:p>
        </w:tc>
        <w:tc>
          <w:tcPr>
            <w:tcW w:type="dxa" w:w="2579"/>
            <w:tcMar>
              <w:top w:type="dxa" w:w="60"/>
              <w:left w:type="dxa" w:w="90"/>
              <w:bottom w:type="dxa" w:w="60"/>
              <w:right w:type="dxa" w:w="90"/>
            </w:tcMar>
          </w:tcPr>
          <w:p>
            <w:pPr>
              <w:spacing w:after="0"/>
            </w:pPr>
            <w:r>
              <w:t xml:space="preserve">28.06 s</w:t>
            </w:r>
          </w:p>
        </w:tc>
      </w:tr>
      <w:tr>
        <w:trPr>
          <w:tblHeader w:val="false"/>
        </w:trPr>
        <w:tc>
          <w:tcPr>
            <w:tcW w:type="dxa" w:w="3260"/>
            <w:tcMar>
              <w:top w:type="dxa" w:w="60"/>
              <w:left w:type="dxa" w:w="90"/>
              <w:bottom w:type="dxa" w:w="60"/>
              <w:right w:type="dxa" w:w="90"/>
            </w:tcMar>
          </w:tcPr>
          <w:p>
            <w:pPr>
              <w:spacing w:after="0"/>
            </w:pPr>
            <w:r>
              <w:t xml:space="preserve">Median length</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22.48 s</w:t>
            </w:r>
          </w:p>
        </w:tc>
      </w:tr>
      <w:tr>
        <w:trPr>
          <w:tblHeader w:val="false"/>
        </w:trPr>
        <w:tc>
          <w:tcPr>
            <w:tcW w:type="dxa" w:w="3260"/>
            <w:tcMar>
              <w:top w:type="dxa" w:w="60"/>
              <w:left w:type="dxa" w:w="90"/>
              <w:bottom w:type="dxa" w:w="60"/>
              <w:right w:type="dxa" w:w="90"/>
            </w:tcMar>
          </w:tcPr>
          <w:p>
            <w:pPr>
              <w:spacing w:after="0"/>
            </w:pPr>
            <w:r>
              <w:t xml:space="preserve">Standard deviation</w:t>
            </w:r>
          </w:p>
        </w:tc>
        <w:tc>
          <w:tcPr>
            <w:tcW w:type="dxa" w:w="3521"/>
            <w:tcMar>
              <w:top w:type="dxa" w:w="60"/>
              <w:left w:type="dxa" w:w="90"/>
              <w:bottom w:type="dxa" w:w="60"/>
              <w:right w:type="dxa" w:w="90"/>
            </w:tcMar>
          </w:tcPr>
          <w:p>
            <w:pPr>
              <w:spacing w:after="0"/>
            </w:pPr>
            <w:r>
              <w:t xml:space="preserve">0.00 s (excl. tails)</w:t>
            </w:r>
          </w:p>
        </w:tc>
        <w:tc>
          <w:tcPr>
            <w:tcW w:type="dxa" w:w="2579"/>
            <w:tcMar>
              <w:top w:type="dxa" w:w="60"/>
              <w:left w:type="dxa" w:w="90"/>
              <w:bottom w:type="dxa" w:w="60"/>
              <w:right w:type="dxa" w:w="90"/>
            </w:tcMar>
          </w:tcPr>
          <w:p>
            <w:pPr>
              <w:spacing w:after="0"/>
            </w:pPr>
            <w:r>
              <w:rPr>
                <w:b/>
                <w:bCs/>
              </w:rPr>
              <w:t xml:space="preserve">20.58 s</w:t>
            </w:r>
          </w:p>
        </w:tc>
      </w:tr>
      <w:tr>
        <w:trPr>
          <w:tblHeader w:val="false"/>
        </w:trPr>
        <w:tc>
          <w:tcPr>
            <w:tcW w:type="dxa" w:w="3260"/>
            <w:tcMar>
              <w:top w:type="dxa" w:w="60"/>
              <w:left w:type="dxa" w:w="90"/>
              <w:bottom w:type="dxa" w:w="60"/>
              <w:right w:type="dxa" w:w="90"/>
            </w:tcMar>
          </w:tcPr>
          <w:p>
            <w:pPr>
              <w:spacing w:after="0"/>
            </w:pPr>
            <w:r>
              <w:t xml:space="preserve">Range</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0.04 – 219.20 s</w:t>
            </w:r>
          </w:p>
        </w:tc>
      </w:tr>
      <w:tr>
        <w:trPr>
          <w:tblHeader w:val="false"/>
        </w:trPr>
        <w:tc>
          <w:tcPr>
            <w:tcW w:type="dxa" w:w="3260"/>
            <w:tcMar>
              <w:top w:type="dxa" w:w="60"/>
              <w:left w:type="dxa" w:w="90"/>
              <w:bottom w:type="dxa" w:w="60"/>
              <w:right w:type="dxa" w:w="90"/>
            </w:tcMar>
          </w:tcPr>
          <w:p>
            <w:pPr>
              <w:spacing w:after="0"/>
            </w:pPr>
            <w:r>
              <w:t xml:space="preserve">Segments &gt; 60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41</w:t>
            </w:r>
          </w:p>
        </w:tc>
      </w:tr>
      <w:tr>
        <w:trPr>
          <w:tblHeader w:val="false"/>
        </w:trPr>
        <w:tc>
          <w:tcPr>
            <w:tcW w:type="dxa" w:w="3260"/>
            <w:tcMar>
              <w:top w:type="dxa" w:w="60"/>
              <w:left w:type="dxa" w:w="90"/>
              <w:bottom w:type="dxa" w:w="60"/>
              <w:right w:type="dxa" w:w="90"/>
            </w:tcMar>
          </w:tcPr>
          <w:p>
            <w:pPr>
              <w:spacing w:after="0"/>
            </w:pPr>
            <w:r>
              <w:t xml:space="preserve">Segments &gt; 120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w:t>
            </w:r>
          </w:p>
        </w:tc>
      </w:tr>
      <w:tr>
        <w:trPr>
          <w:tblHeader w:val="false"/>
        </w:trPr>
        <w:tc>
          <w:tcPr>
            <w:tcW w:type="dxa" w:w="3260"/>
            <w:tcMar>
              <w:top w:type="dxa" w:w="60"/>
              <w:left w:type="dxa" w:w="90"/>
              <w:bottom w:type="dxa" w:w="60"/>
              <w:right w:type="dxa" w:w="90"/>
            </w:tcMar>
          </w:tcPr>
          <w:p>
            <w:pPr>
              <w:spacing w:after="0"/>
            </w:pPr>
            <w:r>
              <w:t xml:space="preserve">Segments &lt; 10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14</w:t>
            </w:r>
          </w:p>
        </w:tc>
      </w:tr>
    </w:tbl>
    <w:p>
      <w:pPr>
        <w:spacing w:after="160"/>
      </w:pPr>
    </w:p>
    <w:p>
      <w:pPr>
        <w:spacing w:after="140" w:line="276"/>
        <w:jc w:val="both"/>
      </w:pPr>
      <w:r>
        <w:t xml:space="preserve">The 14 sub-10 s scenes are </w:t>
      </w:r>
      <w:r>
        <w:rPr>
          <w:b/>
          <w:bCs/>
        </w:rPr>
        <w:t xml:space="preserve">all final-scene tail remainders</w:t>
      </w:r>
      <w:r>
        <w:t xml:space="preserve"> — the residue after the last detected cut in a programme — not violations of </w:t>
      </w:r>
      <w:r>
        <w:rPr>
          <w:rFonts w:ascii="Consolas" w:cs="Consolas" w:eastAsia="Consolas" w:hAnsi="Consolas"/>
          <w:sz w:val="18"/>
          <w:szCs w:val="18"/>
        </w:rPr>
        <w:t xml:space="preserve">min_scene_len</w:t>
      </w:r>
      <w:r>
        <w:t xml:space="preserve">, which constrains only the interval between detected cuts. The fixed grid produces a comparable tail at the end of each programme.</w:t>
      </w:r>
    </w:p>
    <w:p>
      <w:pPr>
        <w:spacing w:after="140" w:line="276"/>
        <w:jc w:val="both"/>
      </w:pPr>
      <w:r>
        <w:rPr>
          <w:b/>
          <w:bCs/>
        </w:rPr>
        <w:t xml:space="preserve">Shot-cut contamination.</w:t>
      </w:r>
      <w:r>
        <w:t xml:space="preserve"> The detector places 595 internal cuts across the 46 programmes. Mapping those cuts onto the fixed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68"/>
        <w:gridCol w:w="2417"/>
        <w:gridCol w:w="1975"/>
      </w:tblGrid>
      <w:tr>
        <w:trPr>
          <w:tblHeader/>
        </w:trPr>
        <w:tc>
          <w:tcPr>
            <w:tcW w:type="dxa" w:w="4968"/>
            <w:shd w:fill="EFEFEF" w:color="auto" w:val="clear"/>
            <w:tcMar>
              <w:top w:type="dxa" w:w="60"/>
              <w:left w:type="dxa" w:w="90"/>
              <w:bottom w:type="dxa" w:w="60"/>
              <w:right w:type="dxa" w:w="90"/>
            </w:tcMar>
          </w:tcPr>
          <w:p>
            <w:pPr>
              <w:spacing w:after="0"/>
            </w:pPr>
            <w:r>
              <w:rPr>
                <w:b/>
                <w:bCs/>
              </w:rPr>
              <w:t xml:space="preserve">Measure</w:t>
            </w:r>
          </w:p>
        </w:tc>
        <w:tc>
          <w:tcPr>
            <w:tcW w:type="dxa" w:w="2417"/>
            <w:shd w:fill="EFEFEF" w:color="auto" w:val="clear"/>
            <w:tcMar>
              <w:top w:type="dxa" w:w="60"/>
              <w:left w:type="dxa" w:w="90"/>
              <w:bottom w:type="dxa" w:w="60"/>
              <w:right w:type="dxa" w:w="90"/>
            </w:tcMar>
          </w:tcPr>
          <w:p>
            <w:pPr>
              <w:spacing w:after="0"/>
            </w:pPr>
            <w:r>
              <w:rPr>
                <w:b/>
                <w:bCs/>
              </w:rPr>
              <w:t xml:space="preserve">Count</w:t>
            </w:r>
          </w:p>
        </w:tc>
        <w:tc>
          <w:tcPr>
            <w:tcW w:type="dxa" w:w="1975"/>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1</w:t>
            </w:r>
            <w:r>
              <w:t xml:space="preserve"> shot cut</w:t>
            </w:r>
          </w:p>
        </w:tc>
        <w:tc>
          <w:tcPr>
            <w:tcW w:type="dxa" w:w="2417"/>
            <w:tcMar>
              <w:top w:type="dxa" w:w="60"/>
              <w:left w:type="dxa" w:w="90"/>
              <w:bottom w:type="dxa" w:w="60"/>
              <w:right w:type="dxa" w:w="90"/>
            </w:tcMar>
          </w:tcPr>
          <w:p>
            <w:pPr>
              <w:spacing w:after="0"/>
            </w:pPr>
            <w:r>
              <w:t xml:space="preserve">449 / 622</w:t>
            </w:r>
          </w:p>
        </w:tc>
        <w:tc>
          <w:tcPr>
            <w:tcW w:type="dxa" w:w="1975"/>
            <w:tcMar>
              <w:top w:type="dxa" w:w="60"/>
              <w:left w:type="dxa" w:w="90"/>
              <w:bottom w:type="dxa" w:w="60"/>
              <w:right w:type="dxa" w:w="90"/>
            </w:tcMar>
          </w:tcPr>
          <w:p>
            <w:pPr>
              <w:spacing w:after="0"/>
            </w:pPr>
            <w:r>
              <w:rPr>
                <w:b/>
                <w:bCs/>
              </w:rPr>
              <w:t xml:space="preserve">72.2 %</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2</w:t>
            </w:r>
            <w:r>
              <w:t xml:space="preserve"> shot cuts</w:t>
            </w:r>
          </w:p>
        </w:tc>
        <w:tc>
          <w:tcPr>
            <w:tcW w:type="dxa" w:w="2417"/>
            <w:tcMar>
              <w:top w:type="dxa" w:w="60"/>
              <w:left w:type="dxa" w:w="90"/>
              <w:bottom w:type="dxa" w:w="60"/>
              <w:right w:type="dxa" w:w="90"/>
            </w:tcMar>
          </w:tcPr>
          <w:p>
            <w:pPr>
              <w:spacing w:after="0"/>
            </w:pPr>
            <w:r>
              <w:t xml:space="preserve">142 / 622</w:t>
            </w:r>
          </w:p>
        </w:tc>
        <w:tc>
          <w:tcPr>
            <w:tcW w:type="dxa" w:w="1975"/>
            <w:tcMar>
              <w:top w:type="dxa" w:w="60"/>
              <w:left w:type="dxa" w:w="90"/>
              <w:bottom w:type="dxa" w:w="60"/>
              <w:right w:type="dxa" w:w="90"/>
            </w:tcMar>
          </w:tcPr>
          <w:p>
            <w:pPr>
              <w:spacing w:after="0"/>
            </w:pPr>
            <w:r>
              <w:t xml:space="preserve">22.8 %</w:t>
            </w:r>
          </w:p>
        </w:tc>
      </w:tr>
      <w:tr>
        <w:trPr>
          <w:tblHeader w:val="false"/>
        </w:trPr>
        <w:tc>
          <w:tcPr>
            <w:tcW w:type="dxa" w:w="4968"/>
            <w:tcMar>
              <w:top w:type="dxa" w:w="60"/>
              <w:left w:type="dxa" w:w="90"/>
              <w:bottom w:type="dxa" w:w="60"/>
              <w:right w:type="dxa" w:w="90"/>
            </w:tcMar>
          </w:tcPr>
          <w:p>
            <w:pPr>
              <w:spacing w:after="0"/>
            </w:pPr>
            <w:r>
              <w:t xml:space="preserve">Fixed clips containing 3 shot cuts</w:t>
            </w:r>
          </w:p>
        </w:tc>
        <w:tc>
          <w:tcPr>
            <w:tcW w:type="dxa" w:w="2417"/>
            <w:tcMar>
              <w:top w:type="dxa" w:w="60"/>
              <w:left w:type="dxa" w:w="90"/>
              <w:bottom w:type="dxa" w:w="60"/>
              <w:right w:type="dxa" w:w="90"/>
            </w:tcMar>
          </w:tcPr>
          <w:p>
            <w:pPr>
              <w:spacing w:after="0"/>
            </w:pPr>
            <w:r>
              <w:t xml:space="preserve">4 / 622</w:t>
            </w:r>
          </w:p>
        </w:tc>
        <w:tc>
          <w:tcPr>
            <w:tcW w:type="dxa" w:w="1975"/>
            <w:tcMar>
              <w:top w:type="dxa" w:w="60"/>
              <w:left w:type="dxa" w:w="90"/>
              <w:bottom w:type="dxa" w:w="60"/>
              <w:right w:type="dxa" w:w="90"/>
            </w:tcMar>
          </w:tcPr>
          <w:p>
            <w:pPr>
              <w:spacing w:after="0"/>
            </w:pPr>
            <w:r>
              <w:t xml:space="preserve">0.6 %</w:t>
            </w:r>
          </w:p>
        </w:tc>
      </w:tr>
      <w:tr>
        <w:trPr>
          <w:tblHeader w:val="false"/>
        </w:trPr>
        <w:tc>
          <w:tcPr>
            <w:tcW w:type="dxa" w:w="4968"/>
            <w:tcMar>
              <w:top w:type="dxa" w:w="60"/>
              <w:left w:type="dxa" w:w="90"/>
              <w:bottom w:type="dxa" w:w="60"/>
              <w:right w:type="dxa" w:w="90"/>
            </w:tcMar>
          </w:tcPr>
          <w:p>
            <w:pPr>
              <w:spacing w:after="0"/>
            </w:pPr>
            <w:r>
              <w:t xml:space="preserve">Fixed clips wholly inside one shot</w:t>
            </w:r>
          </w:p>
        </w:tc>
        <w:tc>
          <w:tcPr>
            <w:tcW w:type="dxa" w:w="2417"/>
            <w:tcMar>
              <w:top w:type="dxa" w:w="60"/>
              <w:left w:type="dxa" w:w="90"/>
              <w:bottom w:type="dxa" w:w="60"/>
              <w:right w:type="dxa" w:w="90"/>
            </w:tcMar>
          </w:tcPr>
          <w:p>
            <w:pPr>
              <w:spacing w:after="0"/>
            </w:pPr>
            <w:r>
              <w:t xml:space="preserve">173 / 622</w:t>
            </w:r>
          </w:p>
        </w:tc>
        <w:tc>
          <w:tcPr>
            <w:tcW w:type="dxa" w:w="1975"/>
            <w:tcMar>
              <w:top w:type="dxa" w:w="60"/>
              <w:left w:type="dxa" w:w="90"/>
              <w:bottom w:type="dxa" w:w="60"/>
              <w:right w:type="dxa" w:w="90"/>
            </w:tcMar>
          </w:tcPr>
          <w:p>
            <w:pPr>
              <w:spacing w:after="0"/>
            </w:pPr>
            <w:r>
              <w:t xml:space="preserve">27.8 %</w:t>
            </w:r>
          </w:p>
        </w:tc>
      </w:tr>
      <w:tr>
        <w:trPr>
          <w:tblHeader w:val="false"/>
        </w:trPr>
        <w:tc>
          <w:tcPr>
            <w:tcW w:type="dxa" w:w="4968"/>
            <w:tcMar>
              <w:top w:type="dxa" w:w="60"/>
              <w:left w:type="dxa" w:w="90"/>
              <w:bottom w:type="dxa" w:w="60"/>
              <w:right w:type="dxa" w:w="90"/>
            </w:tcMar>
          </w:tcPr>
          <w:p>
            <w:pPr>
              <w:spacing w:after="0"/>
            </w:pPr>
            <w:r>
              <w:t xml:space="preserve">Scenes split across </w:t>
            </w:r>
            <w:r>
              <w:rPr>
                <w:b/>
                <w:bCs/>
              </w:rPr>
              <w:t xml:space="preserve">≥ 1</w:t>
            </w:r>
            <w:r>
              <w:t xml:space="preserve"> fixed boundary</w:t>
            </w:r>
          </w:p>
        </w:tc>
        <w:tc>
          <w:tcPr>
            <w:tcW w:type="dxa" w:w="2417"/>
            <w:tcMar>
              <w:top w:type="dxa" w:w="60"/>
              <w:left w:type="dxa" w:w="90"/>
              <w:bottom w:type="dxa" w:w="60"/>
              <w:right w:type="dxa" w:w="90"/>
            </w:tcMar>
          </w:tcPr>
          <w:p>
            <w:pPr>
              <w:spacing w:after="0"/>
            </w:pPr>
            <w:r>
              <w:t xml:space="preserve">458 / 641</w:t>
            </w:r>
          </w:p>
        </w:tc>
        <w:tc>
          <w:tcPr>
            <w:tcW w:type="dxa" w:w="1975"/>
            <w:tcMar>
              <w:top w:type="dxa" w:w="60"/>
              <w:left w:type="dxa" w:w="90"/>
              <w:bottom w:type="dxa" w:w="60"/>
              <w:right w:type="dxa" w:w="90"/>
            </w:tcMar>
          </w:tcPr>
          <w:p>
            <w:pPr>
              <w:spacing w:after="0"/>
            </w:pPr>
            <w:r>
              <w:rPr>
                <w:b/>
                <w:bCs/>
              </w:rPr>
              <w:t xml:space="preserve">71.5 %</w:t>
            </w:r>
          </w:p>
        </w:tc>
      </w:tr>
    </w:tbl>
    <w:p>
      <w:pPr>
        <w:spacing w:after="160"/>
      </w:pPr>
    </w:p>
    <w:p>
      <w:pPr>
        <w:spacing w:after="140" w:line="276"/>
        <w:jc w:val="both"/>
      </w:pPr>
      <w:r>
        <w:rPr>
          <w:b/>
          <w:bCs/>
        </w:rPr>
        <w:t xml:space="preserve">Why this matters for the reported agreement.</w:t>
      </w:r>
      <w:r>
        <w:t xml:space="preserve"> Per-clip consensus over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and </w:t>
      </w:r>
      <w:r>
        <w:rPr>
          <w:rFonts w:ascii="Consolas" w:cs="Consolas" w:eastAsia="Consolas" w:hAnsi="Consolas"/>
          <w:sz w:val="18"/>
          <w:szCs w:val="18"/>
        </w:rPr>
        <w:t xml:space="preserve">people_count</w:t>
      </w:r>
      <w:r>
        <w:t xml:space="preserve"> implicitly assumes one visual context per clip. In 72.2 % of clips that assumption does not hold. Two consequences follow mechanically. First, on visual tags, CLIP ViT-B/32 and ViT-L/14 sampling different frames of a two-shot clip can each be correct about a different shot and still be recorded as disagreeing — model disagreement and segmentation contamination are indistinguishable in the stored artefacts. Second, on on-screen text, the temporal-persistence veto requires a string to survive at least two frames at confidence ≥ 0.82; a caption present through only one of two shots in a clip fails that test and is discarded as transient, which is consistent with the field's 0.000 high-agreement rate and 53.4 % conflict rate. Segmentation contamination is therefore a live alternative explanation for part of the 0.509 and 0.156 figures, and the current design cannot separate it from model error.</w:t>
      </w:r>
    </w:p>
    <w:p>
      <w:pPr>
        <w:spacing w:after="140" w:line="276"/>
        <w:jc w:val="both"/>
      </w:pPr>
      <w:r>
        <w:rPr>
          <w:b/>
          <w:bCs/>
        </w:rPr>
        <w:t xml:space="preserve">What this does not establish.</w:t>
      </w:r>
      <w:r>
        <w:t xml:space="preserve"> This is a property of the partition, not an accuracy result. No human annotation exists on the scene grid — the 38-clip calibration set is indexed to fixed clips — so no like-for-like accuracy comparison between the two segmentations is available. The correct conclusion is that the fixed grid violates its own one-shot-per-clip assumption in roughly three-quarters of cases, </w:t>
      </w:r>
      <w:r>
        <w:rPr>
          <w:b/>
          <w:bCs/>
        </w:rPr>
        <w:t xml:space="preserve">not</w:t>
      </w:r>
      <w:r>
        <w:t xml:space="preserve"> that scene-aware segmentation would raise agreement. Establishing the latter requires re-annotating the scene partition and re-scoring against fresh human labels, which is the form the future-work item should take.</w:t>
      </w:r>
    </w:p>
    <w:p>
      <w:pPr>
        <w:spacing w:after="140" w:line="276"/>
        <w:jc w:val="both"/>
      </w:pPr>
      <w:r>
        <w:rPr>
          <w:b/>
          <w:bCs/>
        </w:rPr>
        <w:t xml:space="preserve">Hosted-annotator feasibility run on the scene partition.</w:t>
      </w:r>
      <w:r>
        <w:t xml:space="preserve"> A single-model Gemini pass over the detected scenes was run as a feasibility check, not as an experiment. It annotated </w:t>
      </w:r>
      <w:r>
        <w:rPr>
          <w:b/>
          <w:bCs/>
        </w:rPr>
        <w:t xml:space="preserve">577 of the 641 scenes (90.0 %) across 42 of the 47 programmes</w:t>
      </w:r>
      <w:r>
        <w:t xml:space="preserve">, covering 4.61 h and sampling 16,709 frames at 1 fps (mean 29 per scene, max 220). Nine scenes failed: eight </w:t>
      </w:r>
      <w:r>
        <w:rPr>
          <w:rFonts w:ascii="Consolas" w:cs="Consolas" w:eastAsia="Consolas" w:hAnsi="Consolas"/>
          <w:sz w:val="18"/>
          <w:szCs w:val="18"/>
        </w:rPr>
        <w:t xml:space="preserve">429 RESOURCE_EXHAUSTED</w:t>
      </w:r>
      <w:r>
        <w:t xml:space="preserve"> on one programme and one </w:t>
      </w:r>
      <w:r>
        <w:rPr>
          <w:rFonts w:ascii="Consolas" w:cs="Consolas" w:eastAsia="Consolas" w:hAnsi="Consolas"/>
          <w:sz w:val="18"/>
          <w:szCs w:val="18"/>
        </w:rPr>
        <w:t xml:space="preserve">503 UNAVAILABLE</w:t>
      </w:r>
      <w:r>
        <w:t xml:space="preserve">. Field coverage over the 577 annotated scenes: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56"/>
        <w:gridCol w:w="2021"/>
        <w:gridCol w:w="1783"/>
      </w:tblGrid>
      <w:tr>
        <w:trPr>
          <w:tblHeader/>
        </w:trPr>
        <w:tc>
          <w:tcPr>
            <w:tcW w:type="dxa" w:w="5556"/>
            <w:shd w:fill="EFEFEF" w:color="auto" w:val="clear"/>
            <w:tcMar>
              <w:top w:type="dxa" w:w="60"/>
              <w:left w:type="dxa" w:w="90"/>
              <w:bottom w:type="dxa" w:w="60"/>
              <w:right w:type="dxa" w:w="90"/>
            </w:tcMar>
          </w:tcPr>
          <w:p>
            <w:pPr>
              <w:spacing w:after="0"/>
            </w:pPr>
            <w:r>
              <w:rPr>
                <w:b/>
                <w:bCs/>
              </w:rPr>
              <w:t xml:space="preserve">Field</w:t>
            </w:r>
          </w:p>
        </w:tc>
        <w:tc>
          <w:tcPr>
            <w:tcW w:type="dxa" w:w="2021"/>
            <w:shd w:fill="EFEFEF" w:color="auto" w:val="clear"/>
            <w:tcMar>
              <w:top w:type="dxa" w:w="60"/>
              <w:left w:type="dxa" w:w="90"/>
              <w:bottom w:type="dxa" w:w="60"/>
              <w:right w:type="dxa" w:w="90"/>
            </w:tcMar>
          </w:tcPr>
          <w:p>
            <w:pPr>
              <w:spacing w:after="0"/>
            </w:pPr>
            <w:r>
              <w:rPr>
                <w:b/>
                <w:bCs/>
              </w:rPr>
              <w:t xml:space="preserve">Non-empty</w:t>
            </w:r>
          </w:p>
        </w:tc>
        <w:tc>
          <w:tcPr>
            <w:tcW w:type="dxa" w:w="1783"/>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people_count_numeric</w:t>
            </w:r>
            <w:r>
              <w:t xml:space="preserve">, </w:t>
            </w:r>
            <w:r>
              <w:rPr>
                <w:rFonts w:ascii="Consolas" w:cs="Consolas" w:eastAsia="Consolas" w:hAnsi="Consolas"/>
                <w:sz w:val="18"/>
                <w:szCs w:val="18"/>
              </w:rPr>
              <w:t xml:space="preserve">description</w:t>
            </w:r>
            <w:r>
              <w:t xml:space="preserve">, </w:t>
            </w:r>
            <w:r>
              <w:rPr>
                <w:rFonts w:ascii="Consolas" w:cs="Consolas" w:eastAsia="Consolas" w:hAnsi="Consolas"/>
                <w:sz w:val="18"/>
                <w:szCs w:val="18"/>
              </w:rPr>
              <w:t xml:space="preserve">activity</w:t>
            </w:r>
            <w:r>
              <w:t xml:space="preserve">, </w:t>
            </w:r>
            <w:r>
              <w:rPr>
                <w:rFonts w:ascii="Consolas" w:cs="Consolas" w:eastAsia="Consolas" w:hAnsi="Consolas"/>
                <w:sz w:val="18"/>
                <w:szCs w:val="18"/>
              </w:rPr>
              <w:t xml:space="preserve">shot_type</w:t>
            </w:r>
            <w:r>
              <w:t xml:space="preserve">, </w:t>
            </w:r>
            <w:r>
              <w:rPr>
                <w:rFonts w:ascii="Consolas" w:cs="Consolas" w:eastAsia="Consolas" w:hAnsi="Consolas"/>
                <w:sz w:val="18"/>
                <w:szCs w:val="18"/>
              </w:rPr>
              <w:t xml:space="preserve">content_type</w:t>
            </w:r>
          </w:p>
        </w:tc>
        <w:tc>
          <w:tcPr>
            <w:tcW w:type="dxa" w:w="2021"/>
            <w:tcMar>
              <w:top w:type="dxa" w:w="60"/>
              <w:left w:type="dxa" w:w="90"/>
              <w:bottom w:type="dxa" w:w="60"/>
              <w:right w:type="dxa" w:w="90"/>
            </w:tcMar>
          </w:tcPr>
          <w:p>
            <w:pPr>
              <w:spacing w:after="0"/>
            </w:pPr>
            <w:r>
              <w:t xml:space="preserve">577</w:t>
            </w:r>
          </w:p>
        </w:tc>
        <w:tc>
          <w:tcPr>
            <w:tcW w:type="dxa" w:w="1783"/>
            <w:tcMar>
              <w:top w:type="dxa" w:w="60"/>
              <w:left w:type="dxa" w:w="90"/>
              <w:bottom w:type="dxa" w:w="60"/>
              <w:right w:type="dxa" w:w="90"/>
            </w:tcMar>
          </w:tcPr>
          <w:p>
            <w:pPr>
              <w:spacing w:after="0"/>
            </w:pPr>
            <w:r>
              <w:t xml:space="preserve">100.0 %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visual_tags</w:t>
            </w:r>
          </w:p>
        </w:tc>
        <w:tc>
          <w:tcPr>
            <w:tcW w:type="dxa" w:w="2021"/>
            <w:tcMar>
              <w:top w:type="dxa" w:w="60"/>
              <w:left w:type="dxa" w:w="90"/>
              <w:bottom w:type="dxa" w:w="60"/>
              <w:right w:type="dxa" w:w="90"/>
            </w:tcMar>
          </w:tcPr>
          <w:p>
            <w:pPr>
              <w:spacing w:after="0"/>
            </w:pPr>
            <w:r>
              <w:t xml:space="preserve">574</w:t>
            </w:r>
          </w:p>
        </w:tc>
        <w:tc>
          <w:tcPr>
            <w:tcW w:type="dxa" w:w="1783"/>
            <w:tcMar>
              <w:top w:type="dxa" w:w="60"/>
              <w:left w:type="dxa" w:w="90"/>
              <w:bottom w:type="dxa" w:w="60"/>
              <w:right w:type="dxa" w:w="90"/>
            </w:tcMar>
          </w:tcPr>
          <w:p>
            <w:pPr>
              <w:spacing w:after="0"/>
            </w:pPr>
            <w:r>
              <w:t xml:space="preserve">99.5 %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on_screen_text</w:t>
            </w:r>
          </w:p>
        </w:tc>
        <w:tc>
          <w:tcPr>
            <w:tcW w:type="dxa" w:w="2021"/>
            <w:tcMar>
              <w:top w:type="dxa" w:w="60"/>
              <w:left w:type="dxa" w:w="90"/>
              <w:bottom w:type="dxa" w:w="60"/>
              <w:right w:type="dxa" w:w="90"/>
            </w:tcMar>
          </w:tcPr>
          <w:p>
            <w:pPr>
              <w:spacing w:after="0"/>
            </w:pPr>
            <w:r>
              <w:t xml:space="preserve">418</w:t>
            </w:r>
          </w:p>
        </w:tc>
        <w:tc>
          <w:tcPr>
            <w:tcW w:type="dxa" w:w="1783"/>
            <w:tcMar>
              <w:top w:type="dxa" w:w="60"/>
              <w:left w:type="dxa" w:w="90"/>
              <w:bottom w:type="dxa" w:w="60"/>
              <w:right w:type="dxa" w:w="90"/>
            </w:tcMar>
          </w:tcPr>
          <w:p>
            <w:pPr>
              <w:spacing w:after="0"/>
            </w:pPr>
            <w:r>
              <w:t xml:space="preserve">72.4 %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geographical_location</w:t>
            </w:r>
          </w:p>
        </w:tc>
        <w:tc>
          <w:tcPr>
            <w:tcW w:type="dxa" w:w="2021"/>
            <w:tcMar>
              <w:top w:type="dxa" w:w="60"/>
              <w:left w:type="dxa" w:w="90"/>
              <w:bottom w:type="dxa" w:w="60"/>
              <w:right w:type="dxa" w:w="90"/>
            </w:tcMar>
          </w:tcPr>
          <w:p>
            <w:pPr>
              <w:spacing w:after="0"/>
            </w:pPr>
            <w:r>
              <w:t xml:space="preserve">225</w:t>
            </w:r>
          </w:p>
        </w:tc>
        <w:tc>
          <w:tcPr>
            <w:tcW w:type="dxa" w:w="1783"/>
            <w:tcMar>
              <w:top w:type="dxa" w:w="60"/>
              <w:left w:type="dxa" w:w="90"/>
              <w:bottom w:type="dxa" w:w="60"/>
              <w:right w:type="dxa" w:w="90"/>
            </w:tcMar>
          </w:tcPr>
          <w:p>
            <w:pPr>
              <w:spacing w:after="0"/>
            </w:pPr>
            <w:r>
              <w:t xml:space="preserve">39.0 %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uncertainty_notes</w:t>
            </w:r>
          </w:p>
        </w:tc>
        <w:tc>
          <w:tcPr>
            <w:tcW w:type="dxa" w:w="2021"/>
            <w:tcMar>
              <w:top w:type="dxa" w:w="60"/>
              <w:left w:type="dxa" w:w="90"/>
              <w:bottom w:type="dxa" w:w="60"/>
              <w:right w:type="dxa" w:w="90"/>
            </w:tcMar>
          </w:tcPr>
          <w:p>
            <w:pPr>
              <w:spacing w:after="0"/>
            </w:pPr>
            <w:r>
              <w:t xml:space="preserve">176</w:t>
            </w:r>
          </w:p>
        </w:tc>
        <w:tc>
          <w:tcPr>
            <w:tcW w:type="dxa" w:w="1783"/>
            <w:tcMar>
              <w:top w:type="dxa" w:w="60"/>
              <w:left w:type="dxa" w:w="90"/>
              <w:bottom w:type="dxa" w:w="60"/>
              <w:right w:type="dxa" w:w="90"/>
            </w:tcMar>
          </w:tcPr>
          <w:p>
            <w:pPr>
              <w:spacing w:after="0"/>
            </w:pPr>
            <w:r>
              <w:t xml:space="preserve">30.5 %</w:t>
            </w:r>
          </w:p>
        </w:tc>
      </w:tr>
    </w:tbl>
    <w:p>
      <w:pPr>
        <w:spacing w:after="160"/>
      </w:pPr>
    </w:p>
    <w:p>
      <w:pPr>
        <w:spacing w:after="140" w:line="276"/>
        <w:jc w:val="both"/>
      </w:pPr>
      <w:r>
        <w:t xml:space="preserve">The run is reported here for completeness and is </w:t>
      </w:r>
      <w:r>
        <w:rPr>
          <w:b/>
          <w:bCs/>
        </w:rPr>
        <w:t xml:space="preserve">excluded from every headline result</w:t>
      </w:r>
      <w:r>
        <w:t xml:space="preserve">, for three reasons. It confounds three variables at once — segmentation, annotator and schema (nine fields against the pipeline's five) — so it is not a segmentation ablation. It carries 10 % missing data with two distinct failure modes. And its </w:t>
      </w:r>
      <w:r>
        <w:rPr>
          <w:rFonts w:ascii="Consolas" w:cs="Consolas" w:eastAsia="Consolas" w:hAnsi="Consolas"/>
          <w:sz w:val="18"/>
          <w:szCs w:val="18"/>
        </w:rPr>
        <w:t xml:space="preserve">people_count_numeric</w:t>
      </w:r>
      <w:r>
        <w:t xml:space="preserve"> uses </w:t>
      </w:r>
      <w:r>
        <w:rPr>
          <w:rFonts w:ascii="Consolas" w:cs="Consolas" w:eastAsia="Consolas" w:hAnsi="Consolas"/>
          <w:sz w:val="18"/>
          <w:szCs w:val="18"/>
        </w:rPr>
        <w:t xml:space="preserve">-1</w:t>
      </w:r>
      <w:r>
        <w:t xml:space="preserve"> as an abstention sentinel for uncountable crowds in 173 of 577 scenes (30.0 %), which is not commensurable with the pipeline's numeric people-count field and cannot be folded into the 0.812 agreement figure.</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5"/>
        <w:gridCol w:w="3407"/>
        <w:gridCol w:w="3488"/>
      </w:tblGrid>
      <w:tr>
        <w:trPr>
          <w:tblHeader/>
        </w:trPr>
        <w:tc>
          <w:tcPr>
            <w:tcW w:type="dxa" w:w="2465"/>
            <w:shd w:fill="EFEFEF" w:color="auto" w:val="clear"/>
            <w:tcMar>
              <w:top w:type="dxa" w:w="60"/>
              <w:left w:type="dxa" w:w="90"/>
              <w:bottom w:type="dxa" w:w="60"/>
              <w:right w:type="dxa" w:w="90"/>
            </w:tcMar>
          </w:tcPr>
          <w:p>
            <w:pPr>
              <w:spacing w:after="0"/>
            </w:pPr>
            <w:r>
              <w:t xml:space="preserve"/>
            </w:r>
          </w:p>
        </w:tc>
        <w:tc>
          <w:tcPr>
            <w:tcW w:type="dxa" w:w="3407"/>
            <w:shd w:fill="EFEFEF" w:color="auto" w:val="clear"/>
            <w:tcMar>
              <w:top w:type="dxa" w:w="60"/>
              <w:left w:type="dxa" w:w="90"/>
              <w:bottom w:type="dxa" w:w="60"/>
              <w:right w:type="dxa" w:w="90"/>
            </w:tcMar>
          </w:tcPr>
          <w:p>
            <w:pPr>
              <w:spacing w:after="0"/>
            </w:pPr>
            <w:r>
              <w:rPr>
                <w:b/>
                <w:bCs/>
              </w:rPr>
              <w:t xml:space="preserve">Pipeline</w:t>
            </w:r>
          </w:p>
        </w:tc>
        <w:tc>
          <w:tcPr>
            <w:tcW w:type="dxa" w:w="3488"/>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2465"/>
            <w:tcMar>
              <w:top w:type="dxa" w:w="60"/>
              <w:left w:type="dxa" w:w="90"/>
              <w:bottom w:type="dxa" w:w="60"/>
              <w:right w:type="dxa" w:w="90"/>
            </w:tcMar>
          </w:tcPr>
          <w:p>
            <w:pPr>
              <w:spacing w:after="0"/>
            </w:pPr>
            <w:r>
              <w:t xml:space="preserve">Platform</w:t>
            </w:r>
          </w:p>
        </w:tc>
        <w:tc>
          <w:tcPr>
            <w:tcW w:type="dxa" w:w="3407"/>
            <w:tcMar>
              <w:top w:type="dxa" w:w="60"/>
              <w:left w:type="dxa" w:w="90"/>
              <w:bottom w:type="dxa" w:w="60"/>
              <w:right w:type="dxa" w:w="90"/>
            </w:tcMar>
          </w:tcPr>
          <w:p>
            <w:pPr>
              <w:spacing w:after="0"/>
            </w:pPr>
            <w:r>
              <w:t xml:space="preserve">Google Colab</w:t>
            </w:r>
          </w:p>
        </w:tc>
        <w:tc>
          <w:tcPr>
            <w:tcW w:type="dxa" w:w="3488"/>
            <w:tcMar>
              <w:top w:type="dxa" w:w="60"/>
              <w:left w:type="dxa" w:w="90"/>
              <w:bottom w:type="dxa" w:w="60"/>
              <w:right w:type="dxa" w:w="90"/>
            </w:tcMar>
          </w:tcPr>
          <w:p>
            <w:pPr>
              <w:spacing w:after="0"/>
            </w:pPr>
            <w:r>
              <w:t xml:space="preserve">Kelvin2 HPC (QUB)</w:t>
            </w:r>
          </w:p>
        </w:tc>
      </w:tr>
      <w:tr>
        <w:trPr>
          <w:tblHeader w:val="false"/>
        </w:trPr>
        <w:tc>
          <w:tcPr>
            <w:tcW w:type="dxa" w:w="2465"/>
            <w:tcMar>
              <w:top w:type="dxa" w:w="60"/>
              <w:left w:type="dxa" w:w="90"/>
              <w:bottom w:type="dxa" w:w="60"/>
              <w:right w:type="dxa" w:w="90"/>
            </w:tcMar>
          </w:tcPr>
          <w:p>
            <w:pPr>
              <w:spacing w:after="0"/>
            </w:pPr>
            <w:r>
              <w:t xml:space="preserve">GPU</w:t>
            </w:r>
          </w:p>
        </w:tc>
        <w:tc>
          <w:tcPr>
            <w:tcW w:type="dxa" w:w="3407"/>
            <w:tcMar>
              <w:top w:type="dxa" w:w="60"/>
              <w:left w:type="dxa" w:w="90"/>
              <w:bottom w:type="dxa" w:w="60"/>
              <w:right w:type="dxa" w:w="90"/>
            </w:tcMar>
          </w:tcPr>
          <w:p>
            <w:pPr>
              <w:spacing w:after="0"/>
            </w:pPr>
            <w:r>
              <w:t xml:space="preserve">NVIDIA A100-SXM4-40GB</w:t>
            </w:r>
          </w:p>
        </w:tc>
        <w:tc>
          <w:tcPr>
            <w:tcW w:type="dxa" w:w="3488"/>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2465"/>
            <w:tcMar>
              <w:top w:type="dxa" w:w="60"/>
              <w:left w:type="dxa" w:w="90"/>
              <w:bottom w:type="dxa" w:w="60"/>
              <w:right w:type="dxa" w:w="90"/>
            </w:tcMar>
          </w:tcPr>
          <w:p>
            <w:pPr>
              <w:spacing w:after="0"/>
            </w:pPr>
            <w:r>
              <w:t xml:space="preserve">CPUs</w:t>
            </w:r>
          </w:p>
        </w:tc>
        <w:tc>
          <w:tcPr>
            <w:tcW w:type="dxa" w:w="3407"/>
            <w:tcMar>
              <w:top w:type="dxa" w:w="60"/>
              <w:left w:type="dxa" w:w="90"/>
              <w:bottom w:type="dxa" w:w="60"/>
              <w:right w:type="dxa" w:w="90"/>
            </w:tcMar>
          </w:tcPr>
          <w:p>
            <w:pPr>
              <w:spacing w:after="0"/>
            </w:pPr>
            <w:r>
              <w:t xml:space="preserve">12</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Python</w:t>
            </w:r>
          </w:p>
        </w:tc>
        <w:tc>
          <w:tcPr>
            <w:tcW w:type="dxa" w:w="3407"/>
            <w:tcMar>
              <w:top w:type="dxa" w:w="60"/>
              <w:left w:type="dxa" w:w="90"/>
              <w:bottom w:type="dxa" w:w="60"/>
              <w:right w:type="dxa" w:w="90"/>
            </w:tcMar>
          </w:tcPr>
          <w:p>
            <w:pPr>
              <w:spacing w:after="0"/>
            </w:pPr>
            <w:r>
              <w:t xml:space="preserve">3.13.15</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PyTorch</w:t>
            </w:r>
          </w:p>
        </w:tc>
        <w:tc>
          <w:tcPr>
            <w:tcW w:type="dxa" w:w="3407"/>
            <w:tcMar>
              <w:top w:type="dxa" w:w="60"/>
              <w:left w:type="dxa" w:w="90"/>
              <w:bottom w:type="dxa" w:w="60"/>
              <w:right w:type="dxa" w:w="90"/>
            </w:tcMar>
          </w:tcPr>
          <w:p>
            <w:pPr>
              <w:spacing w:after="0"/>
            </w:pPr>
            <w:r>
              <w:t xml:space="preserve">2.11.0+cu128</w:t>
            </w:r>
          </w:p>
        </w:tc>
        <w:tc>
          <w:tcPr>
            <w:tcW w:type="dxa" w:w="3488"/>
            <w:tcMar>
              <w:top w:type="dxa" w:w="60"/>
              <w:left w:type="dxa" w:w="90"/>
              <w:bottom w:type="dxa" w:w="60"/>
              <w:right w:type="dxa" w:w="90"/>
            </w:tcMar>
          </w:tcPr>
          <w:p>
            <w:pPr>
              <w:spacing w:after="0"/>
            </w:pPr>
            <w:r>
              <w:t xml:space="preserve">2.7.1+cu118</w:t>
            </w:r>
          </w:p>
        </w:tc>
      </w:tr>
      <w:tr>
        <w:trPr>
          <w:tblHeader w:val="false"/>
        </w:trPr>
        <w:tc>
          <w:tcPr>
            <w:tcW w:type="dxa" w:w="2465"/>
            <w:tcMar>
              <w:top w:type="dxa" w:w="60"/>
              <w:left w:type="dxa" w:w="90"/>
              <w:bottom w:type="dxa" w:w="60"/>
              <w:right w:type="dxa" w:w="90"/>
            </w:tcMar>
          </w:tcPr>
          <w:p>
            <w:pPr>
              <w:spacing w:after="0"/>
            </w:pPr>
            <w:r>
              <w:t xml:space="preserve">Persistence</w:t>
            </w:r>
          </w:p>
        </w:tc>
        <w:tc>
          <w:tcPr>
            <w:tcW w:type="dxa" w:w="3407"/>
            <w:tcMar>
              <w:top w:type="dxa" w:w="60"/>
              <w:left w:type="dxa" w:w="90"/>
              <w:bottom w:type="dxa" w:w="60"/>
              <w:right w:type="dxa" w:w="90"/>
            </w:tcMar>
          </w:tcPr>
          <w:p>
            <w:pPr>
              <w:spacing w:after="0"/>
            </w:pPr>
            <w:r>
              <w:t xml:space="preserve">Google Drive</w:t>
            </w:r>
          </w:p>
        </w:tc>
        <w:tc>
          <w:tcPr>
            <w:tcW w:type="dxa" w:w="3488"/>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6"/>
        <w:gridCol w:w="3502"/>
        <w:gridCol w:w="3852"/>
      </w:tblGrid>
      <w:tr>
        <w:trPr>
          <w:tblHeader/>
        </w:trPr>
        <w:tc>
          <w:tcPr>
            <w:tcW w:type="dxa" w:w="2006"/>
            <w:shd w:fill="EFEFEF" w:color="auto" w:val="clear"/>
            <w:tcMar>
              <w:top w:type="dxa" w:w="60"/>
              <w:left w:type="dxa" w:w="90"/>
              <w:bottom w:type="dxa" w:w="60"/>
              <w:right w:type="dxa" w:w="90"/>
            </w:tcMar>
          </w:tcPr>
          <w:p>
            <w:pPr>
              <w:spacing w:after="0"/>
            </w:pPr>
            <w:r>
              <w:rPr>
                <w:b/>
                <w:bCs/>
              </w:rPr>
              <w:t xml:space="preserve">Role</w:t>
            </w:r>
          </w:p>
        </w:tc>
        <w:tc>
          <w:tcPr>
            <w:tcW w:type="dxa" w:w="3502"/>
            <w:shd w:fill="EFEFEF" w:color="auto" w:val="clear"/>
            <w:tcMar>
              <w:top w:type="dxa" w:w="60"/>
              <w:left w:type="dxa" w:w="90"/>
              <w:bottom w:type="dxa" w:w="60"/>
              <w:right w:type="dxa" w:w="90"/>
            </w:tcMar>
          </w:tcPr>
          <w:p>
            <w:pPr>
              <w:spacing w:after="0"/>
            </w:pPr>
            <w:r>
              <w:rPr>
                <w:b/>
                <w:bCs/>
              </w:rPr>
              <w:t xml:space="preserve">Model</w:t>
            </w:r>
          </w:p>
        </w:tc>
        <w:tc>
          <w:tcPr>
            <w:tcW w:type="dxa" w:w="3852"/>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2006"/>
            <w:tcMar>
              <w:top w:type="dxa" w:w="60"/>
              <w:left w:type="dxa" w:w="90"/>
              <w:bottom w:type="dxa" w:w="60"/>
              <w:right w:type="dxa" w:w="90"/>
            </w:tcMar>
          </w:tcPr>
          <w:p>
            <w:pPr>
              <w:spacing w:after="0"/>
            </w:pPr>
            <w:r>
              <w:t xml:space="preserve">ASR (primary)</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whisper-small</w:t>
            </w:r>
            <w:r>
              <w:t xml:space="preserve"> [6]</w:t>
            </w:r>
          </w:p>
        </w:tc>
        <w:tc>
          <w:tcPr>
            <w:tcW w:type="dxa" w:w="3852"/>
            <w:tcMar>
              <w:top w:type="dxa" w:w="60"/>
              <w:left w:type="dxa" w:w="90"/>
              <w:bottom w:type="dxa" w:w="60"/>
              <w:right w:type="dxa" w:w="90"/>
            </w:tcMar>
          </w:tcPr>
          <w:p>
            <w:pPr>
              <w:spacing w:after="0"/>
            </w:pPr>
            <w:r>
              <w:t xml:space="preserve">Also performs language ID</w:t>
            </w:r>
          </w:p>
        </w:tc>
      </w:tr>
      <w:tr>
        <w:trPr>
          <w:tblHeader w:val="false"/>
        </w:trPr>
        <w:tc>
          <w:tcPr>
            <w:tcW w:type="dxa" w:w="2006"/>
            <w:tcMar>
              <w:top w:type="dxa" w:w="60"/>
              <w:left w:type="dxa" w:w="90"/>
              <w:bottom w:type="dxa" w:w="60"/>
              <w:right w:type="dxa" w:w="90"/>
            </w:tcMar>
          </w:tcPr>
          <w:p>
            <w:pPr>
              <w:spacing w:after="0"/>
            </w:pPr>
            <w:r>
              <w:t xml:space="preserve">ASR (verifier)</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whisper-turbo</w:t>
            </w:r>
            <w:r>
              <w:t xml:space="preserve"> [6]</w:t>
            </w:r>
          </w:p>
        </w:tc>
        <w:tc>
          <w:tcPr>
            <w:tcW w:type="dxa" w:w="3852"/>
            <w:tcMar>
              <w:top w:type="dxa" w:w="60"/>
              <w:left w:type="dxa" w:w="90"/>
              <w:bottom w:type="dxa" w:w="60"/>
              <w:right w:type="dxa" w:w="90"/>
            </w:tcMar>
          </w:tcPr>
          <w:p>
            <w:pPr>
              <w:spacing w:after="0"/>
            </w:pPr>
            <w:r>
              <w:t xml:space="preserve">Deterministic output published</w:t>
            </w:r>
          </w:p>
        </w:tc>
      </w:tr>
      <w:tr>
        <w:trPr>
          <w:tblHeader w:val="false"/>
        </w:trPr>
        <w:tc>
          <w:tcPr>
            <w:tcW w:type="dxa" w:w="2006"/>
            <w:tcMar>
              <w:top w:type="dxa" w:w="60"/>
              <w:left w:type="dxa" w:w="90"/>
              <w:bottom w:type="dxa" w:w="60"/>
              <w:right w:type="dxa" w:w="90"/>
            </w:tcMar>
          </w:tcPr>
          <w:p>
            <w:pPr>
              <w:spacing w:after="0"/>
            </w:pPr>
            <w:r>
              <w:t xml:space="preserve">OCR</w:t>
            </w:r>
          </w:p>
        </w:tc>
        <w:tc>
          <w:tcPr>
            <w:tcW w:type="dxa" w:w="3502"/>
            <w:tcMar>
              <w:top w:type="dxa" w:w="60"/>
              <w:left w:type="dxa" w:w="90"/>
              <w:bottom w:type="dxa" w:w="60"/>
              <w:right w:type="dxa" w:w="90"/>
            </w:tcMar>
          </w:tcPr>
          <w:p>
            <w:pPr>
              <w:spacing w:after="0"/>
            </w:pPr>
            <w:r>
              <w:t xml:space="preserve">Tesseract [17]; EasyOCR [39]</w:t>
            </w:r>
          </w:p>
        </w:tc>
        <w:tc>
          <w:tcPr>
            <w:tcW w:type="dxa" w:w="3852"/>
            <w:tcMar>
              <w:top w:type="dxa" w:w="60"/>
              <w:left w:type="dxa" w:w="90"/>
              <w:bottom w:type="dxa" w:w="60"/>
              <w:right w:type="dxa" w:w="90"/>
            </w:tcMar>
          </w:tcPr>
          <w:p>
            <w:pPr>
              <w:spacing w:after="0"/>
            </w:pPr>
            <w:r>
              <w:t xml:space="preserve">Both required for publication</w:t>
            </w:r>
          </w:p>
        </w:tc>
      </w:tr>
      <w:tr>
        <w:trPr>
          <w:tblHeader w:val="false"/>
        </w:trPr>
        <w:tc>
          <w:tcPr>
            <w:tcW w:type="dxa" w:w="2006"/>
            <w:tcMar>
              <w:top w:type="dxa" w:w="60"/>
              <w:left w:type="dxa" w:w="90"/>
              <w:bottom w:type="dxa" w:w="60"/>
              <w:right w:type="dxa" w:w="90"/>
            </w:tcMar>
          </w:tcPr>
          <w:p>
            <w:pPr>
              <w:spacing w:after="0"/>
            </w:pPr>
            <w:r>
              <w:t xml:space="preserve">Visual tags (primary)</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r>
              <w:t xml:space="preserve"> [5]</w:t>
            </w:r>
          </w:p>
        </w:tc>
        <w:tc>
          <w:tcPr>
            <w:tcW w:type="dxa" w:w="3852"/>
            <w:tcMar>
              <w:top w:type="dxa" w:w="60"/>
              <w:left w:type="dxa" w:w="90"/>
              <w:bottom w:type="dxa" w:w="60"/>
              <w:right w:type="dxa" w:w="90"/>
            </w:tcMar>
          </w:tcPr>
          <w:p>
            <w:pPr>
              <w:spacing w:after="0"/>
            </w:pPr>
            <w:r>
              <w:t xml:space="preserve">34-label vocabulary</w:t>
            </w:r>
          </w:p>
        </w:tc>
      </w:tr>
      <w:tr>
        <w:trPr>
          <w:tblHeader w:val="false"/>
        </w:trPr>
        <w:tc>
          <w:tcPr>
            <w:tcW w:type="dxa" w:w="2006"/>
            <w:tcMar>
              <w:top w:type="dxa" w:w="60"/>
              <w:left w:type="dxa" w:w="90"/>
              <w:bottom w:type="dxa" w:w="60"/>
              <w:right w:type="dxa" w:w="90"/>
            </w:tcMar>
          </w:tcPr>
          <w:p>
            <w:pPr>
              <w:spacing w:after="0"/>
            </w:pPr>
            <w:r>
              <w:t xml:space="preserve">Visual tags (verifier)</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r>
              <w:t xml:space="preserve"> [5]</w:t>
            </w:r>
          </w:p>
        </w:tc>
        <w:tc>
          <w:tcPr>
            <w:tcW w:type="dxa" w:w="3852"/>
            <w:tcMar>
              <w:top w:type="dxa" w:w="60"/>
              <w:left w:type="dxa" w:w="90"/>
              <w:bottom w:type="dxa" w:w="60"/>
              <w:right w:type="dxa" w:w="90"/>
            </w:tcMar>
          </w:tcPr>
          <w:p>
            <w:pPr>
              <w:spacing w:after="0"/>
            </w:pPr>
            <w:r>
              <w:t xml:space="preserve">Prompt: "a photograph of {label}"</w:t>
            </w:r>
          </w:p>
        </w:tc>
      </w:tr>
      <w:tr>
        <w:trPr>
          <w:tblHeader w:val="false"/>
        </w:trPr>
        <w:tc>
          <w:tcPr>
            <w:tcW w:type="dxa" w:w="2006"/>
            <w:tcMar>
              <w:top w:type="dxa" w:w="60"/>
              <w:left w:type="dxa" w:w="90"/>
              <w:bottom w:type="dxa" w:w="60"/>
              <w:right w:type="dxa" w:w="90"/>
            </w:tcMar>
          </w:tcPr>
          <w:p>
            <w:pPr>
              <w:spacing w:after="0"/>
            </w:pPr>
            <w:r>
              <w:t xml:space="preserve">People count</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blip-vqa-base</w:t>
            </w:r>
            <w:r>
              <w:t xml:space="preserve"> [7]; </w:t>
            </w:r>
            <w:r>
              <w:rPr>
                <w:rFonts w:ascii="Consolas" w:cs="Consolas" w:eastAsia="Consolas" w:hAnsi="Consolas"/>
                <w:sz w:val="18"/>
                <w:szCs w:val="18"/>
              </w:rPr>
              <w:t xml:space="preserve">vilt-b32-finetuned-vqa</w:t>
            </w:r>
            <w:r>
              <w:t xml:space="preserve"> [8]; </w:t>
            </w:r>
            <w:r>
              <w:rPr>
                <w:rFonts w:ascii="Consolas" w:cs="Consolas" w:eastAsia="Consolas" w:hAnsi="Consolas"/>
                <w:sz w:val="18"/>
                <w:szCs w:val="18"/>
              </w:rPr>
              <w:t xml:space="preserve">detr-resnet-50</w:t>
            </w:r>
            <w:r>
              <w:t xml:space="preserve"> [9]</w:t>
            </w:r>
          </w:p>
        </w:tc>
        <w:tc>
          <w:tcPr>
            <w:tcW w:type="dxa" w:w="3852"/>
            <w:tcMar>
              <w:top w:type="dxa" w:w="60"/>
              <w:left w:type="dxa" w:w="90"/>
              <w:bottom w:type="dxa" w:w="60"/>
              <w:right w:type="dxa" w:w="90"/>
            </w:tcMar>
          </w:tcPr>
          <w:p>
            <w:pPr>
              <w:spacing w:after="0"/>
            </w:pPr>
            <w:r>
              <w:t xml:space="preserve">Three families</w:t>
            </w:r>
          </w:p>
        </w:tc>
      </w:tr>
      <w:tr>
        <w:trPr>
          <w:tblHeader w:val="false"/>
        </w:trPr>
        <w:tc>
          <w:tcPr>
            <w:tcW w:type="dxa" w:w="2006"/>
            <w:tcMar>
              <w:top w:type="dxa" w:w="60"/>
              <w:left w:type="dxa" w:w="90"/>
              <w:bottom w:type="dxa" w:w="60"/>
              <w:right w:type="dxa" w:w="90"/>
            </w:tcMar>
          </w:tcPr>
          <w:p>
            <w:pPr>
              <w:spacing w:after="0"/>
            </w:pPr>
            <w:r>
              <w:t xml:space="preserve">Keywords</w:t>
            </w:r>
          </w:p>
        </w:tc>
        <w:tc>
          <w:tcPr>
            <w:tcW w:type="dxa" w:w="3502"/>
            <w:tcMar>
              <w:top w:type="dxa" w:w="60"/>
              <w:left w:type="dxa" w:w="90"/>
              <w:bottom w:type="dxa" w:w="60"/>
              <w:right w:type="dxa" w:w="90"/>
            </w:tcMar>
          </w:tcPr>
          <w:p>
            <w:pPr>
              <w:spacing w:after="0"/>
            </w:pPr>
            <w:r>
              <w:t xml:space="preserve">KeyBERT [20] (</w:t>
            </w:r>
            <w:r>
              <w:rPr>
                <w:rFonts w:ascii="Consolas" w:cs="Consolas" w:eastAsia="Consolas" w:hAnsi="Consolas"/>
                <w:sz w:val="18"/>
                <w:szCs w:val="18"/>
              </w:rPr>
              <w:t xml:space="preserve">all-MiniLM-L6-v2</w:t>
            </w:r>
            <w:r>
              <w:t xml:space="preserve"> [18]); YAKE [19]; TF-IDF</w:t>
            </w:r>
          </w:p>
        </w:tc>
        <w:tc>
          <w:tcPr>
            <w:tcW w:type="dxa" w:w="3852"/>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2006"/>
            <w:tcMar>
              <w:top w:type="dxa" w:w="60"/>
              <w:left w:type="dxa" w:w="90"/>
              <w:bottom w:type="dxa" w:w="60"/>
              <w:right w:type="dxa" w:w="90"/>
            </w:tcMar>
          </w:tcPr>
          <w:p>
            <w:pPr>
              <w:spacing w:after="0"/>
            </w:pPr>
            <w:r>
              <w:t xml:space="preserve">Hosted annotator</w:t>
            </w:r>
          </w:p>
        </w:tc>
        <w:tc>
          <w:tcPr>
            <w:tcW w:type="dxa" w:w="3502"/>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852"/>
            <w:tcMar>
              <w:top w:type="dxa" w:w="60"/>
              <w:left w:type="dxa" w:w="90"/>
              <w:bottom w:type="dxa" w:w="60"/>
              <w:right w:type="dxa" w:w="90"/>
            </w:tcMar>
          </w:tcPr>
          <w:p>
            <w:pPr>
              <w:spacing w:after="0"/>
            </w:pPr>
            <w:r>
              <w:t xml:space="preserve">Optional; ≤ 5 frames; one family vote</w:t>
            </w:r>
          </w:p>
        </w:tc>
      </w:tr>
      <w:tr>
        <w:trPr>
          <w:tblHeader w:val="false"/>
        </w:trPr>
        <w:tc>
          <w:tcPr>
            <w:tcW w:type="dxa" w:w="2006"/>
            <w:tcMar>
              <w:top w:type="dxa" w:w="60"/>
              <w:left w:type="dxa" w:w="90"/>
              <w:bottom w:type="dxa" w:w="60"/>
              <w:right w:type="dxa" w:w="90"/>
            </w:tcMar>
          </w:tcPr>
          <w:p>
            <w:pPr>
              <w:spacing w:after="0"/>
            </w:pPr>
            <w:r>
              <w:t xml:space="preserve">Benchmark</w:t>
            </w:r>
          </w:p>
        </w:tc>
        <w:tc>
          <w:tcPr>
            <w:tcW w:type="dxa" w:w="3502"/>
            <w:tcMar>
              <w:top w:type="dxa" w:w="60"/>
              <w:left w:type="dxa" w:w="90"/>
              <w:bottom w:type="dxa" w:w="60"/>
              <w:right w:type="dxa" w:w="90"/>
            </w:tcMar>
          </w:tcPr>
          <w:p>
            <w:pPr>
              <w:spacing w:after="0"/>
            </w:pPr>
            <w:r>
              <w:t xml:space="preserve">Qwen3-VL [12] 2B/4B/8B (Instruct, Thinking); InternVL3 [13] -2B/-8B</w:t>
            </w:r>
          </w:p>
        </w:tc>
        <w:tc>
          <w:tcPr>
            <w:tcW w:type="dxa" w:w="3852"/>
            <w:tcMar>
              <w:top w:type="dxa" w:w="60"/>
              <w:left w:type="dxa" w:w="90"/>
              <w:bottom w:type="dxa" w:w="60"/>
              <w:right w:type="dxa" w:w="90"/>
            </w:tcMar>
          </w:tcPr>
          <w:p>
            <w:pPr>
              <w:spacing w:after="0"/>
            </w:pPr>
            <w:r>
              <w:t xml:space="preserve">8B models int4, loaded through the Transformers image-text-to-text interface [23]</w:t>
            </w:r>
          </w:p>
        </w:tc>
      </w:tr>
    </w:tbl>
    <w:p>
      <w:pPr>
        <w:spacing w:after="160"/>
      </w:pPr>
    </w:p>
    <w:p>
      <w:pPr>
        <w:spacing w:after="140" w:line="276"/>
        <w:jc w:val="both"/>
      </w:pPr>
      <w:r>
        <w:t xml:space="preserve">Scene detection uses PySceneDetect [15]; the benchmark's free-text fields are scored with ROUGE-L recall [16]. A video-native model such as PPLLaVA [22], run through the video-text-to-text interface [24], would remove the fixed frame budget discussed in §4.4, and metadata-aware retrieval work [21] motivates publishing per-field structure rather than a flat caption.</w:t>
      </w: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Low-bit inference is well characterised for transformers [31], but it is not lossless, and the benchmark's 8B rows inherit that.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low-rank adaptation [32],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 The measured cost of that trade is in §3.8: 72.2 % of published clips span at least one shot cut, so the stability was bought at the price of a one-shot-per-clip assumption that mostly does not hold.</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adequately powered ablations; speaker attribution; model-level provenance for the correlated-source audit; the fine-tuning the notebook's rules cell describes.</w:t>
      </w:r>
    </w:p>
    <w:p>
      <w:pPr>
        <w:spacing w:after="140" w:line="276"/>
        <w:jc w:val="both"/>
      </w:pPr>
      <w:r>
        <w:t xml:space="preserve">Sub-clip temporal localisation belongs on a separate line, because it is nearer than it looks. Forced alignment at word level, as in WhisperX [36], would sharpen it further and supplies the diarisation the transcript field currently lacks; shot-boundary detection could likewise move from the adaptive detector used here to a learned one such as TransNet V2 [35].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w:t>
      </w:r>
    </w:p>
    <w:p>
      <w:pPr>
        <w:spacing w:after="140" w:line="276"/>
        <w:jc w:val="both"/>
      </w:pPr>
      <w:r>
        <w:rPr>
          <w:b/>
          <w:bCs/>
        </w:rPr>
        <w:t xml:space="preserve">Tag frequency across the 626 clips confirms the vocabulary is badly balanced for this corpus.</w:t>
      </w:r>
      <w:r>
        <w:t xml:space="preserve"> Three labels fire on the majority of clips — </w:t>
      </w:r>
      <w:r>
        <w:rPr>
          <w:rFonts w:ascii="Consolas" w:cs="Consolas" w:eastAsia="Consolas" w:hAnsi="Consolas"/>
          <w:sz w:val="18"/>
          <w:szCs w:val="18"/>
        </w:rPr>
        <w:t xml:space="preserve">person speaking</w:t>
      </w:r>
      <w:r>
        <w:t xml:space="preserve"> 94.9%, </w:t>
      </w:r>
      <w:r>
        <w:rPr>
          <w:rFonts w:ascii="Consolas" w:cs="Consolas" w:eastAsia="Consolas" w:hAnsi="Consolas"/>
          <w:sz w:val="18"/>
          <w:szCs w:val="18"/>
        </w:rPr>
        <w:t xml:space="preserve">interview</w:t>
      </w:r>
      <w:r>
        <w:t xml:space="preserve"> 85.8%, </w:t>
      </w:r>
      <w:r>
        <w:rPr>
          <w:rFonts w:ascii="Consolas" w:cs="Consolas" w:eastAsia="Consolas" w:hAnsi="Consolas"/>
          <w:sz w:val="18"/>
          <w:szCs w:val="18"/>
        </w:rPr>
        <w:t xml:space="preserve">reporter</w:t>
      </w:r>
      <w:r>
        <w:t xml:space="preserve"> 63.4% — and therefore carry almost no discriminative information: knowing that a clip is tagged </w:t>
      </w:r>
      <w:r>
        <w:rPr>
          <w:rFonts w:ascii="Consolas" w:cs="Consolas" w:eastAsia="Consolas" w:hAnsi="Consolas"/>
          <w:sz w:val="18"/>
          <w:szCs w:val="18"/>
        </w:rPr>
        <w:t xml:space="preserve">person speaking</w:t>
      </w:r>
      <w:r>
        <w:t xml:space="preserve"> excludes almost nothing. At the other end, </w:t>
      </w:r>
      <w:r>
        <w:rPr>
          <w:b/>
          <w:bCs/>
        </w:rPr>
        <w:t xml:space="preserve">two of the 34 labels never fire at all</w:t>
      </w:r>
      <w:r>
        <w:t xml:space="preserve"> (</w:t>
      </w:r>
      <w:r>
        <w:rPr>
          <w:rFonts w:ascii="Consolas" w:cs="Consolas" w:eastAsia="Consolas" w:hAnsi="Consolas"/>
          <w:sz w:val="18"/>
          <w:szCs w:val="18"/>
        </w:rPr>
        <w:t xml:space="preserve">landscape</w:t>
      </w:r>
      <w:r>
        <w:t xml:space="preserve"> and </w:t>
      </w:r>
      <w:r>
        <w:rPr>
          <w:rFonts w:ascii="Consolas" w:cs="Consolas" w:eastAsia="Consolas" w:hAnsi="Consolas"/>
          <w:sz w:val="18"/>
          <w:szCs w:val="18"/>
        </w:rPr>
        <w:t xml:space="preserve">rural countryside</w:t>
      </w:r>
      <w:r>
        <w:t xml:space="preserve"> — plausible for Northern Ireland in general, absent from this urban, civic-events corpus), and eight more fire on under 1.5% of clips: </w:t>
      </w:r>
      <w:r>
        <w:rPr>
          <w:rFonts w:ascii="Consolas" w:cs="Consolas" w:eastAsia="Consolas" w:hAnsi="Consolas"/>
          <w:sz w:val="18"/>
          <w:szCs w:val="18"/>
        </w:rPr>
        <w:t xml:space="preserve">public meeting</w:t>
      </w:r>
      <w:r>
        <w:t xml:space="preserve"> 1.3%, </w:t>
      </w:r>
      <w:r>
        <w:rPr>
          <w:rFonts w:ascii="Consolas" w:cs="Consolas" w:eastAsia="Consolas" w:hAnsi="Consolas"/>
          <w:sz w:val="18"/>
          <w:szCs w:val="18"/>
        </w:rPr>
        <w:t xml:space="preserve">police</w:t>
      </w:r>
      <w:r>
        <w:t xml:space="preserve"> 1.1%, </w:t>
      </w:r>
      <w:r>
        <w:rPr>
          <w:rFonts w:ascii="Consolas" w:cs="Consolas" w:eastAsia="Consolas" w:hAnsi="Consolas"/>
          <w:sz w:val="18"/>
          <w:szCs w:val="18"/>
        </w:rPr>
        <w:t xml:space="preserve">road</w:t>
      </w:r>
      <w:r>
        <w:t xml:space="preserve"> 1.0%, </w:t>
      </w:r>
      <w:r>
        <w:rPr>
          <w:rFonts w:ascii="Consolas" w:cs="Consolas" w:eastAsia="Consolas" w:hAnsi="Consolas"/>
          <w:sz w:val="18"/>
          <w:szCs w:val="18"/>
        </w:rPr>
        <w:t xml:space="preserve">stage</w:t>
      </w:r>
      <w:r>
        <w:t xml:space="preserve"> 0.6%, </w:t>
      </w:r>
      <w:r>
        <w:rPr>
          <w:rFonts w:ascii="Consolas" w:cs="Consolas" w:eastAsia="Consolas" w:hAnsi="Consolas"/>
          <w:sz w:val="18"/>
          <w:szCs w:val="18"/>
        </w:rPr>
        <w:t xml:space="preserve">office</w:t>
      </w:r>
      <w:r>
        <w:t xml:space="preserve"> 0.6%, </w:t>
      </w:r>
      <w:r>
        <w:rPr>
          <w:rFonts w:ascii="Consolas" w:cs="Consolas" w:eastAsia="Consolas" w:hAnsi="Consolas"/>
          <w:sz w:val="18"/>
          <w:szCs w:val="18"/>
        </w:rPr>
        <w:t xml:space="preserve">firefighter</w:t>
      </w:r>
      <w:r>
        <w:t xml:space="preserve"> 0.5%, </w:t>
      </w:r>
      <w:r>
        <w:rPr>
          <w:rFonts w:ascii="Consolas" w:cs="Consolas" w:eastAsia="Consolas" w:hAnsi="Consolas"/>
          <w:sz w:val="18"/>
          <w:szCs w:val="18"/>
        </w:rPr>
        <w:t xml:space="preserve">fire engine</w:t>
      </w:r>
      <w:r>
        <w:t xml:space="preserve"> 0.2%, </w:t>
      </w:r>
      <w:r>
        <w:rPr>
          <w:rFonts w:ascii="Consolas" w:cs="Consolas" w:eastAsia="Consolas" w:hAnsi="Consolas"/>
          <w:sz w:val="18"/>
          <w:szCs w:val="18"/>
        </w:rPr>
        <w:t xml:space="preserve">hospital</w:t>
      </w:r>
      <w:r>
        <w:t xml:space="preserve"> 0.2%. The effective vocabulary is roughly a dozen labels, not 34.</w:t>
      </w:r>
    </w:p>
    <w:p>
      <w:pPr>
        <w:spacing w:after="140" w:line="276"/>
        <w:jc w:val="both"/>
      </w:pPr>
      <w:r>
        <w:t xml:space="preserve">Three consequences follow. It inflates the benchmark's multi-label accuracy column (§4.4), because a model predicting only the three common labels already matches most of the reference. It shows the vocabulary was authored against an imagined corpus rather than this one — </w:t>
      </w:r>
      <w:r>
        <w:rPr>
          <w:rFonts w:ascii="Consolas" w:cs="Consolas" w:eastAsia="Consolas" w:hAnsi="Consolas"/>
          <w:sz w:val="18"/>
          <w:szCs w:val="18"/>
        </w:rPr>
        <w:t xml:space="preserve">fire engine</w:t>
      </w:r>
      <w:r>
        <w:t xml:space="preserve"> and </w:t>
      </w:r>
      <w:r>
        <w:rPr>
          <w:rFonts w:ascii="Consolas" w:cs="Consolas" w:eastAsia="Consolas" w:hAnsi="Consolas"/>
          <w:sz w:val="18"/>
          <w:szCs w:val="18"/>
        </w:rPr>
        <w:t xml:space="preserve">hospital</w:t>
      </w:r>
      <w:r>
        <w:t xml:space="preserve"> earn their places from a single clip each. And a label that never fires can never be wrong, so the vocabulary's apparent breadth overstates what the catalogue can actually express.</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This is a measured effect, not a supposition: commercial ASR systems have been shown to roughly double their word error rate for speakers of African American Vernacular English relative to white speakers [25], and the mechanism — under-representation in training audio — applies equally to regional accents outside the training distribution.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This failure mode is documented: roughly 1% of Whisper transcriptions contain entire hallucinated phrases absent from the audio, and a substantial share of those carry explicit harms [26]. Here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this measurement was attempted and the probe failed. Reading `asr["language"]` from the prediction cache returned a label for only 3 of 626 clips, all `en`, so language is not populated at clip level in the stored records. The Welsh-looking tokens are demonstrably present in the keyword field, so the right probe is lexical rather than metadata-based: scan the transcript and keyword strings of all 626 clips for tokens absent from an English lexicon and report the clip count. Until that runs, §6.3 rests on the single worked example in Appendix E.2 and must be phrased as resting on it.]`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rPr>
        <w:t xml:space="preserve">Tool used.</w:t>
      </w:r>
      <w:r>
        <w:t xml:space="preserve"> Anthropic's Claude, accessed through Claude Code, was the only generative AI assistant used in preparing this project. No other AI writing, coding or research tool contributed to any part of the work.</w:t>
      </w:r>
    </w:p>
    <w:p>
      <w:pPr>
        <w:spacing w:after="140" w:line="276"/>
        <w:jc w:val="both"/>
      </w:pPr>
      <w:r>
        <w:rPr>
          <w:b/>
          <w:bCs/>
        </w:rPr>
        <w:t xml:space="preserve">A distinction that matters here.</w:t>
      </w:r>
      <w:r>
        <w:t xml:space="preserve"> This project </w:t>
      </w:r>
      <w:r>
        <w:rPr>
          <w:i/>
          <w:iCs/>
        </w:rPr>
        <w:t xml:space="preserve">studies</w:t>
      </w:r>
      <w:r>
        <w:t xml:space="preserve"> foundation models, so two different things could be meant by "AI was used". The models named throughout these documents — Whisper, CLIP, BLIP, ViLT, DETR, KeyBERT, Qwen3-VL, InternVL3 and the hosted Gemini annotator — are the </w:t>
      </w:r>
      <w:r>
        <w:rPr>
          <w:b/>
          <w:bCs/>
        </w:rPr>
        <w:t xml:space="preserve">object of study</w:t>
      </w:r>
      <w:r>
        <w:t xml:space="preserve">: components of the system under test, specified, configured, run and evaluated by the author, and documented in §4.3 and the paper's §III. They are not authoring aids. The declaration below concerns only Claude, which was used as an assistant in building and writing up the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0"/>
        <w:gridCol w:w="5510"/>
      </w:tblGrid>
      <w:tr>
        <w:trPr>
          <w:tblHeader/>
        </w:trPr>
        <w:tc>
          <w:tcPr>
            <w:tcW w:type="dxa" w:w="3850"/>
            <w:shd w:fill="EFEFEF" w:color="auto" w:val="clear"/>
            <w:tcMar>
              <w:top w:type="dxa" w:w="60"/>
              <w:left w:type="dxa" w:w="90"/>
              <w:bottom w:type="dxa" w:w="60"/>
              <w:right w:type="dxa" w:w="90"/>
            </w:tcMar>
          </w:tcPr>
          <w:p>
            <w:pPr>
              <w:spacing w:after="0"/>
            </w:pPr>
            <w:r>
              <w:rPr>
                <w:b/>
                <w:bCs/>
              </w:rPr>
              <w:t xml:space="preserve">Activity</w:t>
            </w:r>
          </w:p>
        </w:tc>
        <w:tc>
          <w:tcPr>
            <w:tcW w:type="dxa" w:w="5510"/>
            <w:shd w:fill="EFEFEF" w:color="auto" w:val="clear"/>
            <w:tcMar>
              <w:top w:type="dxa" w:w="60"/>
              <w:left w:type="dxa" w:w="90"/>
              <w:bottom w:type="dxa" w:w="60"/>
              <w:right w:type="dxa" w:w="90"/>
            </w:tcMar>
          </w:tcPr>
          <w:p>
            <w:pPr>
              <w:spacing w:after="0"/>
            </w:pPr>
            <w:r>
              <w:rPr>
                <w:b/>
                <w:bCs/>
              </w:rPr>
              <w:t xml:space="preserve">Extent of AI assistance</w:t>
            </w:r>
          </w:p>
        </w:tc>
      </w:tr>
      <w:tr>
        <w:trPr>
          <w:tblHeader w:val="false"/>
        </w:trPr>
        <w:tc>
          <w:tcPr>
            <w:tcW w:type="dxa" w:w="3850"/>
            <w:tcMar>
              <w:top w:type="dxa" w:w="60"/>
              <w:left w:type="dxa" w:w="90"/>
              <w:bottom w:type="dxa" w:w="60"/>
              <w:right w:type="dxa" w:w="90"/>
            </w:tcMar>
          </w:tcPr>
          <w:p>
            <w:pPr>
              <w:spacing w:after="0"/>
            </w:pPr>
            <w:r>
              <w:t xml:space="preserve">Research questions and experimental design</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Pipeline design and implementation (</w:t>
            </w:r>
            <w:r>
              <w:rPr>
                <w:rFonts w:ascii="Consolas" w:cs="Consolas" w:eastAsia="Consolas" w:hAnsi="Consolas"/>
                <w:sz w:val="18"/>
                <w:szCs w:val="18"/>
              </w:rPr>
              <w:t xml:space="preserve">01_metadata_pipeline.ipynb</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VLM benchmark design and implementation (</w:t>
            </w:r>
            <w:r>
              <w:rPr>
                <w:rFonts w:ascii="Consolas" w:cs="Consolas" w:eastAsia="Consolas" w:hAnsi="Consolas"/>
                <w:sz w:val="18"/>
                <w:szCs w:val="18"/>
              </w:rPr>
              <w:t xml:space="preserve">02</w:t>
            </w:r>
            <w:r>
              <w:t xml:space="preserve">, </w:t>
            </w:r>
            <w:r>
              <w:rPr>
                <w:rFonts w:ascii="Consolas" w:cs="Consolas" w:eastAsia="Consolas" w:hAnsi="Consolas"/>
                <w:sz w:val="18"/>
                <w:szCs w:val="18"/>
              </w:rPr>
              <w:t xml:space="preserve">03</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Execution on Colab and Kelvin2, and all resulting data</w:t>
            </w:r>
          </w:p>
        </w:tc>
        <w:tc>
          <w:tcPr>
            <w:tcW w:type="dxa" w:w="5510"/>
            <w:tcMar>
              <w:top w:type="dxa" w:w="60"/>
              <w:left w:type="dxa" w:w="90"/>
              <w:bottom w:type="dxa" w:w="60"/>
              <w:right w:type="dxa" w:w="90"/>
            </w:tcMar>
          </w:tcPr>
          <w:p>
            <w:pPr>
              <w:spacing w:after="0"/>
            </w:pPr>
            <w:r>
              <w:rPr>
                <w:b/>
                <w:bCs/>
              </w:rPr>
              <w:t xml:space="preserve">None.</w:t>
            </w:r>
            <w:r>
              <w:t xml:space="preserve"> Run by the author.</w:t>
            </w:r>
          </w:p>
        </w:tc>
      </w:tr>
      <w:tr>
        <w:trPr>
          <w:tblHeader w:val="false"/>
        </w:trPr>
        <w:tc>
          <w:tcPr>
            <w:tcW w:type="dxa" w:w="3850"/>
            <w:tcMar>
              <w:top w:type="dxa" w:w="60"/>
              <w:left w:type="dxa" w:w="90"/>
              <w:bottom w:type="dxa" w:w="60"/>
              <w:right w:type="dxa" w:w="90"/>
            </w:tcMar>
          </w:tcPr>
          <w:p>
            <w:pPr>
              <w:spacing w:after="0"/>
            </w:pPr>
            <w:r>
              <w:t xml:space="preserve">Scene detection and hosted-annotator scripts</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Post-hoc analysis scripts (</w:t>
            </w:r>
            <w:r>
              <w:rPr>
                <w:rFonts w:ascii="Consolas" w:cs="Consolas" w:eastAsia="Consolas" w:hAnsi="Consolas"/>
                <w:sz w:val="18"/>
                <w:szCs w:val="18"/>
              </w:rPr>
              <w:t xml:space="preserve">scripts/</w:t>
            </w:r>
            <w:r>
              <w:t xml:space="preserve">)</w:t>
            </w:r>
          </w:p>
        </w:tc>
        <w:tc>
          <w:tcPr>
            <w:tcW w:type="dxa" w:w="5510"/>
            <w:tcMar>
              <w:top w:type="dxa" w:w="60"/>
              <w:left w:type="dxa" w:w="90"/>
              <w:bottom w:type="dxa" w:w="60"/>
              <w:right w:type="dxa" w:w="90"/>
            </w:tcMar>
          </w:tcPr>
          <w:p>
            <w:pPr>
              <w:spacing w:after="0"/>
            </w:pPr>
            <w:r>
              <w:t xml:space="preserve">Drafted with Claude to the author's specification. Every figure they produce was re-run and checked by the author.</w:t>
            </w:r>
          </w:p>
        </w:tc>
      </w:tr>
      <w:tr>
        <w:trPr>
          <w:tblHeader w:val="false"/>
        </w:trPr>
        <w:tc>
          <w:tcPr>
            <w:tcW w:type="dxa" w:w="3850"/>
            <w:tcMar>
              <w:top w:type="dxa" w:w="60"/>
              <w:left w:type="dxa" w:w="90"/>
              <w:bottom w:type="dxa" w:w="60"/>
              <w:right w:type="dxa" w:w="90"/>
            </w:tcMar>
          </w:tcPr>
          <w:p>
            <w:pPr>
              <w:spacing w:after="0"/>
            </w:pPr>
            <w:r>
              <w:t xml:space="preserve">Document build tooling (</w:t>
            </w:r>
            <w:r>
              <w:rPr>
                <w:rFonts w:ascii="Consolas" w:cs="Consolas" w:eastAsia="Consolas" w:hAnsi="Consolas"/>
                <w:sz w:val="18"/>
                <w:szCs w:val="18"/>
              </w:rPr>
              <w:t xml:space="preserve">docs/build/</w:t>
            </w:r>
            <w:r>
              <w:t xml:space="preserve">)</w:t>
            </w:r>
          </w:p>
        </w:tc>
        <w:tc>
          <w:tcPr>
            <w:tcW w:type="dxa" w:w="5510"/>
            <w:tcMar>
              <w:top w:type="dxa" w:w="60"/>
              <w:left w:type="dxa" w:w="90"/>
              <w:bottom w:type="dxa" w:w="60"/>
              <w:right w:type="dxa" w:w="90"/>
            </w:tcMar>
          </w:tcPr>
          <w:p>
            <w:pPr>
              <w:spacing w:after="0"/>
            </w:pPr>
            <w:r>
              <w:t xml:space="preserve">Drafted with Claude. Affects formatting only; it carries no content and computes no result.</w:t>
            </w:r>
          </w:p>
        </w:tc>
      </w:tr>
      <w:tr>
        <w:trPr>
          <w:tblHeader w:val="false"/>
        </w:trPr>
        <w:tc>
          <w:tcPr>
            <w:tcW w:type="dxa" w:w="3850"/>
            <w:tcMar>
              <w:top w:type="dxa" w:w="60"/>
              <w:left w:type="dxa" w:w="90"/>
              <w:bottom w:type="dxa" w:w="60"/>
              <w:right w:type="dxa" w:w="90"/>
            </w:tcMar>
          </w:tcPr>
          <w:p>
            <w:pPr>
              <w:spacing w:after="0"/>
            </w:pPr>
            <w:r>
              <w:t xml:space="preserve">Prose of the conference paper and this report</w:t>
            </w:r>
          </w:p>
        </w:tc>
        <w:tc>
          <w:tcPr>
            <w:tcW w:type="dxa" w:w="5510"/>
            <w:tcMar>
              <w:top w:type="dxa" w:w="60"/>
              <w:left w:type="dxa" w:w="90"/>
              <w:bottom w:type="dxa" w:w="60"/>
              <w:right w:type="dxa" w:w="90"/>
            </w:tcMar>
          </w:tcPr>
          <w:p>
            <w:pPr>
              <w:spacing w:after="0"/>
            </w:pPr>
            <w:r>
              <w:t xml:space="preserve">Drafted with Claude from the author's notebooks, executed outputs and written direction, then revised and verified by the author.</w:t>
            </w:r>
          </w:p>
        </w:tc>
      </w:tr>
      <w:tr>
        <w:trPr>
          <w:tblHeader w:val="false"/>
        </w:trPr>
        <w:tc>
          <w:tcPr>
            <w:tcW w:type="dxa" w:w="3850"/>
            <w:tcMar>
              <w:top w:type="dxa" w:w="60"/>
              <w:left w:type="dxa" w:w="90"/>
              <w:bottom w:type="dxa" w:w="60"/>
              <w:right w:type="dxa" w:w="90"/>
            </w:tcMar>
          </w:tcPr>
          <w:p>
            <w:pPr>
              <w:spacing w:after="0"/>
            </w:pPr>
            <w:r>
              <w:t xml:space="preserve">Reference list</w:t>
            </w:r>
          </w:p>
        </w:tc>
        <w:tc>
          <w:tcPr>
            <w:tcW w:type="dxa" w:w="5510"/>
            <w:tcMar>
              <w:top w:type="dxa" w:w="60"/>
              <w:left w:type="dxa" w:w="90"/>
              <w:bottom w:type="dxa" w:w="60"/>
              <w:right w:type="dxa" w:w="90"/>
            </w:tcMar>
          </w:tcPr>
          <w:p>
            <w:pPr>
              <w:spacing w:after="0"/>
            </w:pPr>
            <w:r>
              <w:t xml:space="preserve">Formatting and bibliographic lookup assisted. Each entry was checked by the author against the published source.</w:t>
            </w:r>
          </w:p>
        </w:tc>
      </w:tr>
      <w:tr>
        <w:trPr>
          <w:tblHeader w:val="false"/>
        </w:trPr>
        <w:tc>
          <w:tcPr>
            <w:tcW w:type="dxa" w:w="3850"/>
            <w:tcMar>
              <w:top w:type="dxa" w:w="60"/>
              <w:left w:type="dxa" w:w="90"/>
              <w:bottom w:type="dxa" w:w="60"/>
              <w:right w:type="dxa" w:w="90"/>
            </w:tcMar>
          </w:tcPr>
          <w:p>
            <w:pPr>
              <w:spacing w:after="0"/>
            </w:pPr>
            <w:r>
              <w:t xml:space="preserve">Debugging</w:t>
            </w:r>
          </w:p>
        </w:tc>
        <w:tc>
          <w:tcPr>
            <w:tcW w:type="dxa" w:w="5510"/>
            <w:tcMar>
              <w:top w:type="dxa" w:w="60"/>
              <w:left w:type="dxa" w:w="90"/>
              <w:bottom w:type="dxa" w:w="60"/>
              <w:right w:type="dxa" w:w="90"/>
            </w:tcMar>
          </w:tcPr>
          <w:p>
            <w:pPr>
              <w:spacing w:after="0"/>
            </w:pPr>
            <w:r>
              <w:t xml:space="preserve">Used conversationally throughout, as a reference and a second reader.</w:t>
            </w:r>
          </w:p>
        </w:tc>
      </w:tr>
    </w:tbl>
    <w:p>
      <w:pPr>
        <w:spacing w:after="160"/>
      </w:pPr>
    </w:p>
    <w:p>
      <w:pPr>
        <w:spacing w:after="140" w:line="276"/>
        <w:jc w:val="both"/>
      </w:pPr>
      <w:r>
        <w:rPr>
          <w:b/>
          <w:bCs/>
        </w:rPr>
        <w:t xml:space="preserve">Verification.</w:t>
      </w:r>
      <w:r>
        <w:t xml:space="preserve"> Every quantitative claim in both documents traces to an executed notebook cell or to a script committed to the repository, and the author has checked each figure against its source output. Figures that could not be verified against an artefact are marked </w:t>
      </w:r>
      <w:r>
        <w:rPr>
          <w:b/>
          <w:bCs/>
          <w:highlight w:val="yellow"/>
          <w:highlightCs w:val="yellow"/>
        </w:rPr>
        <w:t xml:space="preserve">`[TO FILL]`</w:t>
      </w:r>
      <w:r>
        <w:t xml:space="preserve"> rather than estimated or carried over from an earlier draft — the visible placeholders are a deliberate part of this discipline, not an oversight. Two results were withdrawn or corrected by exactly this process rather than published: the superseded 615-clip ground truth (§3.7) and the per-model agreement-tier charts, which proved vacuous on inspection and are excluded (Appendix D.8).</w:t>
      </w:r>
    </w:p>
    <w:p>
      <w:pPr>
        <w:spacing w:after="140" w:line="276"/>
        <w:jc w:val="both"/>
      </w:pPr>
      <w:r>
        <w:rPr>
          <w:b/>
          <w:bCs/>
        </w:rPr>
        <w:t xml:space="preserve">Responsibility.</w:t>
      </w:r>
      <w:r>
        <w:t xml:space="preserve"> The experimental design, the implementation, the execution, the analysis, the interpretation of the results and every claim and conclusion in both documents are the author's own. No research question, finding, result or conclusion originated from an AI assistant. The author has read, checked and accepted every sentence in both documents and takes full responsibility for their content, including for any error that AI assistance introduced and the author did not catch.</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8"/>
        <w:gridCol w:w="4352"/>
      </w:tblGrid>
      <w:tr>
        <w:trPr>
          <w:tblHeader/>
        </w:trPr>
        <w:tc>
          <w:tcPr>
            <w:tcW w:type="dxa" w:w="5008"/>
            <w:shd w:fill="EFEFEF" w:color="auto" w:val="clear"/>
            <w:tcMar>
              <w:top w:type="dxa" w:w="60"/>
              <w:left w:type="dxa" w:w="90"/>
              <w:bottom w:type="dxa" w:w="60"/>
              <w:right w:type="dxa" w:w="90"/>
            </w:tcMar>
          </w:tcPr>
          <w:p>
            <w:pPr>
              <w:spacing w:after="0"/>
            </w:pPr>
            <w:r>
              <w:rPr>
                <w:b/>
                <w:bCs/>
              </w:rPr>
              <w:t xml:space="preserve">Parameter</w:t>
            </w:r>
          </w:p>
        </w:tc>
        <w:tc>
          <w:tcPr>
            <w:tcW w:type="dxa" w:w="4352"/>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352"/>
            <w:tcMar>
              <w:top w:type="dxa" w:w="60"/>
              <w:left w:type="dxa" w:w="90"/>
              <w:bottom w:type="dxa" w:w="60"/>
              <w:right w:type="dxa" w:w="90"/>
            </w:tcMar>
          </w:tcPr>
          <w:p>
            <w:pPr>
              <w:spacing w:after="0"/>
            </w:pPr>
            <w:r>
              <w:t xml:space="preserve">30.0 / 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352"/>
            <w:tcMar>
              <w:top w:type="dxa" w:w="60"/>
              <w:left w:type="dxa" w:w="90"/>
              <w:bottom w:type="dxa" w:w="60"/>
              <w:right w:type="dxa" w:w="90"/>
            </w:tcMar>
          </w:tcPr>
          <w:p>
            <w:pPr>
              <w:spacing w:after="0"/>
            </w:pPr>
            <w:r>
              <w:t xml:space="preserve">2 × 1</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352"/>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352"/>
            <w:tcMar>
              <w:top w:type="dxa" w:w="60"/>
              <w:left w:type="dxa" w:w="90"/>
              <w:bottom w:type="dxa" w:w="60"/>
              <w:right w:type="dxa" w:w="90"/>
            </w:tcMar>
          </w:tcPr>
          <w:p>
            <w:pPr>
              <w:spacing w:after="0"/>
            </w:pPr>
            <w:r>
              <w:t xml:space="preserve">0.20, 0.50, 0.80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352"/>
            <w:tcMar>
              <w:top w:type="dxa" w:w="60"/>
              <w:left w:type="dxa" w:w="90"/>
              <w:bottom w:type="dxa" w:w="60"/>
              <w:right w:type="dxa" w:w="90"/>
            </w:tcMar>
          </w:tcPr>
          <w:p>
            <w:pPr>
              <w:spacing w:after="0"/>
            </w:pPr>
            <w:r>
              <w:t xml:space="preserve">3.0 / 0.6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352"/>
            <w:tcMar>
              <w:top w:type="dxa" w:w="60"/>
              <w:left w:type="dxa" w:w="90"/>
              <w:bottom w:type="dxa" w:w="60"/>
              <w:right w:type="dxa" w:w="90"/>
            </w:tcMar>
          </w:tcPr>
          <w:p>
            <w:pPr>
              <w:spacing w:after="0"/>
            </w:pPr>
            <w:r>
              <w:t xml:space="preserve">60.0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352"/>
            <w:tcMar>
              <w:top w:type="dxa" w:w="60"/>
              <w:left w:type="dxa" w:w="90"/>
              <w:bottom w:type="dxa" w:w="60"/>
              <w:right w:type="dxa" w:w="90"/>
            </w:tcMar>
          </w:tcPr>
          <w:p>
            <w:pPr>
              <w:spacing w:after="0"/>
            </w:pPr>
            <w:r>
              <w:t xml:space="preserve">0.50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352"/>
            <w:tcMar>
              <w:top w:type="dxa" w:w="60"/>
              <w:left w:type="dxa" w:w="90"/>
              <w:bottom w:type="dxa" w:w="60"/>
              <w:right w:type="dxa" w:w="90"/>
            </w:tcMar>
          </w:tcPr>
          <w:p>
            <w:pPr>
              <w:spacing w:after="0"/>
            </w:pPr>
            <w:r>
              <w:t xml:space="preserve">0.88</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352"/>
            <w:tcMar>
              <w:top w:type="dxa" w:w="60"/>
              <w:left w:type="dxa" w:w="90"/>
              <w:bottom w:type="dxa" w:w="60"/>
              <w:right w:type="dxa" w:w="90"/>
            </w:tcMar>
          </w:tcPr>
          <w:p>
            <w:pPr>
              <w:spacing w:after="0"/>
            </w:pPr>
            <w:r>
              <w:t xml:space="preserve">0.82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352"/>
            <w:tcMar>
              <w:top w:type="dxa" w:w="60"/>
              <w:left w:type="dxa" w:w="90"/>
              <w:bottom w:type="dxa" w:w="60"/>
              <w:right w:type="dxa" w:w="90"/>
            </w:tcMar>
          </w:tcPr>
          <w:p>
            <w:pPr>
              <w:spacing w:after="0"/>
            </w:pPr>
            <w:r>
              <w:t xml:space="preserve">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352"/>
            <w:tcMar>
              <w:top w:type="dxa" w:w="60"/>
              <w:left w:type="dxa" w:w="90"/>
              <w:bottom w:type="dxa" w:w="60"/>
              <w:right w:type="dxa" w:w="90"/>
            </w:tcMar>
          </w:tcPr>
          <w:p>
            <w:pPr>
              <w:spacing w:after="0"/>
            </w:pPr>
            <w:r>
              <w:t xml:space="preserve">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352"/>
            <w:tcMar>
              <w:top w:type="dxa" w:w="60"/>
              <w:left w:type="dxa" w:w="90"/>
              <w:bottom w:type="dxa" w:w="60"/>
              <w:right w:type="dxa" w:w="90"/>
            </w:tcMar>
          </w:tcPr>
          <w:p>
            <w:pPr>
              <w:spacing w:after="0"/>
            </w:pPr>
            <w:r>
              <w:t xml:space="preserve">2.5 s / 12 / 0.5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352"/>
            <w:tcMar>
              <w:top w:type="dxa" w:w="60"/>
              <w:left w:type="dxa" w:w="90"/>
              <w:bottom w:type="dxa" w:w="60"/>
              <w:right w:type="dxa" w:w="90"/>
            </w:tcMar>
          </w:tcPr>
          <w:p>
            <w:pPr>
              <w:spacing w:after="0"/>
            </w:pPr>
            <w:r>
              <w:t xml:space="preserve">0.20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352"/>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352"/>
            <w:tcMar>
              <w:top w:type="dxa" w:w="60"/>
              <w:left w:type="dxa" w:w="90"/>
              <w:bottom w:type="dxa" w:w="60"/>
              <w:right w:type="dxa" w:w="90"/>
            </w:tcMar>
          </w:tcPr>
          <w:p>
            <w:pPr>
              <w:spacing w:after="0"/>
            </w:pPr>
            <w:r>
              <w:t xml:space="preserve">8 / 5</w:t>
            </w:r>
          </w:p>
        </w:tc>
      </w:tr>
      <w:tr>
        <w:trPr>
          <w:tblHeader w:val="false"/>
        </w:trPr>
        <w:tc>
          <w:tcPr>
            <w:tcW w:type="dxa" w:w="5008"/>
            <w:tcMar>
              <w:top w:type="dxa" w:w="60"/>
              <w:left w:type="dxa" w:w="90"/>
              <w:bottom w:type="dxa" w:w="60"/>
              <w:right w:type="dxa" w:w="90"/>
            </w:tcMar>
          </w:tcPr>
          <w:p>
            <w:pPr>
              <w:spacing w:after="0"/>
            </w:pPr>
            <w:r>
              <w:t xml:space="preserve">Agreement tiers</w:t>
            </w:r>
          </w:p>
        </w:tc>
        <w:tc>
          <w:tcPr>
            <w:tcW w:type="dxa" w:w="4352"/>
            <w:tcMar>
              <w:top w:type="dxa" w:w="60"/>
              <w:left w:type="dxa" w:w="90"/>
              <w:bottom w:type="dxa" w:w="60"/>
              <w:right w:type="dxa" w:w="90"/>
            </w:tcMar>
          </w:tcPr>
          <w:p>
            <w:pPr>
              <w:spacing w:after="0"/>
            </w:pPr>
            <w:r>
              <w:t xml:space="preserve">high ≥ 0.75, moderate ≥ 0.50, low &lt; 0.50</w:t>
            </w:r>
          </w:p>
        </w:tc>
      </w:tr>
      <w:tr>
        <w:trPr>
          <w:tblHeader w:val="false"/>
        </w:trPr>
        <w:tc>
          <w:tcPr>
            <w:tcW w:type="dxa" w:w="5008"/>
            <w:tcMar>
              <w:top w:type="dxa" w:w="60"/>
              <w:left w:type="dxa" w:w="90"/>
              <w:bottom w:type="dxa" w:w="60"/>
              <w:right w:type="dxa" w:w="90"/>
            </w:tcMar>
          </w:tcPr>
          <w:p>
            <w:pPr>
              <w:spacing w:after="0"/>
            </w:pPr>
            <w:r>
              <w:t xml:space="preserve">Benchmark frames / decoding</w:t>
            </w:r>
          </w:p>
        </w:tc>
        <w:tc>
          <w:tcPr>
            <w:tcW w:type="dxa" w:w="4352"/>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5008"/>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352"/>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The corpus totals </w:t>
      </w:r>
      <w:r>
        <w:rPr>
          <w:b/>
          <w:bCs/>
        </w:rPr>
        <w:t xml:space="preserve">5.09 h</w:t>
      </w:r>
      <w:r>
        <w:t xml:space="preserve"> (18,312 s) across 626 clips, at a mean clip length of 29.25 s — 579 clips run the full 30 s, and the 47 trailing fragments average 20.0 s, which accounts for the 468 s shortfall against a nominal 626 × 30 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Nine programmes (123 clips) fall in the calibration split and 38 (503 clips) in the evaluation split; the split is assigned at source level, so no programme contributes to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3"/>
        <w:gridCol w:w="3807"/>
        <w:gridCol w:w="1439"/>
        <w:gridCol w:w="1227"/>
        <w:gridCol w:w="970"/>
        <w:gridCol w:w="1304"/>
      </w:tblGrid>
      <w:tr>
        <w:trPr>
          <w:tblHeader/>
        </w:trPr>
        <w:tc>
          <w:tcPr>
            <w:tcW w:type="dxa" w:w="613"/>
            <w:shd w:fill="EFEFEF" w:color="auto" w:val="clear"/>
            <w:tcMar>
              <w:top w:type="dxa" w:w="60"/>
              <w:left w:type="dxa" w:w="90"/>
              <w:bottom w:type="dxa" w:w="60"/>
              <w:right w:type="dxa" w:w="90"/>
            </w:tcMar>
          </w:tcPr>
          <w:p>
            <w:pPr>
              <w:spacing w:after="0"/>
            </w:pPr>
            <w:r>
              <w:rPr>
                <w:b/>
                <w:bCs/>
              </w:rPr>
              <w:t xml:space="preserve">#</w:t>
            </w:r>
          </w:p>
        </w:tc>
        <w:tc>
          <w:tcPr>
            <w:tcW w:type="dxa" w:w="3807"/>
            <w:shd w:fill="EFEFEF" w:color="auto" w:val="clear"/>
            <w:tcMar>
              <w:top w:type="dxa" w:w="60"/>
              <w:left w:type="dxa" w:w="90"/>
              <w:bottom w:type="dxa" w:w="60"/>
              <w:right w:type="dxa" w:w="90"/>
            </w:tcMar>
          </w:tcPr>
          <w:p>
            <w:pPr>
              <w:spacing w:after="0"/>
            </w:pPr>
            <w:r>
              <w:rPr>
                <w:b/>
                <w:bCs/>
              </w:rPr>
              <w:t xml:space="preserve">Programme</w:t>
            </w:r>
          </w:p>
        </w:tc>
        <w:tc>
          <w:tcPr>
            <w:tcW w:type="dxa" w:w="1439"/>
            <w:shd w:fill="EFEFEF" w:color="auto" w:val="clear"/>
            <w:tcMar>
              <w:top w:type="dxa" w:w="60"/>
              <w:left w:type="dxa" w:w="90"/>
              <w:bottom w:type="dxa" w:w="60"/>
              <w:right w:type="dxa" w:w="90"/>
            </w:tcMar>
          </w:tcPr>
          <w:p>
            <w:pPr>
              <w:spacing w:after="0"/>
            </w:pPr>
            <w:r>
              <w:rPr>
                <w:b/>
                <w:bCs/>
              </w:rPr>
              <w:t xml:space="preserve">Date</w:t>
            </w:r>
          </w:p>
        </w:tc>
        <w:tc>
          <w:tcPr>
            <w:tcW w:type="dxa" w:w="1227"/>
            <w:shd w:fill="EFEFEF" w:color="auto" w:val="clear"/>
            <w:tcMar>
              <w:top w:type="dxa" w:w="60"/>
              <w:left w:type="dxa" w:w="90"/>
              <w:bottom w:type="dxa" w:w="60"/>
              <w:right w:type="dxa" w:w="90"/>
            </w:tcMar>
          </w:tcPr>
          <w:p>
            <w:pPr>
              <w:spacing w:after="0"/>
            </w:pPr>
            <w:r>
              <w:rPr>
                <w:b/>
                <w:bCs/>
              </w:rPr>
              <w:t xml:space="preserve">Duration</w:t>
            </w:r>
          </w:p>
        </w:tc>
        <w:tc>
          <w:tcPr>
            <w:tcW w:type="dxa" w:w="970"/>
            <w:shd w:fill="EFEFEF" w:color="auto" w:val="clear"/>
            <w:tcMar>
              <w:top w:type="dxa" w:w="60"/>
              <w:left w:type="dxa" w:w="90"/>
              <w:bottom w:type="dxa" w:w="60"/>
              <w:right w:type="dxa" w:w="90"/>
            </w:tcMar>
          </w:tcPr>
          <w:p>
            <w:pPr>
              <w:spacing w:after="0"/>
            </w:pPr>
            <w:r>
              <w:rPr>
                <w:b/>
                <w:bCs/>
              </w:rPr>
              <w:t xml:space="preserve">Clips</w:t>
            </w:r>
          </w:p>
        </w:tc>
        <w:tc>
          <w:tcPr>
            <w:tcW w:type="dxa" w:w="1304"/>
            <w:shd w:fill="EFEFEF" w:color="auto" w:val="clear"/>
            <w:tcMar>
              <w:top w:type="dxa" w:w="60"/>
              <w:left w:type="dxa" w:w="90"/>
              <w:bottom w:type="dxa" w:w="60"/>
              <w:right w:type="dxa" w:w="90"/>
            </w:tcMar>
          </w:tcPr>
          <w:p>
            <w:pPr>
              <w:spacing w:after="0"/>
            </w:pPr>
            <w:r>
              <w:rPr>
                <w:b/>
                <w:bCs/>
              </w:rPr>
              <w:t xml:space="preserve">Split</w:t>
            </w:r>
          </w:p>
        </w:tc>
      </w:tr>
      <w:tr>
        <w:trPr>
          <w:tblHeader w:val="false"/>
        </w:trPr>
        <w:tc>
          <w:tcPr>
            <w:tcW w:type="dxa" w:w="613"/>
            <w:tcMar>
              <w:top w:type="dxa" w:w="60"/>
              <w:left w:type="dxa" w:w="90"/>
              <w:bottom w:type="dxa" w:w="60"/>
              <w:right w:type="dxa" w:w="90"/>
            </w:tcMar>
          </w:tcPr>
          <w:p>
            <w:pPr>
              <w:spacing w:after="0"/>
            </w:pPr>
            <w:r>
              <w:t xml:space="preserve">1</w:t>
            </w:r>
          </w:p>
        </w:tc>
        <w:tc>
          <w:tcPr>
            <w:tcW w:type="dxa" w:w="3807"/>
            <w:tcMar>
              <w:top w:type="dxa" w:w="60"/>
              <w:left w:type="dxa" w:w="90"/>
              <w:bottom w:type="dxa" w:w="60"/>
              <w:right w:type="dxa" w:w="90"/>
            </w:tcMar>
          </w:tcPr>
          <w:p>
            <w:pPr>
              <w:spacing w:after="0"/>
            </w:pPr>
            <w:r>
              <w:t xml:space="preserve">Launch of Belfast Children's Festival 2016</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7:58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w:t>
            </w:r>
          </w:p>
        </w:tc>
        <w:tc>
          <w:tcPr>
            <w:tcW w:type="dxa" w:w="3807"/>
            <w:tcMar>
              <w:top w:type="dxa" w:w="60"/>
              <w:left w:type="dxa" w:w="90"/>
              <w:bottom w:type="dxa" w:w="60"/>
              <w:right w:type="dxa" w:w="90"/>
            </w:tcMar>
          </w:tcPr>
          <w:p>
            <w:pPr>
              <w:spacing w:after="0"/>
            </w:pPr>
            <w:r>
              <w:t xml:space="preserve">Belfast's City Council - Step Up To Learn Programme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w:t>
            </w:r>
          </w:p>
        </w:tc>
        <w:tc>
          <w:tcPr>
            <w:tcW w:type="dxa" w:w="3807"/>
            <w:tcMar>
              <w:top w:type="dxa" w:w="60"/>
              <w:left w:type="dxa" w:w="90"/>
              <w:bottom w:type="dxa" w:w="60"/>
              <w:right w:type="dxa" w:w="90"/>
            </w:tcMar>
          </w:tcPr>
          <w:p>
            <w:pPr>
              <w:spacing w:after="0"/>
            </w:pPr>
            <w:r>
              <w:t xml:space="preserve">Fire Brigades Union Northern Ireland - Threats to the Fire and Rescue Service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8:23</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w:t>
            </w:r>
          </w:p>
        </w:tc>
        <w:tc>
          <w:tcPr>
            <w:tcW w:type="dxa" w:w="3807"/>
            <w:tcMar>
              <w:top w:type="dxa" w:w="60"/>
              <w:left w:type="dxa" w:w="90"/>
              <w:bottom w:type="dxa" w:w="60"/>
              <w:right w:type="dxa" w:w="90"/>
            </w:tcMar>
          </w:tcPr>
          <w:p>
            <w:pPr>
              <w:spacing w:after="0"/>
            </w:pPr>
            <w:r>
              <w:t xml:space="preserve">Ballymena Protest</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8:21</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5</w:t>
            </w:r>
          </w:p>
        </w:tc>
        <w:tc>
          <w:tcPr>
            <w:tcW w:type="dxa" w:w="3807"/>
            <w:tcMar>
              <w:top w:type="dxa" w:w="60"/>
              <w:left w:type="dxa" w:w="90"/>
              <w:bottom w:type="dxa" w:w="60"/>
              <w:right w:type="dxa" w:w="90"/>
            </w:tcMar>
          </w:tcPr>
          <w:p>
            <w:pPr>
              <w:spacing w:after="0"/>
            </w:pPr>
            <w:r>
              <w:t xml:space="preserve">Listen to our young leaders - 4 Corners Festival</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6:45</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6</w:t>
            </w:r>
          </w:p>
        </w:tc>
        <w:tc>
          <w:tcPr>
            <w:tcW w:type="dxa" w:w="3807"/>
            <w:tcMar>
              <w:top w:type="dxa" w:w="60"/>
              <w:left w:type="dxa" w:w="90"/>
              <w:bottom w:type="dxa" w:w="60"/>
              <w:right w:type="dxa" w:w="90"/>
            </w:tcMar>
          </w:tcPr>
          <w:p>
            <w:pPr>
              <w:spacing w:after="0"/>
            </w:pPr>
            <w:r>
              <w:t xml:space="preserve">Pupils Challenge Racism - Integrated Education Fund</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8:07</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7</w:t>
            </w:r>
          </w:p>
        </w:tc>
        <w:tc>
          <w:tcPr>
            <w:tcW w:type="dxa" w:w="3807"/>
            <w:tcMar>
              <w:top w:type="dxa" w:w="60"/>
              <w:left w:type="dxa" w:w="90"/>
              <w:bottom w:type="dxa" w:w="60"/>
              <w:right w:type="dxa" w:w="90"/>
            </w:tcMar>
          </w:tcPr>
          <w:p>
            <w:pPr>
              <w:spacing w:after="0"/>
            </w:pPr>
            <w:r>
              <w:t xml:space="preserve">Adrian Ismay Vigil</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4:29</w:t>
            </w:r>
          </w:p>
        </w:tc>
        <w:tc>
          <w:tcPr>
            <w:tcW w:type="dxa" w:w="970"/>
            <w:tcMar>
              <w:top w:type="dxa" w:w="60"/>
              <w:left w:type="dxa" w:w="90"/>
              <w:bottom w:type="dxa" w:w="60"/>
              <w:right w:type="dxa" w:w="90"/>
            </w:tcMar>
          </w:tcPr>
          <w:p>
            <w:pPr>
              <w:spacing w:after="0"/>
            </w:pPr>
            <w:r>
              <w:t xml:space="preserve">9</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8</w:t>
            </w:r>
          </w:p>
        </w:tc>
        <w:tc>
          <w:tcPr>
            <w:tcW w:type="dxa" w:w="3807"/>
            <w:tcMar>
              <w:top w:type="dxa" w:w="60"/>
              <w:left w:type="dxa" w:w="90"/>
              <w:bottom w:type="dxa" w:w="60"/>
              <w:right w:type="dxa" w:w="90"/>
            </w:tcMar>
          </w:tcPr>
          <w:p>
            <w:pPr>
              <w:spacing w:after="0"/>
            </w:pPr>
            <w:r>
              <w:t xml:space="preserve">REFRESH- PSNI Young Digital Team</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3:51</w:t>
            </w:r>
          </w:p>
        </w:tc>
        <w:tc>
          <w:tcPr>
            <w:tcW w:type="dxa" w:w="970"/>
            <w:tcMar>
              <w:top w:type="dxa" w:w="60"/>
              <w:left w:type="dxa" w:w="90"/>
              <w:bottom w:type="dxa" w:w="60"/>
              <w:right w:type="dxa" w:w="90"/>
            </w:tcMar>
          </w:tcPr>
          <w:p>
            <w:pPr>
              <w:spacing w:after="0"/>
            </w:pPr>
            <w:r>
              <w:t xml:space="preserve">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9</w:t>
            </w:r>
          </w:p>
        </w:tc>
        <w:tc>
          <w:tcPr>
            <w:tcW w:type="dxa" w:w="3807"/>
            <w:tcMar>
              <w:top w:type="dxa" w:w="60"/>
              <w:left w:type="dxa" w:w="90"/>
              <w:bottom w:type="dxa" w:w="60"/>
              <w:right w:type="dxa" w:w="90"/>
            </w:tcMar>
          </w:tcPr>
          <w:p>
            <w:pPr>
              <w:spacing w:after="0"/>
            </w:pPr>
            <w:r>
              <w:t xml:space="preserve">KESS - Enabling Access to Justice</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6:11</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10</w:t>
            </w:r>
          </w:p>
        </w:tc>
        <w:tc>
          <w:tcPr>
            <w:tcW w:type="dxa" w:w="3807"/>
            <w:tcMar>
              <w:top w:type="dxa" w:w="60"/>
              <w:left w:type="dxa" w:w="90"/>
              <w:bottom w:type="dxa" w:w="60"/>
              <w:right w:type="dxa" w:w="90"/>
            </w:tcMar>
          </w:tcPr>
          <w:p>
            <w:pPr>
              <w:spacing w:after="0"/>
            </w:pPr>
            <w:r>
              <w:t xml:space="preserve">Jacobin Launch</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7:48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11</w:t>
            </w:r>
          </w:p>
        </w:tc>
        <w:tc>
          <w:tcPr>
            <w:tcW w:type="dxa" w:w="3807"/>
            <w:tcMar>
              <w:top w:type="dxa" w:w="60"/>
              <w:left w:type="dxa" w:w="90"/>
              <w:bottom w:type="dxa" w:w="60"/>
              <w:right w:type="dxa" w:w="90"/>
            </w:tcMar>
          </w:tcPr>
          <w:p>
            <w:pPr>
              <w:spacing w:after="0"/>
            </w:pPr>
            <w:r>
              <w:t xml:space="preserve">Poor Mental Health on Peace Lines</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12</w:t>
            </w:r>
          </w:p>
        </w:tc>
        <w:tc>
          <w:tcPr>
            <w:tcW w:type="dxa" w:w="3807"/>
            <w:tcMar>
              <w:top w:type="dxa" w:w="60"/>
              <w:left w:type="dxa" w:w="90"/>
              <w:bottom w:type="dxa" w:w="60"/>
              <w:right w:type="dxa" w:w="90"/>
            </w:tcMar>
          </w:tcPr>
          <w:p>
            <w:pPr>
              <w:spacing w:after="0"/>
            </w:pPr>
            <w:r>
              <w:t xml:space="preserve">Oliver Pollock Blue Plaque Unveiling</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13</w:t>
            </w:r>
          </w:p>
        </w:tc>
        <w:tc>
          <w:tcPr>
            <w:tcW w:type="dxa" w:w="3807"/>
            <w:tcMar>
              <w:top w:type="dxa" w:w="60"/>
              <w:left w:type="dxa" w:w="90"/>
              <w:bottom w:type="dxa" w:w="60"/>
              <w:right w:type="dxa" w:w="90"/>
            </w:tcMar>
          </w:tcPr>
          <w:p>
            <w:pPr>
              <w:spacing w:after="0"/>
            </w:pPr>
            <w:r>
              <w:t xml:space="preserve">Reading Rooms at Open University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5:22</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14</w:t>
            </w:r>
          </w:p>
        </w:tc>
        <w:tc>
          <w:tcPr>
            <w:tcW w:type="dxa" w:w="3807"/>
            <w:tcMar>
              <w:top w:type="dxa" w:w="60"/>
              <w:left w:type="dxa" w:w="90"/>
              <w:bottom w:type="dxa" w:w="60"/>
              <w:right w:type="dxa" w:w="90"/>
            </w:tcMar>
          </w:tcPr>
          <w:p>
            <w:pPr>
              <w:spacing w:after="0"/>
            </w:pPr>
            <w:r>
              <w:t xml:space="preserve">Kabosh - 1916 Community Play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5:20</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15</w:t>
            </w:r>
          </w:p>
        </w:tc>
        <w:tc>
          <w:tcPr>
            <w:tcW w:type="dxa" w:w="3807"/>
            <w:tcMar>
              <w:top w:type="dxa" w:w="60"/>
              <w:left w:type="dxa" w:w="90"/>
              <w:bottom w:type="dxa" w:w="60"/>
              <w:right w:type="dxa" w:w="90"/>
            </w:tcMar>
          </w:tcPr>
          <w:p>
            <w:pPr>
              <w:spacing w:after="0"/>
            </w:pPr>
            <w:r>
              <w:t xml:space="preserve">May Day Parade</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8:40</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16</w:t>
            </w:r>
          </w:p>
        </w:tc>
        <w:tc>
          <w:tcPr>
            <w:tcW w:type="dxa" w:w="3807"/>
            <w:tcMar>
              <w:top w:type="dxa" w:w="60"/>
              <w:left w:type="dxa" w:w="90"/>
              <w:bottom w:type="dxa" w:w="60"/>
              <w:right w:type="dxa" w:w="90"/>
            </w:tcMar>
          </w:tcPr>
          <w:p>
            <w:pPr>
              <w:spacing w:after="0"/>
            </w:pPr>
            <w:r>
              <w:t xml:space="preserve">Political Special</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10:57</w:t>
            </w:r>
          </w:p>
        </w:tc>
        <w:tc>
          <w:tcPr>
            <w:tcW w:type="dxa" w:w="970"/>
            <w:tcMar>
              <w:top w:type="dxa" w:w="60"/>
              <w:left w:type="dxa" w:w="90"/>
              <w:bottom w:type="dxa" w:w="60"/>
              <w:right w:type="dxa" w:w="90"/>
            </w:tcMar>
          </w:tcPr>
          <w:p>
            <w:pPr>
              <w:spacing w:after="0"/>
            </w:pPr>
            <w:r>
              <w:t xml:space="preserve">22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17</w:t>
            </w:r>
          </w:p>
        </w:tc>
        <w:tc>
          <w:tcPr>
            <w:tcW w:type="dxa" w:w="3807"/>
            <w:tcMar>
              <w:top w:type="dxa" w:w="60"/>
              <w:left w:type="dxa" w:w="90"/>
              <w:bottom w:type="dxa" w:w="60"/>
              <w:right w:type="dxa" w:w="90"/>
            </w:tcMar>
          </w:tcPr>
          <w:p>
            <w:pPr>
              <w:spacing w:after="0"/>
            </w:pPr>
            <w:r>
              <w:t xml:space="preserve">Belfast Telegraph</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5:57</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18</w:t>
            </w:r>
          </w:p>
        </w:tc>
        <w:tc>
          <w:tcPr>
            <w:tcW w:type="dxa" w:w="3807"/>
            <w:tcMar>
              <w:top w:type="dxa" w:w="60"/>
              <w:left w:type="dxa" w:w="90"/>
              <w:bottom w:type="dxa" w:w="60"/>
              <w:right w:type="dxa" w:w="90"/>
            </w:tcMar>
          </w:tcPr>
          <w:p>
            <w:pPr>
              <w:spacing w:after="0"/>
            </w:pPr>
            <w:r>
              <w:t xml:space="preserve">Fergal McFerran</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19</w:t>
            </w:r>
          </w:p>
        </w:tc>
        <w:tc>
          <w:tcPr>
            <w:tcW w:type="dxa" w:w="3807"/>
            <w:tcMar>
              <w:top w:type="dxa" w:w="60"/>
              <w:left w:type="dxa" w:w="90"/>
              <w:bottom w:type="dxa" w:w="60"/>
              <w:right w:type="dxa" w:w="90"/>
            </w:tcMar>
          </w:tcPr>
          <w:p>
            <w:pPr>
              <w:spacing w:after="0"/>
            </w:pPr>
            <w:r>
              <w:t xml:space="preserve">George McBride</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5:52</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20</w:t>
            </w:r>
          </w:p>
        </w:tc>
        <w:tc>
          <w:tcPr>
            <w:tcW w:type="dxa" w:w="3807"/>
            <w:tcMar>
              <w:top w:type="dxa" w:w="60"/>
              <w:left w:type="dxa" w:w="90"/>
              <w:bottom w:type="dxa" w:w="60"/>
              <w:right w:type="dxa" w:w="90"/>
            </w:tcMar>
          </w:tcPr>
          <w:p>
            <w:pPr>
              <w:spacing w:after="0"/>
            </w:pPr>
            <w:r>
              <w:t xml:space="preserve">Writers on Writers Festival</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4:41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24</w:t>
            </w:r>
          </w:p>
        </w:tc>
        <w:tc>
          <w:tcPr>
            <w:tcW w:type="dxa" w:w="3807"/>
            <w:tcMar>
              <w:top w:type="dxa" w:w="60"/>
              <w:left w:type="dxa" w:w="90"/>
              <w:bottom w:type="dxa" w:w="60"/>
              <w:right w:type="dxa" w:w="90"/>
            </w:tcMar>
          </w:tcPr>
          <w:p>
            <w:pPr>
              <w:spacing w:after="0"/>
            </w:pPr>
            <w:r>
              <w:t xml:space="preserve">Fairtrade Campaign</w:t>
            </w:r>
          </w:p>
        </w:tc>
        <w:tc>
          <w:tcPr>
            <w:tcW w:type="dxa" w:w="1439"/>
            <w:tcMar>
              <w:top w:type="dxa" w:w="60"/>
              <w:left w:type="dxa" w:w="90"/>
              <w:bottom w:type="dxa" w:w="60"/>
              <w:right w:type="dxa" w:w="90"/>
            </w:tcMar>
          </w:tcPr>
          <w:p>
            <w:pPr>
              <w:spacing w:after="0"/>
            </w:pPr>
            <w:r>
              <w:t xml:space="preserve">7 Jun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25</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8:12</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26</w:t>
            </w:r>
          </w:p>
        </w:tc>
        <w:tc>
          <w:tcPr>
            <w:tcW w:type="dxa" w:w="3807"/>
            <w:tcMar>
              <w:top w:type="dxa" w:w="60"/>
              <w:left w:type="dxa" w:w="90"/>
              <w:bottom w:type="dxa" w:w="60"/>
              <w:right w:type="dxa" w:w="90"/>
            </w:tcMar>
          </w:tcPr>
          <w:p>
            <w:pPr>
              <w:spacing w:after="0"/>
            </w:pPr>
            <w:r>
              <w:t xml:space="preserve">Sixteen South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27</w:t>
            </w:r>
          </w:p>
        </w:tc>
        <w:tc>
          <w:tcPr>
            <w:tcW w:type="dxa" w:w="3807"/>
            <w:tcMar>
              <w:top w:type="dxa" w:w="60"/>
              <w:left w:type="dxa" w:w="90"/>
              <w:bottom w:type="dxa" w:w="60"/>
              <w:right w:type="dxa" w:w="90"/>
            </w:tcMar>
          </w:tcPr>
          <w:p>
            <w:pPr>
              <w:spacing w:after="0"/>
            </w:pPr>
            <w:r>
              <w:t xml:space="preserve">Growing in a Shared City</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4:32</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28</w:t>
            </w:r>
          </w:p>
        </w:tc>
        <w:tc>
          <w:tcPr>
            <w:tcW w:type="dxa" w:w="3807"/>
            <w:tcMar>
              <w:top w:type="dxa" w:w="60"/>
              <w:left w:type="dxa" w:w="90"/>
              <w:bottom w:type="dxa" w:w="60"/>
              <w:right w:type="dxa" w:w="90"/>
            </w:tcMar>
          </w:tcPr>
          <w:p>
            <w:pPr>
              <w:spacing w:after="0"/>
            </w:pPr>
            <w:r>
              <w:t xml:space="preserve">Feile an Phobail launch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5:00</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29</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8:35</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30</w:t>
            </w:r>
          </w:p>
        </w:tc>
        <w:tc>
          <w:tcPr>
            <w:tcW w:type="dxa" w:w="3807"/>
            <w:tcMar>
              <w:top w:type="dxa" w:w="60"/>
              <w:left w:type="dxa" w:w="90"/>
              <w:bottom w:type="dxa" w:w="60"/>
              <w:right w:type="dxa" w:w="90"/>
            </w:tcMar>
          </w:tcPr>
          <w:p>
            <w:pPr>
              <w:spacing w:after="0"/>
            </w:pPr>
            <w:r>
              <w:t xml:space="preserve">Social Policy Association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8:37</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31</w:t>
            </w:r>
          </w:p>
        </w:tc>
        <w:tc>
          <w:tcPr>
            <w:tcW w:type="dxa" w:w="3807"/>
            <w:tcMar>
              <w:top w:type="dxa" w:w="60"/>
              <w:left w:type="dxa" w:w="90"/>
              <w:bottom w:type="dxa" w:w="60"/>
              <w:right w:type="dxa" w:w="90"/>
            </w:tcMar>
          </w:tcPr>
          <w:p>
            <w:pPr>
              <w:spacing w:after="0"/>
            </w:pPr>
            <w:r>
              <w:t xml:space="preserve">Lilly and the Poppy Exhibition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5:34</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32</w:t>
            </w:r>
          </w:p>
        </w:tc>
        <w:tc>
          <w:tcPr>
            <w:tcW w:type="dxa" w:w="3807"/>
            <w:tcMar>
              <w:top w:type="dxa" w:w="60"/>
              <w:left w:type="dxa" w:w="90"/>
              <w:bottom w:type="dxa" w:w="60"/>
              <w:right w:type="dxa" w:w="90"/>
            </w:tcMar>
          </w:tcPr>
          <w:p>
            <w:pPr>
              <w:spacing w:after="0"/>
            </w:pPr>
            <w:r>
              <w:t xml:space="preserve">Social Housing*</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5:24</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33</w:t>
            </w:r>
          </w:p>
        </w:tc>
        <w:tc>
          <w:tcPr>
            <w:tcW w:type="dxa" w:w="3807"/>
            <w:tcMar>
              <w:top w:type="dxa" w:w="60"/>
              <w:left w:type="dxa" w:w="90"/>
              <w:bottom w:type="dxa" w:w="60"/>
              <w:right w:type="dxa" w:w="90"/>
            </w:tcMar>
          </w:tcPr>
          <w:p>
            <w:pPr>
              <w:spacing w:after="0"/>
            </w:pPr>
            <w:r>
              <w:t xml:space="preserve">Sculpture celebrating World Boxer, Rinty Monaghan</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5:17</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34</w:t>
            </w:r>
          </w:p>
        </w:tc>
        <w:tc>
          <w:tcPr>
            <w:tcW w:type="dxa" w:w="3807"/>
            <w:tcMar>
              <w:top w:type="dxa" w:w="60"/>
              <w:left w:type="dxa" w:w="90"/>
              <w:bottom w:type="dxa" w:w="60"/>
              <w:right w:type="dxa" w:w="90"/>
            </w:tcMar>
          </w:tcPr>
          <w:p>
            <w:pPr>
              <w:spacing w:after="0"/>
            </w:pPr>
            <w:r>
              <w:t xml:space="preserve">Prince's Trust</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6:23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35</w:t>
            </w:r>
          </w:p>
        </w:tc>
        <w:tc>
          <w:tcPr>
            <w:tcW w:type="dxa" w:w="3807"/>
            <w:tcMar>
              <w:top w:type="dxa" w:w="60"/>
              <w:left w:type="dxa" w:w="90"/>
              <w:bottom w:type="dxa" w:w="60"/>
              <w:right w:type="dxa" w:w="90"/>
            </w:tcMar>
          </w:tcPr>
          <w:p>
            <w:pPr>
              <w:spacing w:after="0"/>
            </w:pPr>
            <w:r>
              <w:t xml:space="preserve">Campa Chormaic</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36</w:t>
            </w:r>
          </w:p>
        </w:tc>
        <w:tc>
          <w:tcPr>
            <w:tcW w:type="dxa" w:w="3807"/>
            <w:tcMar>
              <w:top w:type="dxa" w:w="60"/>
              <w:left w:type="dxa" w:w="90"/>
              <w:bottom w:type="dxa" w:w="60"/>
              <w:right w:type="dxa" w:w="90"/>
            </w:tcMar>
          </w:tcPr>
          <w:p>
            <w:pPr>
              <w:spacing w:after="0"/>
            </w:pPr>
            <w:r>
              <w:t xml:space="preserve">Tourette Alliance First Annual Conference</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10:25</w:t>
            </w:r>
          </w:p>
        </w:tc>
        <w:tc>
          <w:tcPr>
            <w:tcW w:type="dxa" w:w="970"/>
            <w:tcMar>
              <w:top w:type="dxa" w:w="60"/>
              <w:left w:type="dxa" w:w="90"/>
              <w:bottom w:type="dxa" w:w="60"/>
              <w:right w:type="dxa" w:w="90"/>
            </w:tcMar>
          </w:tcPr>
          <w:p>
            <w:pPr>
              <w:spacing w:after="0"/>
            </w:pPr>
            <w:r>
              <w:t xml:space="preserve">21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37</w:t>
            </w:r>
          </w:p>
        </w:tc>
        <w:tc>
          <w:tcPr>
            <w:tcW w:type="dxa" w:w="3807"/>
            <w:tcMar>
              <w:top w:type="dxa" w:w="60"/>
              <w:left w:type="dxa" w:w="90"/>
              <w:bottom w:type="dxa" w:w="60"/>
              <w:right w:type="dxa" w:w="90"/>
            </w:tcMar>
          </w:tcPr>
          <w:p>
            <w:pPr>
              <w:spacing w:after="0"/>
            </w:pPr>
            <w:r>
              <w:t xml:space="preserve">Clandeboye Festival</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6:13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38</w:t>
            </w:r>
          </w:p>
        </w:tc>
        <w:tc>
          <w:tcPr>
            <w:tcW w:type="dxa" w:w="3807"/>
            <w:tcMar>
              <w:top w:type="dxa" w:w="60"/>
              <w:left w:type="dxa" w:w="90"/>
              <w:bottom w:type="dxa" w:w="60"/>
              <w:right w:type="dxa" w:w="90"/>
            </w:tcMar>
          </w:tcPr>
          <w:p>
            <w:pPr>
              <w:spacing w:after="0"/>
            </w:pPr>
            <w:r>
              <w:t xml:space="preserve">ArtisAnn Art Gallery</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6:37</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39</w:t>
            </w:r>
          </w:p>
        </w:tc>
        <w:tc>
          <w:tcPr>
            <w:tcW w:type="dxa" w:w="3807"/>
            <w:tcMar>
              <w:top w:type="dxa" w:w="60"/>
              <w:left w:type="dxa" w:w="90"/>
              <w:bottom w:type="dxa" w:w="60"/>
              <w:right w:type="dxa" w:w="90"/>
            </w:tcMar>
          </w:tcPr>
          <w:p>
            <w:pPr>
              <w:spacing w:after="0"/>
            </w:pPr>
            <w:r>
              <w:t xml:space="preserve">Child Poverty</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40</w:t>
            </w:r>
          </w:p>
        </w:tc>
        <w:tc>
          <w:tcPr>
            <w:tcW w:type="dxa" w:w="3807"/>
            <w:tcMar>
              <w:top w:type="dxa" w:w="60"/>
              <w:left w:type="dxa" w:w="90"/>
              <w:bottom w:type="dxa" w:w="60"/>
              <w:right w:type="dxa" w:w="90"/>
            </w:tcMar>
          </w:tcPr>
          <w:p>
            <w:pPr>
              <w:spacing w:after="0"/>
            </w:pPr>
            <w:r>
              <w:t xml:space="preserve">Belfast Tattoo 2016</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5:55</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41</w:t>
            </w:r>
          </w:p>
        </w:tc>
        <w:tc>
          <w:tcPr>
            <w:tcW w:type="dxa" w:w="3807"/>
            <w:tcMar>
              <w:top w:type="dxa" w:w="60"/>
              <w:left w:type="dxa" w:w="90"/>
              <w:bottom w:type="dxa" w:w="60"/>
              <w:right w:type="dxa" w:w="90"/>
            </w:tcMar>
          </w:tcPr>
          <w:p>
            <w:pPr>
              <w:spacing w:after="0"/>
            </w:pPr>
            <w:r>
              <w:t xml:space="preserve">Healthy Lunches</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42</w:t>
            </w:r>
          </w:p>
        </w:tc>
        <w:tc>
          <w:tcPr>
            <w:tcW w:type="dxa" w:w="3807"/>
            <w:tcMar>
              <w:top w:type="dxa" w:w="60"/>
              <w:left w:type="dxa" w:w="90"/>
              <w:bottom w:type="dxa" w:w="60"/>
              <w:right w:type="dxa" w:w="90"/>
            </w:tcMar>
          </w:tcPr>
          <w:p>
            <w:pPr>
              <w:spacing w:after="0"/>
            </w:pPr>
            <w:r>
              <w:t xml:space="preserve">Traffic Congestion in Belfast City Centre</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43</w:t>
            </w:r>
          </w:p>
        </w:tc>
        <w:tc>
          <w:tcPr>
            <w:tcW w:type="dxa" w:w="3807"/>
            <w:tcMar>
              <w:top w:type="dxa" w:w="60"/>
              <w:left w:type="dxa" w:w="90"/>
              <w:bottom w:type="dxa" w:w="60"/>
              <w:right w:type="dxa" w:w="90"/>
            </w:tcMar>
          </w:tcPr>
          <w:p>
            <w:pPr>
              <w:spacing w:after="0"/>
            </w:pPr>
            <w:r>
              <w:t xml:space="preserve">Market Tunnels</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6:07</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44</w:t>
            </w:r>
          </w:p>
        </w:tc>
        <w:tc>
          <w:tcPr>
            <w:tcW w:type="dxa" w:w="3807"/>
            <w:tcMar>
              <w:top w:type="dxa" w:w="60"/>
              <w:left w:type="dxa" w:w="90"/>
              <w:bottom w:type="dxa" w:w="60"/>
              <w:right w:type="dxa" w:w="90"/>
            </w:tcMar>
          </w:tcPr>
          <w:p>
            <w:pPr>
              <w:spacing w:after="0"/>
            </w:pPr>
            <w:r>
              <w:t xml:space="preserve">Beat The Street</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5:59</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45</w:t>
            </w:r>
          </w:p>
        </w:tc>
        <w:tc>
          <w:tcPr>
            <w:tcW w:type="dxa" w:w="3807"/>
            <w:tcMar>
              <w:top w:type="dxa" w:w="60"/>
              <w:left w:type="dxa" w:w="90"/>
              <w:bottom w:type="dxa" w:w="60"/>
              <w:right w:type="dxa" w:w="90"/>
            </w:tcMar>
          </w:tcPr>
          <w:p>
            <w:pPr>
              <w:spacing w:after="0"/>
            </w:pPr>
            <w:r>
              <w:t xml:space="preserve">Relate NI</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46</w:t>
            </w:r>
          </w:p>
        </w:tc>
        <w:tc>
          <w:tcPr>
            <w:tcW w:type="dxa" w:w="3807"/>
            <w:tcMar>
              <w:top w:type="dxa" w:w="60"/>
              <w:left w:type="dxa" w:w="90"/>
              <w:bottom w:type="dxa" w:w="60"/>
              <w:right w:type="dxa" w:w="90"/>
            </w:tcMar>
          </w:tcPr>
          <w:p>
            <w:pPr>
              <w:spacing w:after="0"/>
            </w:pPr>
            <w:r>
              <w:t xml:space="preserve">Belfast Comedy Festival</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5:16</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47</w:t>
            </w:r>
          </w:p>
        </w:tc>
        <w:tc>
          <w:tcPr>
            <w:tcW w:type="dxa" w:w="3807"/>
            <w:tcMar>
              <w:top w:type="dxa" w:w="60"/>
              <w:left w:type="dxa" w:w="90"/>
              <w:bottom w:type="dxa" w:w="60"/>
              <w:right w:type="dxa" w:w="90"/>
            </w:tcMar>
          </w:tcPr>
          <w:p>
            <w:pPr>
              <w:spacing w:after="0"/>
            </w:pPr>
            <w:r>
              <w:t xml:space="preserve">Millions Missing Demonstration</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8:01</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48</w:t>
            </w:r>
          </w:p>
        </w:tc>
        <w:tc>
          <w:tcPr>
            <w:tcW w:type="dxa" w:w="3807"/>
            <w:tcMar>
              <w:top w:type="dxa" w:w="60"/>
              <w:left w:type="dxa" w:w="90"/>
              <w:bottom w:type="dxa" w:w="60"/>
              <w:right w:type="dxa" w:w="90"/>
            </w:tcMar>
          </w:tcPr>
          <w:p>
            <w:pPr>
              <w:spacing w:after="0"/>
            </w:pPr>
            <w:r>
              <w:t xml:space="preserve">Shankill Arts Forum</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7:01</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49</w:t>
            </w:r>
          </w:p>
        </w:tc>
        <w:tc>
          <w:tcPr>
            <w:tcW w:type="dxa" w:w="3807"/>
            <w:tcMar>
              <w:top w:type="dxa" w:w="60"/>
              <w:left w:type="dxa" w:w="90"/>
              <w:bottom w:type="dxa" w:w="60"/>
              <w:right w:type="dxa" w:w="90"/>
            </w:tcMar>
          </w:tcPr>
          <w:p>
            <w:pPr>
              <w:spacing w:after="0"/>
            </w:pPr>
            <w:r>
              <w:t xml:space="preserve">Arabic in Northern Ireland Schools</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7:25</w:t>
            </w:r>
          </w:p>
        </w:tc>
        <w:tc>
          <w:tcPr>
            <w:tcW w:type="dxa" w:w="970"/>
            <w:tcMar>
              <w:top w:type="dxa" w:w="60"/>
              <w:left w:type="dxa" w:w="90"/>
              <w:bottom w:type="dxa" w:w="60"/>
              <w:right w:type="dxa" w:w="90"/>
            </w:tcMar>
          </w:tcPr>
          <w:p>
            <w:pPr>
              <w:spacing w:after="0"/>
            </w:pPr>
            <w:r>
              <w:t xml:space="preserve">15</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50</w:t>
            </w:r>
          </w:p>
        </w:tc>
        <w:tc>
          <w:tcPr>
            <w:tcW w:type="dxa" w:w="3807"/>
            <w:tcMar>
              <w:top w:type="dxa" w:w="60"/>
              <w:left w:type="dxa" w:w="90"/>
              <w:bottom w:type="dxa" w:w="60"/>
              <w:right w:type="dxa" w:w="90"/>
            </w:tcMar>
          </w:tcPr>
          <w:p>
            <w:pPr>
              <w:spacing w:after="0"/>
            </w:pPr>
            <w:r>
              <w:t xml:space="preserve">WHAT YOU SAY MATTERS Youth Forum</w:t>
            </w:r>
          </w:p>
        </w:tc>
        <w:tc>
          <w:tcPr>
            <w:tcW w:type="dxa" w:w="1439"/>
            <w:tcMar>
              <w:top w:type="dxa" w:w="60"/>
              <w:left w:type="dxa" w:w="90"/>
              <w:bottom w:type="dxa" w:w="60"/>
              <w:right w:type="dxa" w:w="90"/>
            </w:tcMar>
          </w:tcPr>
          <w:p>
            <w:pPr>
              <w:spacing w:after="0"/>
            </w:pPr>
            <w:r>
              <w:t xml:space="preserve">31 Oct 2016</w:t>
            </w:r>
          </w:p>
        </w:tc>
        <w:tc>
          <w:tcPr>
            <w:tcW w:type="dxa" w:w="1227"/>
            <w:tcMar>
              <w:top w:type="dxa" w:w="60"/>
              <w:left w:type="dxa" w:w="90"/>
              <w:bottom w:type="dxa" w:w="60"/>
              <w:right w:type="dxa" w:w="90"/>
            </w:tcMar>
          </w:tcPr>
          <w:p>
            <w:pPr>
              <w:spacing w:after="0"/>
            </w:pPr>
            <w:r>
              <w:t xml:space="preserve">7:43</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
            </w:r>
          </w:p>
        </w:tc>
        <w:tc>
          <w:tcPr>
            <w:tcW w:type="dxa" w:w="3807"/>
            <w:tcMar>
              <w:top w:type="dxa" w:w="60"/>
              <w:left w:type="dxa" w:w="90"/>
              <w:bottom w:type="dxa" w:w="60"/>
              <w:right w:type="dxa" w:w="90"/>
            </w:tcMar>
          </w:tcPr>
          <w:p>
            <w:pPr>
              <w:spacing w:after="0"/>
            </w:pPr>
            <w:r>
              <w:rPr>
                <w:b/>
                <w:bCs/>
              </w:rPr>
              <w:t xml:space="preserve">Total — 47 programmes</w:t>
            </w:r>
          </w:p>
        </w:tc>
        <w:tc>
          <w:tcPr>
            <w:tcW w:type="dxa" w:w="1439"/>
            <w:tcMar>
              <w:top w:type="dxa" w:w="60"/>
              <w:left w:type="dxa" w:w="90"/>
              <w:bottom w:type="dxa" w:w="60"/>
              <w:right w:type="dxa" w:w="90"/>
            </w:tcMar>
          </w:tcPr>
          <w:p>
            <w:pPr>
              <w:spacing w:after="0"/>
            </w:pPr>
            <w:r>
              <w:t xml:space="preserve"/>
            </w:r>
          </w:p>
        </w:tc>
        <w:tc>
          <w:tcPr>
            <w:tcW w:type="dxa" w:w="1227"/>
            <w:tcMar>
              <w:top w:type="dxa" w:w="60"/>
              <w:left w:type="dxa" w:w="90"/>
              <w:bottom w:type="dxa" w:w="60"/>
              <w:right w:type="dxa" w:w="90"/>
            </w:tcMar>
          </w:tcPr>
          <w:p>
            <w:pPr>
              <w:spacing w:after="0"/>
            </w:pPr>
            <w:r>
              <w:rPr>
                <w:b/>
                <w:bCs/>
              </w:rPr>
              <w:t xml:space="preserve">5:05:12</w:t>
            </w:r>
          </w:p>
        </w:tc>
        <w:tc>
          <w:tcPr>
            <w:tcW w:type="dxa" w:w="970"/>
            <w:tcMar>
              <w:top w:type="dxa" w:w="60"/>
              <w:left w:type="dxa" w:w="90"/>
              <w:bottom w:type="dxa" w:w="60"/>
              <w:right w:type="dxa" w:w="90"/>
            </w:tcMar>
          </w:tcPr>
          <w:p>
            <w:pPr>
              <w:spacing w:after="0"/>
            </w:pPr>
            <w:r>
              <w:rPr>
                <w:b/>
                <w:bCs/>
              </w:rPr>
              <w:t xml:space="preserve">626</w:t>
            </w:r>
          </w:p>
        </w:tc>
        <w:tc>
          <w:tcPr>
            <w:tcW w:type="dxa" w:w="1304"/>
            <w:tcMar>
              <w:top w:type="dxa" w:w="60"/>
              <w:left w:type="dxa" w:w="90"/>
              <w:bottom w:type="dxa" w:w="60"/>
              <w:right w:type="dxa" w:w="90"/>
            </w:tcMar>
          </w:tcPr>
          <w:p>
            <w:pPr>
              <w:spacing w:after="0"/>
            </w:pPr>
            <w:r>
              <w:rPr>
                <w:b/>
                <w:bCs/>
              </w:rPr>
              <w:t xml:space="preserve">123 / 503</w:t>
            </w:r>
          </w:p>
        </w:tc>
      </w:tr>
    </w:tbl>
    <w:p>
      <w:pPr>
        <w:spacing w:after="160"/>
      </w:pPr>
    </w:p>
    <w:p>
      <w:pPr>
        <w:spacing w:after="140" w:line="276"/>
        <w:jc w:val="both"/>
      </w:pPr>
      <w:r>
        <w:t xml:space="preserve">Programme numbering is NVTV's own and is not contiguous — 21, 22 and 23 are absent from the supplied collection, which is why 47 programmes carry numbers running to 50.</w:t>
      </w:r>
    </w:p>
    <w:p>
      <w:pPr>
        <w:spacing w:after="140" w:line="276"/>
        <w:jc w:val="both"/>
      </w:pPr>
      <w:r>
        <w:rPr>
          <w:b/>
          <w:bCs/>
        </w:rPr>
        <w:t xml:space="preserve">Provenance of each column.</w:t>
      </w:r>
      <w:r>
        <w:t xml:space="preserve"> Programme title, clip count and split are read directly from </w:t>
      </w:r>
      <w:r>
        <w:rPr>
          <w:rFonts w:ascii="Consolas" w:cs="Consolas" w:eastAsia="Consolas" w:hAnsi="Consolas"/>
          <w:sz w:val="18"/>
          <w:szCs w:val="18"/>
        </w:rPr>
        <w:t xml:space="preserve">clip_manifest.csv</w:t>
      </w:r>
      <w:r>
        <w:t xml:space="preserve"> and are authoritative. Durations are derived from the shot-detection pass of §3.8 (the end timestamp of a programme's final scene) rather than from FFprobe, and are therefore accurate to the frame rather than to the container header; they are reported to the nearest second. They sum to 17,988.4 s over the 46 programmes the detector covered; subtracting that from the corpus total of 18,312 s recorded above gives 323.6 s — the 5:24 marked </w:t>
      </w:r>
      <w:r>
        <w:rPr>
          <w:b/>
          <w:bCs/>
        </w:rPr>
        <w:t xml:space="preserve">`*`</w:t>
      </w:r>
      <w:r>
        <w:t xml:space="preserve"> for programme 32, which the detector did not process. That back-derived value is consistent with the programme's manifest clip count of 11 (ten full clips plus a 24 s tail), which is the check that makes it safe to publish. To replace the derived column with the authoritative one, read the manifest's own </w:t>
      </w:r>
      <w:r>
        <w:rPr>
          <w:rFonts w:ascii="Consolas" w:cs="Consolas" w:eastAsia="Consolas" w:hAnsi="Consolas"/>
          <w:sz w:val="18"/>
          <w:szCs w:val="18"/>
        </w:rPr>
        <w:t xml:space="preserve">source_duration_sec</w:t>
      </w:r>
      <w:r>
        <w:t xml:space="preserve"> field:</w:t>
      </w:r>
    </w:p>
    <w:p>
      <w:pPr>
        <w:shd w:fill="F4F4F4" w:color="auto" w:val="clear"/>
        <w:spacing w:after="0"/>
        <w:ind w:left="360"/>
      </w:pPr>
      <w:r>
        <w:rPr>
          <w:rFonts w:ascii="Consolas" w:cs="Consolas" w:eastAsia="Consolas" w:hAnsi="Consolas"/>
          <w:sz w:val="18"/>
          <w:szCs w:val="18"/>
        </w:rPr>
        <w:t xml:space="preserve">(pd.read_csv(CFG.manifest_file)</w:t>
      </w:r>
    </w:p>
    <w:p>
      <w:pPr>
        <w:shd w:fill="F4F4F4" w:color="auto" w:val="clear"/>
        <w:spacing w:after="0"/>
        <w:ind w:left="360"/>
      </w:pPr>
      <w:r>
        <w:rPr>
          <w:rFonts w:ascii="Consolas" w:cs="Consolas" w:eastAsia="Consolas" w:hAnsi="Consolas"/>
          <w:sz w:val="18"/>
          <w:szCs w:val="18"/>
        </w:rPr>
        <w:t xml:space="preserve">   .groupby(['source_video', 'split'], as_index=False)</w:t>
      </w:r>
    </w:p>
    <w:p>
      <w:pPr>
        <w:shd w:fill="F4F4F4" w:color="auto" w:val="clear"/>
        <w:spacing w:after="0"/>
        <w:ind w:left="360"/>
      </w:pPr>
      <w:r>
        <w:rPr>
          <w:rFonts w:ascii="Consolas" w:cs="Consolas" w:eastAsia="Consolas" w:hAnsi="Consolas"/>
          <w:sz w:val="18"/>
          <w:szCs w:val="18"/>
        </w:rPr>
        <w:t xml:space="preserve">   .agg(duration_sec=('source_duration_sec', 'first'), clips=('clip_id', 'size'))</w:t>
      </w:r>
    </w:p>
    <w:p>
      <w:pPr>
        <w:shd w:fill="F4F4F4" w:color="auto" w:val="clear"/>
        <w:spacing w:after="0"/>
        <w:ind w:left="360"/>
      </w:pPr>
      <w:r>
        <w:rPr>
          <w:rFonts w:ascii="Consolas" w:cs="Consolas" w:eastAsia="Consolas" w:hAnsi="Consolas"/>
          <w:sz w:val="18"/>
          <w:szCs w:val="18"/>
        </w:rPr>
        <w:t xml:space="preserve">   .sort_values('source_video'))</w:t>
      </w:r>
    </w:p>
    <w:p>
      <w:pPr>
        <w:spacing w:after="140"/>
      </w:pP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paper Table IV (</w:t>
      </w:r>
      <w:r>
        <w:rPr>
          <w:i/>
          <w:iCs/>
        </w:rPr>
        <w:t xml:space="preserve">n</w:t>
      </w:r>
      <w:r>
        <w:t xml:space="preserve"> = 626, all five fields).</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w:t>
      </w:r>
      <w:r>
        <w:rPr>
          <w:b/>
          <w:bCs/>
        </w:rPr>
        <w:t xml:space="preserve">vacuous; do not include them.</w:t>
      </w:r>
      <w:r>
        <w:t xml:space="preserve"> All </w:t>
      </w:r>
      <w:r>
        <w:rPr>
          <w:b/>
          <w:bCs/>
        </w:rPr>
        <w:t xml:space="preserve">21,489</w:t>
      </w:r>
      <w:r>
        <w:t xml:space="preserve"> rows of the benchmark accuracy report carry </w:t>
      </w:r>
      <w:r>
        <w:rPr>
          <w:rFonts w:ascii="Consolas" w:cs="Consolas" w:eastAsia="Consolas" w:hAnsi="Consolas"/>
          <w:sz w:val="18"/>
          <w:szCs w:val="18"/>
        </w:rPr>
        <w:t xml:space="preserve">ground_truth_agreement_tier = not_scored</w:t>
      </w:r>
      <w:r>
        <w:t xml:space="preserve">, a proportion of 1.000. The cause is structural, not a bug: </w:t>
      </w:r>
      <w:r>
        <w:rPr>
          <w:rFonts w:ascii="Consolas" w:cs="Consolas" w:eastAsia="Consolas" w:hAnsi="Consolas"/>
          <w:sz w:val="18"/>
          <w:szCs w:val="18"/>
        </w:rPr>
        <w:t xml:space="preserve">build_focused_ground_truth</w:t>
      </w:r>
      <w:r>
        <w:t xml:space="preserve"> flattens each field to its bare value via </w:t>
      </w:r>
      <w:r>
        <w:rPr>
          <w:rFonts w:ascii="Consolas" w:cs="Consolas" w:eastAsia="Consolas" w:hAnsi="Consolas"/>
          <w:sz w:val="18"/>
          <w:szCs w:val="18"/>
        </w:rPr>
        <w:t xml:space="preserve">focused_field_value</w:t>
      </w:r>
      <w:r>
        <w:t xml:space="preserve">, discarding </w:t>
      </w:r>
      <w:r>
        <w:rPr>
          <w:rFonts w:ascii="Consolas" w:cs="Consolas" w:eastAsia="Consolas" w:hAnsi="Consolas"/>
          <w:sz w:val="18"/>
          <w:szCs w:val="18"/>
        </w:rPr>
        <w:t xml:space="preserve">status</w:t>
      </w:r>
      <w:r>
        <w:t xml:space="preserve">, </w:t>
      </w:r>
      <w:r>
        <w:rPr>
          <w:rFonts w:ascii="Consolas" w:cs="Consolas" w:eastAsia="Consolas" w:hAnsi="Consolas"/>
          <w:sz w:val="18"/>
          <w:szCs w:val="18"/>
        </w:rPr>
        <w:t xml:space="preserve">agreement_score</w:t>
      </w:r>
      <w:r>
        <w:t xml:space="preserve">, </w:t>
      </w:r>
      <w:r>
        <w:rPr>
          <w:rFonts w:ascii="Consolas" w:cs="Consolas" w:eastAsia="Consolas" w:hAnsi="Consolas"/>
          <w:sz w:val="18"/>
          <w:szCs w:val="18"/>
        </w:rPr>
        <w:t xml:space="preserve">agreement_tier</w:t>
      </w:r>
      <w:r>
        <w:t xml:space="preserve">, </w:t>
      </w:r>
      <w:r>
        <w:rPr>
          <w:rFonts w:ascii="Consolas" w:cs="Consolas" w:eastAsia="Consolas" w:hAnsi="Consolas"/>
          <w:sz w:val="18"/>
          <w:szCs w:val="18"/>
        </w:rPr>
        <w:t xml:space="preserve">needs_caution</w:t>
      </w:r>
      <w:r>
        <w:t xml:space="preserve"> and </w:t>
      </w:r>
      <w:r>
        <w:rPr>
          <w:rFonts w:ascii="Consolas" w:cs="Consolas" w:eastAsia="Consolas" w:hAnsi="Consolas"/>
          <w:sz w:val="18"/>
          <w:szCs w:val="18"/>
        </w:rPr>
        <w:t xml:space="preserve">support_models</w:t>
      </w:r>
      <w:r>
        <w:t xml:space="preserve">, and the benchmark scores against that flattened file. Section 11's seven PNGs plot a single constant category. Answering "does the pipeline's own agreement predict how close each model gets" requires re-scoring the benchmark against </w:t>
      </w:r>
      <w:r>
        <w:rPr>
          <w:rFonts w:ascii="Consolas" w:cs="Consolas" w:eastAsia="Consolas" w:hAnsi="Consolas"/>
          <w:sz w:val="18"/>
          <w:szCs w:val="18"/>
        </w:rPr>
        <w:t xml:space="preserve">ground_truth_metadata.json</w:t>
      </w:r>
      <w:r>
        <w:t xml:space="preserve">, which retains the consensus dicts — a worthwhile experiment that the current artefacts cannot support.</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Five clips are reproduced here because each shows something the aggregate tables cannot. A sixth, which the placeholder at the end of this appendix specifies, is not recoverable from the committed artefacts.</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7"/>
        <w:gridCol w:w="5153"/>
      </w:tblGrid>
      <w:tr>
        <w:trPr>
          <w:tblHeader/>
        </w:trPr>
        <w:tc>
          <w:tcPr>
            <w:tcW w:type="dxa" w:w="4207"/>
            <w:shd w:fill="EFEFEF" w:color="auto" w:val="clear"/>
            <w:tcMar>
              <w:top w:type="dxa" w:w="60"/>
              <w:left w:type="dxa" w:w="90"/>
              <w:bottom w:type="dxa" w:w="60"/>
              <w:right w:type="dxa" w:w="90"/>
            </w:tcMar>
          </w:tcPr>
          <w:p>
            <w:pPr>
              <w:spacing w:after="0"/>
            </w:pPr>
            <w:r>
              <w:rPr>
                <w:b/>
                <w:bCs/>
              </w:rPr>
              <w:t xml:space="preserve">Source</w:t>
            </w:r>
          </w:p>
        </w:tc>
        <w:tc>
          <w:tcPr>
            <w:tcW w:type="dxa" w:w="5153"/>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207"/>
            <w:tcMar>
              <w:top w:type="dxa" w:w="60"/>
              <w:left w:type="dxa" w:w="90"/>
              <w:bottom w:type="dxa" w:w="60"/>
              <w:right w:type="dxa" w:w="90"/>
            </w:tcMar>
          </w:tcPr>
          <w:p>
            <w:pPr>
              <w:spacing w:after="0"/>
            </w:pPr>
            <w:r>
              <w:t xml:space="preserve">Reference (pipeline)</w:t>
            </w:r>
          </w:p>
        </w:tc>
        <w:tc>
          <w:tcPr>
            <w:tcW w:type="dxa" w:w="5153"/>
            <w:tcMar>
              <w:top w:type="dxa" w:w="60"/>
              <w:left w:type="dxa" w:w="90"/>
              <w:bottom w:type="dxa" w:w="60"/>
              <w:right w:type="dxa" w:w="90"/>
            </w:tcMar>
          </w:tcPr>
          <w:p>
            <w:pPr>
              <w:spacing w:after="0"/>
            </w:pPr>
            <w:r>
              <w:rPr>
                <w:i/>
                <w:iCs/>
              </w:rPr>
              <w:t xml:space="preserve">(empty)</w:t>
            </w:r>
          </w:p>
        </w:tc>
      </w:tr>
      <w:tr>
        <w:trPr>
          <w:tblHeader w:val="false"/>
        </w:trPr>
        <w:tc>
          <w:tcPr>
            <w:tcW w:type="dxa" w:w="4207"/>
            <w:tcMar>
              <w:top w:type="dxa" w:w="60"/>
              <w:left w:type="dxa" w:w="90"/>
              <w:bottom w:type="dxa" w:w="60"/>
              <w:right w:type="dxa" w:w="90"/>
            </w:tcMar>
          </w:tcPr>
          <w:p>
            <w:pPr>
              <w:spacing w:after="0"/>
            </w:pPr>
            <w:r>
              <w:t xml:space="preserve">InternVL3-2B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InternVL3-8B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207"/>
            <w:tcMar>
              <w:top w:type="dxa" w:w="60"/>
              <w:left w:type="dxa" w:w="90"/>
              <w:bottom w:type="dxa" w:w="60"/>
              <w:right w:type="dxa" w:w="90"/>
            </w:tcMar>
          </w:tcPr>
          <w:p>
            <w:pPr>
              <w:spacing w:after="0"/>
            </w:pPr>
            <w:r>
              <w:t xml:space="preserve">Qwen3-VL-2B-Instruct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Qwen3-VL-2B-Thinking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Qwen3-VL-8B-Instruct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rPr>
        <w:t xml:space="preserve">E.3 — `27_Growing_in_a_Shared_City_010716…clip0000`: the veto loses a name caption, and people count scatters on a defensible reference.</w:t>
      </w:r>
    </w:p>
    <w:p>
      <w:pPr>
        <w:spacing w:after="140" w:line="276"/>
        <w:jc w:val="both"/>
      </w:pPr>
      <w:r>
        <w:t xml:space="preserve">The published on-screen text is empty. Six of the seven models read the lower-third caption </w:t>
      </w:r>
      <w:r>
        <w:rPr>
          <w:rFonts w:ascii="Consolas" w:cs="Consolas" w:eastAsia="Consolas" w:hAnsi="Consolas"/>
          <w:sz w:val="18"/>
          <w:szCs w:val="18"/>
        </w:rPr>
        <w:t xml:space="preserve">Suzanne Wylie</w:t>
      </w:r>
      <w:r>
        <w:t xml:space="preserve"> / </w:t>
      </w:r>
      <w:r>
        <w:rPr>
          <w:rFonts w:ascii="Consolas" w:cs="Consolas" w:eastAsia="Consolas" w:hAnsi="Consolas"/>
          <w:sz w:val="18"/>
          <w:szCs w:val="18"/>
        </w:rPr>
        <w:t xml:space="preserve">Chief Executive, Belfast City Council</w:t>
      </w:r>
      <w:r>
        <w:t xml:space="preserve">, and five also read the </w:t>
      </w:r>
      <w:r>
        <w:rPr>
          <w:rFonts w:ascii="Consolas" w:cs="Consolas" w:eastAsia="Consolas" w:hAnsi="Consolas"/>
          <w:sz w:val="18"/>
          <w:szCs w:val="18"/>
        </w:rPr>
        <w:t xml:space="preserve">GIRDWOOD COMMUNITY HUB</w:t>
      </w:r>
      <w:r>
        <w:t xml:space="preserve"> title slide and the date </w:t>
      </w:r>
      <w:r>
        <w:rPr>
          <w:rFonts w:ascii="Consolas" w:cs="Consolas" w:eastAsia="Consolas" w:hAnsi="Consolas"/>
          <w:sz w:val="18"/>
          <w:szCs w:val="18"/>
        </w:rPr>
        <w:t xml:space="preserve">14 June 2016</w:t>
      </w:r>
      <w:r>
        <w:t xml:space="preserve">. E.1 showed the veto discarding a station ident, which an archivist would not miss; this is a named individual, their job title, an institution and a date — the four things a catalogue record most wants, all present on screen and all suppressed.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1"/>
        <w:gridCol w:w="2829"/>
      </w:tblGrid>
      <w:tr>
        <w:trPr>
          <w:tblHeader/>
        </w:trPr>
        <w:tc>
          <w:tcPr>
            <w:tcW w:type="dxa" w:w="6531"/>
            <w:shd w:fill="EFEFEF" w:color="auto" w:val="clear"/>
            <w:tcMar>
              <w:top w:type="dxa" w:w="60"/>
              <w:left w:type="dxa" w:w="90"/>
              <w:bottom w:type="dxa" w:w="60"/>
              <w:right w:type="dxa" w:w="90"/>
            </w:tcMar>
          </w:tcPr>
          <w:p>
            <w:pPr>
              <w:spacing w:after="0"/>
            </w:pPr>
            <w:r>
              <w:rPr>
                <w:b/>
                <w:bCs/>
              </w:rPr>
              <w:t xml:space="preserve">Source</w:t>
            </w:r>
          </w:p>
        </w:tc>
        <w:tc>
          <w:tcPr>
            <w:tcW w:type="dxa" w:w="2829"/>
            <w:shd w:fill="EFEFEF" w:color="auto" w:val="clear"/>
            <w:tcMar>
              <w:top w:type="dxa" w:w="60"/>
              <w:left w:type="dxa" w:w="90"/>
              <w:bottom w:type="dxa" w:w="60"/>
              <w:right w:type="dxa" w:w="90"/>
            </w:tcMar>
          </w:tcPr>
          <w:p>
            <w:pPr>
              <w:spacing w:after="0"/>
            </w:pPr>
            <w:r>
              <w:rPr>
                <w:b/>
                <w:bCs/>
              </w:rPr>
              <w:t xml:space="preserve">People count</w:t>
            </w:r>
          </w:p>
        </w:tc>
      </w:tr>
      <w:tr>
        <w:trPr>
          <w:tblHeader w:val="false"/>
        </w:trPr>
        <w:tc>
          <w:tcPr>
            <w:tcW w:type="dxa" w:w="6531"/>
            <w:tcMar>
              <w:top w:type="dxa" w:w="60"/>
              <w:left w:type="dxa" w:w="90"/>
              <w:bottom w:type="dxa" w:w="60"/>
              <w:right w:type="dxa" w:w="90"/>
            </w:tcMar>
          </w:tcPr>
          <w:p>
            <w:pPr>
              <w:spacing w:after="0"/>
            </w:pPr>
            <w:r>
              <w:t xml:space="preserve">Reference (pipeline)</w:t>
            </w:r>
          </w:p>
        </w:tc>
        <w:tc>
          <w:tcPr>
            <w:tcW w:type="dxa" w:w="2829"/>
            <w:tcMar>
              <w:top w:type="dxa" w:w="60"/>
              <w:left w:type="dxa" w:w="90"/>
              <w:bottom w:type="dxa" w:w="60"/>
              <w:right w:type="dxa" w:w="90"/>
            </w:tcMar>
          </w:tcPr>
          <w:p>
            <w:pPr>
              <w:spacing w:after="0"/>
            </w:pPr>
            <w:r>
              <w:t xml:space="preserve">1</w:t>
            </w:r>
          </w:p>
        </w:tc>
      </w:tr>
      <w:tr>
        <w:trPr>
          <w:tblHeader w:val="false"/>
        </w:trPr>
        <w:tc>
          <w:tcPr>
            <w:tcW w:type="dxa" w:w="6531"/>
            <w:tcMar>
              <w:top w:type="dxa" w:w="60"/>
              <w:left w:type="dxa" w:w="90"/>
              <w:bottom w:type="dxa" w:w="60"/>
              <w:right w:type="dxa" w:w="90"/>
            </w:tcMar>
          </w:tcPr>
          <w:p>
            <w:pPr>
              <w:spacing w:after="0"/>
            </w:pPr>
            <w:r>
              <w:t xml:space="preserve">InternVL3-2B</w:t>
            </w:r>
          </w:p>
        </w:tc>
        <w:tc>
          <w:tcPr>
            <w:tcW w:type="dxa" w:w="2829"/>
            <w:tcMar>
              <w:top w:type="dxa" w:w="60"/>
              <w:left w:type="dxa" w:w="90"/>
              <w:bottom w:type="dxa" w:w="60"/>
              <w:right w:type="dxa" w:w="90"/>
            </w:tcMar>
          </w:tcPr>
          <w:p>
            <w:pPr>
              <w:spacing w:after="0"/>
            </w:pPr>
            <w:r>
              <w:t xml:space="preserve">1</w:t>
            </w:r>
          </w:p>
        </w:tc>
      </w:tr>
      <w:tr>
        <w:trPr>
          <w:tblHeader w:val="false"/>
        </w:trPr>
        <w:tc>
          <w:tcPr>
            <w:tcW w:type="dxa" w:w="6531"/>
            <w:tcMar>
              <w:top w:type="dxa" w:w="60"/>
              <w:left w:type="dxa" w:w="90"/>
              <w:bottom w:type="dxa" w:w="60"/>
              <w:right w:type="dxa" w:w="90"/>
            </w:tcMar>
          </w:tcPr>
          <w:p>
            <w:pPr>
              <w:spacing w:after="0"/>
            </w:pPr>
            <w:r>
              <w:t xml:space="preserve">InternVL3-8B, Qwen3-VL-2B-Instruct, Qwen3-VL-4B-Thinking</w:t>
            </w:r>
          </w:p>
        </w:tc>
        <w:tc>
          <w:tcPr>
            <w:tcW w:type="dxa" w:w="2829"/>
            <w:tcMar>
              <w:top w:type="dxa" w:w="60"/>
              <w:left w:type="dxa" w:w="90"/>
              <w:bottom w:type="dxa" w:w="60"/>
              <w:right w:type="dxa" w:w="90"/>
            </w:tcMar>
          </w:tcPr>
          <w:p>
            <w:pPr>
              <w:spacing w:after="0"/>
            </w:pPr>
            <w:r>
              <w:t xml:space="preserve">2</w:t>
            </w:r>
          </w:p>
        </w:tc>
      </w:tr>
      <w:tr>
        <w:trPr>
          <w:tblHeader w:val="false"/>
        </w:trPr>
        <w:tc>
          <w:tcPr>
            <w:tcW w:type="dxa" w:w="6531"/>
            <w:tcMar>
              <w:top w:type="dxa" w:w="60"/>
              <w:left w:type="dxa" w:w="90"/>
              <w:bottom w:type="dxa" w:w="60"/>
              <w:right w:type="dxa" w:w="90"/>
            </w:tcMar>
          </w:tcPr>
          <w:p>
            <w:pPr>
              <w:spacing w:after="0"/>
            </w:pPr>
            <w:r>
              <w:t xml:space="preserve">Qwen3-VL-2B-Thinking, Qwen3-VL-4B-Instruct, Qwen3-VL-8B-Instruct</w:t>
            </w:r>
          </w:p>
        </w:tc>
        <w:tc>
          <w:tcPr>
            <w:tcW w:type="dxa" w:w="2829"/>
            <w:tcMar>
              <w:top w:type="dxa" w:w="60"/>
              <w:left w:type="dxa" w:w="90"/>
              <w:bottom w:type="dxa" w:w="60"/>
              <w:right w:type="dxa" w:w="90"/>
            </w:tcMar>
          </w:tcPr>
          <w:p>
            <w:pPr>
              <w:spacing w:after="0"/>
            </w:pPr>
            <w:r>
              <w:t xml:space="preserve">3</w:t>
            </w:r>
          </w:p>
        </w:tc>
      </w:tr>
    </w:tbl>
    <w:p>
      <w:pPr>
        <w:spacing w:after="160"/>
      </w:pPr>
    </w:p>
    <w:p>
      <w:pPr>
        <w:spacing w:after="140" w:line="276"/>
        <w:jc w:val="both"/>
      </w:pPr>
      <w:r>
        <w:t xml:space="preserve">The clip shows one speaker in front of a presentation slide that itself contains people, so the reference's 1 and the models' 2–3 are both arguable and the disagreement is about what counts as a person, not about what is visible. Nothing in the agreement machinery can represent that: the people-count field's 0.812 agreement measures how often four visual sources return the same integer, not how often that integer is right.</w:t>
      </w:r>
    </w:p>
    <w:p>
      <w:pPr>
        <w:spacing w:after="140" w:line="276"/>
        <w:jc w:val="both"/>
      </w:pPr>
      <w:r>
        <w:rPr>
          <w:b/>
          <w:bCs/>
        </w:rPr>
        <w:t xml:space="preserve">E.4 — `44_Beat_The_Street_050916…clip0001`: what the models cost when they are trusted.</w:t>
      </w:r>
    </w:p>
    <w:p>
      <w:pPr>
        <w:spacing w:after="140" w:line="276"/>
        <w:jc w:val="both"/>
      </w:pPr>
      <w:r>
        <w:t xml:space="preserve">E.1 to E.3 all show the pipeline losing to the models. This clip is the counterweight. The published on-screen text is again empty and the models again recover the lower-third (</w:t>
      </w:r>
      <w:r>
        <w:rPr>
          <w:rFonts w:ascii="Consolas" w:cs="Consolas" w:eastAsia="Consolas" w:hAnsi="Consolas"/>
          <w:sz w:val="18"/>
          <w:szCs w:val="18"/>
        </w:rPr>
        <w:t xml:space="preserve">Dianne Whyte</w:t>
      </w:r>
      <w:r>
        <w:t xml:space="preserve">, </w:t>
      </w:r>
      <w:r>
        <w:rPr>
          <w:rFonts w:ascii="Consolas" w:cs="Consolas" w:eastAsia="Consolas" w:hAnsi="Consolas"/>
          <w:sz w:val="18"/>
          <w:szCs w:val="18"/>
        </w:rPr>
        <w:t xml:space="preserve">Engagement Officer, Beat The Street</w:t>
      </w:r>
      <w:r>
        <w:t xml:space="preserve">) — but two of them also emit a contact address that is not in the frame and not real: Qwen3-VL-4B-Instruct returns </w:t>
      </w:r>
      <w:r>
        <w:rPr>
          <w:rFonts w:ascii="Consolas" w:cs="Consolas" w:eastAsia="Consolas" w:hAnsi="Consolas"/>
          <w:sz w:val="18"/>
          <w:szCs w:val="18"/>
        </w:rPr>
        <w:t xml:space="preserve">team@beatthestreet.nz</w:t>
      </w:r>
      <w:r>
        <w:t xml:space="preserve"> and Qwen3-VL-4B-Thinking returns </w:t>
      </w:r>
      <w:r>
        <w:rPr>
          <w:rFonts w:ascii="Consolas" w:cs="Consolas" w:eastAsia="Consolas" w:hAnsi="Consolas"/>
          <w:sz w:val="18"/>
          <w:szCs w:val="18"/>
        </w:rPr>
        <w:t xml:space="preserve">beatthestreet.org.nz</w:t>
      </w:r>
      <w:r>
        <w:t xml:space="preserve">, both New Zealand domains for a UK scheme. Qwen3-VL-4B-Thinking additionally renders the job title as </w:t>
      </w:r>
      <w:r>
        <w:rPr>
          <w:rFonts w:ascii="Consolas" w:cs="Consolas" w:eastAsia="Consolas" w:hAnsi="Consolas"/>
          <w:sz w:val="18"/>
          <w:szCs w:val="18"/>
        </w:rPr>
        <w:t xml:space="preserve">Engagement Officer, Beat The Straight</w:t>
      </w:r>
      <w:r>
        <w:t xml:space="preserve">.</w:t>
      </w:r>
    </w:p>
    <w:p>
      <w:pPr>
        <w:spacing w:after="140" w:line="276"/>
        <w:jc w:val="both"/>
      </w:pPr>
      <w:r>
        <w:t xml:space="preserve">This is the object-hallucination failure mode [14] in the OCR field, and it is the reason the strict dual-engine rule exists. A veto that suppresses four true captions and one false contact address is making a defensible trade for a catalogue that no one will check; the point of Appendix E is that the aggregate ROUGE-L numbers show only one side of it.</w:t>
      </w:r>
    </w:p>
    <w:p>
      <w:pPr>
        <w:spacing w:after="140" w:line="276"/>
        <w:jc w:val="both"/>
      </w:pPr>
      <w:r>
        <w:rPr>
          <w:b/>
          <w:bCs/>
        </w:rPr>
        <w:t xml:space="preserve">E.5 — `10_Jacobin_Launch_230316…clip0004`: counting a room, and the interview prior.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1"/>
        <w:gridCol w:w="2829"/>
      </w:tblGrid>
      <w:tr>
        <w:trPr>
          <w:tblHeader/>
        </w:trPr>
        <w:tc>
          <w:tcPr>
            <w:tcW w:type="dxa" w:w="6531"/>
            <w:shd w:fill="EFEFEF" w:color="auto" w:val="clear"/>
            <w:tcMar>
              <w:top w:type="dxa" w:w="60"/>
              <w:left w:type="dxa" w:w="90"/>
              <w:bottom w:type="dxa" w:w="60"/>
              <w:right w:type="dxa" w:w="90"/>
            </w:tcMar>
          </w:tcPr>
          <w:p>
            <w:pPr>
              <w:spacing w:after="0"/>
            </w:pPr>
            <w:r>
              <w:rPr>
                <w:b/>
                <w:bCs/>
              </w:rPr>
              <w:t xml:space="preserve">Source</w:t>
            </w:r>
          </w:p>
        </w:tc>
        <w:tc>
          <w:tcPr>
            <w:tcW w:type="dxa" w:w="2829"/>
            <w:shd w:fill="EFEFEF" w:color="auto" w:val="clear"/>
            <w:tcMar>
              <w:top w:type="dxa" w:w="60"/>
              <w:left w:type="dxa" w:w="90"/>
              <w:bottom w:type="dxa" w:w="60"/>
              <w:right w:type="dxa" w:w="90"/>
            </w:tcMar>
          </w:tcPr>
          <w:p>
            <w:pPr>
              <w:spacing w:after="0"/>
            </w:pPr>
            <w:r>
              <w:rPr>
                <w:b/>
                <w:bCs/>
              </w:rPr>
              <w:t xml:space="preserve">People count</w:t>
            </w:r>
          </w:p>
        </w:tc>
      </w:tr>
      <w:tr>
        <w:trPr>
          <w:tblHeader w:val="false"/>
        </w:trPr>
        <w:tc>
          <w:tcPr>
            <w:tcW w:type="dxa" w:w="6531"/>
            <w:tcMar>
              <w:top w:type="dxa" w:w="60"/>
              <w:left w:type="dxa" w:w="90"/>
              <w:bottom w:type="dxa" w:w="60"/>
              <w:right w:type="dxa" w:w="90"/>
            </w:tcMar>
          </w:tcPr>
          <w:p>
            <w:pPr>
              <w:spacing w:after="0"/>
            </w:pPr>
            <w:r>
              <w:t xml:space="preserve">Reference (pipeline)</w:t>
            </w:r>
          </w:p>
        </w:tc>
        <w:tc>
          <w:tcPr>
            <w:tcW w:type="dxa" w:w="2829"/>
            <w:tcMar>
              <w:top w:type="dxa" w:w="60"/>
              <w:left w:type="dxa" w:w="90"/>
              <w:bottom w:type="dxa" w:w="60"/>
              <w:right w:type="dxa" w:w="90"/>
            </w:tcMar>
          </w:tcPr>
          <w:p>
            <w:pPr>
              <w:spacing w:after="0"/>
            </w:pPr>
            <w:r>
              <w:t xml:space="preserve">5</w:t>
            </w:r>
          </w:p>
        </w:tc>
      </w:tr>
      <w:tr>
        <w:trPr>
          <w:tblHeader w:val="false"/>
        </w:trPr>
        <w:tc>
          <w:tcPr>
            <w:tcW w:type="dxa" w:w="6531"/>
            <w:tcMar>
              <w:top w:type="dxa" w:w="60"/>
              <w:left w:type="dxa" w:w="90"/>
              <w:bottom w:type="dxa" w:w="60"/>
              <w:right w:type="dxa" w:w="90"/>
            </w:tcMar>
          </w:tcPr>
          <w:p>
            <w:pPr>
              <w:spacing w:after="0"/>
            </w:pPr>
            <w:r>
              <w:t xml:space="preserve">InternVL3-8B</w:t>
            </w:r>
          </w:p>
        </w:tc>
        <w:tc>
          <w:tcPr>
            <w:tcW w:type="dxa" w:w="2829"/>
            <w:tcMar>
              <w:top w:type="dxa" w:w="60"/>
              <w:left w:type="dxa" w:w="90"/>
              <w:bottom w:type="dxa" w:w="60"/>
              <w:right w:type="dxa" w:w="90"/>
            </w:tcMar>
          </w:tcPr>
          <w:p>
            <w:pPr>
              <w:spacing w:after="0"/>
            </w:pPr>
            <w:r>
              <w:t xml:space="preserve">6</w:t>
            </w:r>
          </w:p>
        </w:tc>
      </w:tr>
      <w:tr>
        <w:trPr>
          <w:tblHeader w:val="false"/>
        </w:trPr>
        <w:tc>
          <w:tcPr>
            <w:tcW w:type="dxa" w:w="6531"/>
            <w:tcMar>
              <w:top w:type="dxa" w:w="60"/>
              <w:left w:type="dxa" w:w="90"/>
              <w:bottom w:type="dxa" w:w="60"/>
              <w:right w:type="dxa" w:w="90"/>
            </w:tcMar>
          </w:tcPr>
          <w:p>
            <w:pPr>
              <w:spacing w:after="0"/>
            </w:pPr>
            <w:r>
              <w:t xml:space="preserve">InternVL3-2B</w:t>
            </w:r>
          </w:p>
        </w:tc>
        <w:tc>
          <w:tcPr>
            <w:tcW w:type="dxa" w:w="2829"/>
            <w:tcMar>
              <w:top w:type="dxa" w:w="60"/>
              <w:left w:type="dxa" w:w="90"/>
              <w:bottom w:type="dxa" w:w="60"/>
              <w:right w:type="dxa" w:w="90"/>
            </w:tcMar>
          </w:tcPr>
          <w:p>
            <w:pPr>
              <w:spacing w:after="0"/>
            </w:pPr>
            <w:r>
              <w:t xml:space="preserve">9</w:t>
            </w:r>
          </w:p>
        </w:tc>
      </w:tr>
      <w:tr>
        <w:trPr>
          <w:tblHeader w:val="false"/>
        </w:trPr>
        <w:tc>
          <w:tcPr>
            <w:tcW w:type="dxa" w:w="6531"/>
            <w:tcMar>
              <w:top w:type="dxa" w:w="60"/>
              <w:left w:type="dxa" w:w="90"/>
              <w:bottom w:type="dxa" w:w="60"/>
              <w:right w:type="dxa" w:w="90"/>
            </w:tcMar>
          </w:tcPr>
          <w:p>
            <w:pPr>
              <w:spacing w:after="0"/>
            </w:pPr>
            <w:r>
              <w:t xml:space="preserve">Qwen3-VL-4B-Instruct, Qwen3-VL-8B-Instruct</w:t>
            </w:r>
          </w:p>
        </w:tc>
        <w:tc>
          <w:tcPr>
            <w:tcW w:type="dxa" w:w="2829"/>
            <w:tcMar>
              <w:top w:type="dxa" w:w="60"/>
              <w:left w:type="dxa" w:w="90"/>
              <w:bottom w:type="dxa" w:w="60"/>
              <w:right w:type="dxa" w:w="90"/>
            </w:tcMar>
          </w:tcPr>
          <w:p>
            <w:pPr>
              <w:spacing w:after="0"/>
            </w:pPr>
            <w:r>
              <w:t xml:space="preserve">10</w:t>
            </w:r>
          </w:p>
        </w:tc>
      </w:tr>
      <w:tr>
        <w:trPr>
          <w:tblHeader w:val="false"/>
        </w:trPr>
        <w:tc>
          <w:tcPr>
            <w:tcW w:type="dxa" w:w="6531"/>
            <w:tcMar>
              <w:top w:type="dxa" w:w="60"/>
              <w:left w:type="dxa" w:w="90"/>
              <w:bottom w:type="dxa" w:w="60"/>
              <w:right w:type="dxa" w:w="90"/>
            </w:tcMar>
          </w:tcPr>
          <w:p>
            <w:pPr>
              <w:spacing w:after="0"/>
            </w:pPr>
            <w:r>
              <w:t xml:space="preserve">Qwen3-VL-2B-Instruct, Qwen3-VL-2B-Thinking, Qwen3-VL-4B-Thinking</w:t>
            </w:r>
          </w:p>
        </w:tc>
        <w:tc>
          <w:tcPr>
            <w:tcW w:type="dxa" w:w="2829"/>
            <w:tcMar>
              <w:top w:type="dxa" w:w="60"/>
              <w:left w:type="dxa" w:w="90"/>
              <w:bottom w:type="dxa" w:w="60"/>
              <w:right w:type="dxa" w:w="90"/>
            </w:tcMar>
          </w:tcPr>
          <w:p>
            <w:pPr>
              <w:spacing w:after="0"/>
            </w:pPr>
            <w:r>
              <w:t xml:space="preserve">15</w:t>
            </w:r>
          </w:p>
        </w:tc>
      </w:tr>
    </w:tbl>
    <w:p>
      <w:pPr>
        <w:spacing w:after="160"/>
      </w:pPr>
    </w:p>
    <w:p>
      <w:pPr>
        <w:spacing w:after="140" w:line="276"/>
        <w:jc w:val="both"/>
      </w:pPr>
      <w:r>
        <w:t xml:space="preserve">Against a seated audience the seven models span 6 to 15 and the reference says 5. E.2's unanimous 1 and this clip's three-fold spread are the same field under different conditions, which is the sharpest available statement of what the headline agreement figure conceals: people count is reliable where the evidence is a single framed speaker and unreliable where it is a room, and one mean over 626 clips reports only the mixture.</w:t>
      </w:r>
    </w:p>
    <w:p>
      <w:pPr>
        <w:spacing w:after="140" w:line="276"/>
        <w:jc w:val="both"/>
      </w:pPr>
      <w:r>
        <w:t xml:space="preserve">The visual tags show the second effect. The published tags are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reporter</w:t>
      </w:r>
      <w:r>
        <w:t xml:space="preserve">; the clip is a book launch with a speaker addressing a seated audience, which five of seven models label </w:t>
      </w:r>
      <w:r>
        <w:rPr>
          <w:rFonts w:ascii="Consolas" w:cs="Consolas" w:eastAsia="Consolas" w:hAnsi="Consolas"/>
          <w:sz w:val="18"/>
          <w:szCs w:val="18"/>
        </w:rPr>
        <w:t xml:space="preserve">public meeting</w:t>
      </w:r>
      <w:r>
        <w:t xml:space="preserve"> or </w:t>
      </w:r>
      <w:r>
        <w:rPr>
          <w:rFonts w:ascii="Consolas" w:cs="Consolas" w:eastAsia="Consolas" w:hAnsi="Consolas"/>
          <w:sz w:val="18"/>
          <w:szCs w:val="18"/>
        </w:rPr>
        <w:t xml:space="preserve">audience</w:t>
      </w:r>
      <w:r>
        <w:t xml:space="preserve"> with </w:t>
      </w:r>
      <w:r>
        <w:rPr>
          <w:rFonts w:ascii="Consolas" w:cs="Consolas" w:eastAsia="Consolas" w:hAnsi="Consolas"/>
          <w:sz w:val="18"/>
          <w:szCs w:val="18"/>
        </w:rPr>
        <w:t xml:space="preserve">stage</w:t>
      </w:r>
      <w:r>
        <w:t xml:space="preserve"> and </w:t>
      </w:r>
      <w:r>
        <w:rPr>
          <w:rFonts w:ascii="Consolas" w:cs="Consolas" w:eastAsia="Consolas" w:hAnsi="Consolas"/>
          <w:sz w:val="18"/>
          <w:szCs w:val="18"/>
        </w:rPr>
        <w:t xml:space="preserve">podium</w:t>
      </w:r>
      <w:r>
        <w:t xml:space="preserve">. Neither </w:t>
      </w:r>
      <w:r>
        <w:rPr>
          <w:rFonts w:ascii="Consolas" w:cs="Consolas" w:eastAsia="Consolas" w:hAnsi="Consolas"/>
          <w:sz w:val="18"/>
          <w:szCs w:val="18"/>
        </w:rPr>
        <w:t xml:space="preserve">interview</w:t>
      </w:r>
      <w:r>
        <w:t xml:space="preserve"> nor </w:t>
      </w:r>
      <w:r>
        <w:rPr>
          <w:rFonts w:ascii="Consolas" w:cs="Consolas" w:eastAsia="Consolas" w:hAnsi="Consolas"/>
          <w:sz w:val="18"/>
          <w:szCs w:val="18"/>
        </w:rPr>
        <w:t xml:space="preserve">reporter</w:t>
      </w:r>
      <w:r>
        <w:t xml:space="preserve"> is right. The tag-frequency audit in §6.1 gives the reason — </w:t>
      </w:r>
      <w:r>
        <w:rPr>
          <w:rFonts w:ascii="Consolas" w:cs="Consolas" w:eastAsia="Consolas" w:hAnsi="Consolas"/>
          <w:sz w:val="18"/>
          <w:szCs w:val="18"/>
        </w:rPr>
        <w:t xml:space="preserve">person speaking</w:t>
      </w:r>
      <w:r>
        <w:t xml:space="preserve"> fires on 94.9% of clips and </w:t>
      </w:r>
      <w:r>
        <w:rPr>
          <w:rFonts w:ascii="Consolas" w:cs="Consolas" w:eastAsia="Consolas" w:hAnsi="Consolas"/>
          <w:sz w:val="18"/>
          <w:szCs w:val="18"/>
        </w:rPr>
        <w:t xml:space="preserve">interview</w:t>
      </w:r>
      <w:r>
        <w:t xml:space="preserve"> on 85.8% — so the published tags on this clip are close to what the vocabulary returns by default. Three of the seven models nonetheless also emit </w:t>
      </w:r>
      <w:r>
        <w:rPr>
          <w:rFonts w:ascii="Consolas" w:cs="Consolas" w:eastAsia="Consolas" w:hAnsi="Consolas"/>
          <w:sz w:val="18"/>
          <w:szCs w:val="18"/>
        </w:rPr>
        <w:t xml:space="preserve">interview</w:t>
      </w:r>
      <w:r>
        <w:t xml:space="preserve">, which suggests the prior is in the models as well as in the scoring vocabulary.</w:t>
      </w:r>
    </w:p>
    <w:p>
      <w:pPr>
        <w:spacing w:after="140" w:line="276"/>
        <w:jc w:val="both"/>
      </w:pPr>
      <w:r>
        <w:t xml:space="preserve">Every model also read </w:t>
      </w:r>
      <w:r>
        <w:rPr>
          <w:rFonts w:ascii="Consolas" w:cs="Consolas" w:eastAsia="Consolas" w:hAnsi="Consolas"/>
          <w:sz w:val="18"/>
          <w:szCs w:val="18"/>
        </w:rPr>
        <w:t xml:space="preserve">REPUBLIC</w:t>
      </w:r>
      <w:r>
        <w:t xml:space="preserve"> from the backdrop against an empty reference — a third independent instance of the veto's behaviour, in a clip chosen for other reasons.</w:t>
      </w:r>
    </w:p>
    <w:p>
      <w:pPr>
        <w:spacing w:after="140" w:line="276"/>
        <w:jc w:val="both"/>
      </w:pPr>
      <w:r>
        <w:rPr>
          <w:b/>
          <w:bCs/>
          <w:highlight w:val="yellow"/>
          <w:highlightCs w:val="yellow"/>
        </w:rPr>
        <w:t xml:space="preserve">`[TO FILL: one further clip, showing a case where the hosted annotator changed the published visual tags (paper §IV-F). The five clips above come from the benchmark spot-check, which prints the published reference against the seven benchmark models and therefore cannot show it; the per-clip `gemini_ablation` diagnostic lives in `ground_truth_metadata.json`, which is not in the repository. RQ4 reports that the hosted annotator changed the published visual tags on 49.0% of clips, and no single instance of that change is shown anywhere in either document. One cell in `01_metadata_pipeline.ipynb` produces the example:]`</w:t>
      </w:r>
    </w:p>
    <w:p>
      <w:pPr>
        <w:shd w:fill="F4F4F4" w:color="auto" w:val="clear"/>
        <w:spacing w:after="0"/>
        <w:ind w:left="360"/>
      </w:pPr>
      <w:r>
        <w:rPr>
          <w:rFonts w:ascii="Consolas" w:cs="Consolas" w:eastAsia="Consolas" w:hAnsi="Consolas"/>
          <w:sz w:val="18"/>
          <w:szCs w:val="18"/>
        </w:rPr>
        <w:t xml:space="preserve">gt = json.loads(FOCUSED_GROUND_TRUTH_FILE.with_name(</w:t>
      </w:r>
    </w:p>
    <w:p>
      <w:pPr>
        <w:shd w:fill="F4F4F4" w:color="auto" w:val="clear"/>
        <w:spacing w:after="0"/>
        <w:ind w:left="360"/>
      </w:pPr>
      <w:r>
        <w:rPr>
          <w:rFonts w:ascii="Consolas" w:cs="Consolas" w:eastAsia="Consolas" w:hAnsi="Consolas"/>
          <w:sz w:val="18"/>
          <w:szCs w:val="18"/>
        </w:rPr>
        <w:t xml:space="preserve">    "ground_truth_metadata.json").read_text())</w:t>
      </w:r>
    </w:p>
    <w:p>
      <w:pPr>
        <w:shd w:fill="F4F4F4" w:color="auto" w:val="clear"/>
        <w:spacing w:after="0"/>
        <w:ind w:left="360"/>
      </w:pPr>
      <w:r>
        <w:rPr>
          <w:rFonts w:ascii="Consolas" w:cs="Consolas" w:eastAsia="Consolas" w:hAnsi="Consolas"/>
          <w:sz w:val="18"/>
          <w:szCs w:val="18"/>
        </w:rPr>
        <w:t xml:space="preserve">for clip in gt["clips"]:</w:t>
      </w:r>
    </w:p>
    <w:p>
      <w:pPr>
        <w:shd w:fill="F4F4F4" w:color="auto" w:val="clear"/>
        <w:spacing w:after="0"/>
        <w:ind w:left="360"/>
      </w:pPr>
      <w:r>
        <w:rPr>
          <w:rFonts w:ascii="Consolas" w:cs="Consolas" w:eastAsia="Consolas" w:hAnsi="Consolas"/>
          <w:sz w:val="18"/>
          <w:szCs w:val="18"/>
        </w:rPr>
        <w:t xml:space="preserve">    ev = (clip.get("ground_truth_metadata") or {}).get("visual_tags") or {}</w:t>
      </w:r>
    </w:p>
    <w:p>
      <w:pPr>
        <w:shd w:fill="F4F4F4" w:color="auto" w:val="clear"/>
        <w:spacing w:after="0"/>
        <w:ind w:left="360"/>
      </w:pPr>
      <w:r>
        <w:rPr>
          <w:rFonts w:ascii="Consolas" w:cs="Consolas" w:eastAsia="Consolas" w:hAnsi="Consolas"/>
          <w:sz w:val="18"/>
          <w:szCs w:val="18"/>
        </w:rPr>
        <w:t xml:space="preserve">    abl = ev.get("gemini_ablation") or {}</w:t>
      </w:r>
    </w:p>
    <w:p>
      <w:pPr>
        <w:shd w:fill="F4F4F4" w:color="auto" w:val="clear"/>
        <w:spacing w:after="0"/>
        <w:ind w:left="360"/>
      </w:pPr>
      <w:r>
        <w:rPr>
          <w:rFonts w:ascii="Consolas" w:cs="Consolas" w:eastAsia="Consolas" w:hAnsi="Consolas"/>
          <w:sz w:val="18"/>
          <w:szCs w:val="18"/>
        </w:rPr>
        <w:t xml:space="preserve">    if abl.get("available") and abl.get("exact_output_changed"):</w:t>
      </w:r>
    </w:p>
    <w:p>
      <w:pPr>
        <w:shd w:fill="F4F4F4" w:color="auto" w:val="clear"/>
        <w:spacing w:after="0"/>
        <w:ind w:left="360"/>
      </w:pPr>
      <w:r>
        <w:rPr>
          <w:rFonts w:ascii="Consolas" w:cs="Consolas" w:eastAsia="Consolas" w:hAnsi="Consolas"/>
          <w:sz w:val="18"/>
          <w:szCs w:val="18"/>
        </w:rPr>
        <w:t xml:space="preserve">        print(clip["clip_id"], clip.get("split"))</w:t>
      </w:r>
    </w:p>
    <w:p>
      <w:pPr>
        <w:shd w:fill="F4F4F4" w:color="auto" w:val="clear"/>
        <w:spacing w:after="0"/>
        <w:ind w:left="360"/>
      </w:pPr>
      <w:r>
        <w:rPr>
          <w:rFonts w:ascii="Consolas" w:cs="Consolas" w:eastAsia="Consolas" w:hAnsi="Consolas"/>
          <w:sz w:val="18"/>
          <w:szCs w:val="18"/>
        </w:rPr>
        <w:t xml:space="preserve">        print("  published :", ev.get("value"))</w:t>
      </w:r>
    </w:p>
    <w:p>
      <w:pPr>
        <w:shd w:fill="F4F4F4" w:color="auto" w:val="clear"/>
        <w:spacing w:after="0"/>
        <w:ind w:left="360"/>
      </w:pPr>
      <w:r>
        <w:rPr>
          <w:rFonts w:ascii="Consolas" w:cs="Consolas" w:eastAsia="Consolas" w:hAnsi="Consolas"/>
          <w:sz w:val="18"/>
          <w:szCs w:val="18"/>
        </w:rPr>
        <w:t xml:space="preserve">        print("  gemini    :", abl.get("gemini_candidate"))</w:t>
      </w:r>
    </w:p>
    <w:p>
      <w:pPr>
        <w:shd w:fill="F4F4F4" w:color="auto" w:val="clear"/>
        <w:spacing w:after="0"/>
        <w:ind w:left="360"/>
      </w:pPr>
      <w:r>
        <w:rPr>
          <w:rFonts w:ascii="Consolas" w:cs="Consolas" w:eastAsia="Consolas" w:hAnsi="Consolas"/>
          <w:sz w:val="18"/>
          <w:szCs w:val="18"/>
        </w:rPr>
        <w:t xml:space="preserve">        print("  agreement :", abl.get("candidate_vs_local_agreement"),</w:t>
      </w:r>
    </w:p>
    <w:p>
      <w:pPr>
        <w:shd w:fill="F4F4F4" w:color="auto" w:val="clear"/>
        <w:spacing w:after="0"/>
        <w:ind w:left="360"/>
      </w:pPr>
      <w:r>
        <w:rPr>
          <w:rFonts w:ascii="Consolas" w:cs="Consolas" w:eastAsia="Consolas" w:hAnsi="Consolas"/>
          <w:sz w:val="18"/>
          <w:szCs w:val="18"/>
        </w:rPr>
        <w:t xml:space="preserve">              "| stability:", abl.get("local_vs_augmented_stability"))</w:t>
      </w:r>
    </w:p>
    <w:p>
      <w:pPr>
        <w:shd w:fill="F4F4F4" w:color="auto" w:val="clear"/>
        <w:spacing w:after="0"/>
        <w:ind w:left="360"/>
      </w:pPr>
      <w:r>
        <w:rPr>
          <w:rFonts w:ascii="Consolas" w:cs="Consolas" w:eastAsia="Consolas" w:hAnsi="Consolas"/>
          <w:sz w:val="18"/>
          <w:szCs w:val="18"/>
        </w:rPr>
        <w:t xml:space="preserve">        break</w:t>
      </w:r>
    </w:p>
    <w:p>
      <w:pPr>
        <w:spacing w:after="140"/>
      </w:pP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hd w:fill="F4F4F4" w:color="auto" w:val="clear"/>
        <w:spacing w:after="0"/>
        <w:ind w:left="360"/>
      </w:pPr>
      <w:r>
        <w:rPr>
          <w:rFonts w:ascii="Consolas" w:cs="Consolas" w:eastAsia="Consolas" w:hAnsi="Consolas"/>
          <w:sz w:val="18"/>
          <w:szCs w:val="18"/>
        </w:rPr>
        <w:t xml:space="preserve">scripts/detect_scenes.py                      # shot boundaries -&gt; _all_scenes.csv (CPU only)</w:t>
      </w:r>
    </w:p>
    <w:p>
      <w:pPr>
        <w:shd w:fill="F4F4F4" w:color="auto" w:val="clear"/>
        <w:spacing w:after="0"/>
        <w:ind w:left="360"/>
      </w:pPr>
      <w:r>
        <w:rPr>
          <w:rFonts w:ascii="Consolas" w:cs="Consolas" w:eastAsia="Consolas" w:hAnsi="Consolas"/>
          <w:sz w:val="18"/>
          <w:szCs w:val="18"/>
        </w:rPr>
        <w:t xml:space="preserve">scripts/segmentation_diagnostic.py            # Section 3.8 tables from that CSV (CPU only)</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 The two scripts are independent of the notebooks and reproduce §3.8 from the source programmes alone:</w:t>
      </w:r>
    </w:p>
    <w:p>
      <w:pPr>
        <w:shd w:fill="F4F4F4" w:color="auto" w:val="clear"/>
        <w:spacing w:after="0"/>
        <w:ind w:left="360"/>
      </w:pPr>
      <w:r>
        <w:rPr>
          <w:rFonts w:ascii="Consolas" w:cs="Consolas" w:eastAsia="Consolas" w:hAnsi="Consolas"/>
          <w:sz w:val="18"/>
          <w:szCs w:val="18"/>
        </w:rPr>
        <w:t xml:space="preserve">python scripts/detect_scenes.py /path/to/VIDEO_FILES _all_scenes.csv</w:t>
      </w:r>
    </w:p>
    <w:p>
      <w:pPr>
        <w:shd w:fill="F4F4F4" w:color="auto" w:val="clear"/>
        <w:spacing w:after="0"/>
        <w:ind w:left="360"/>
      </w:pPr>
      <w:r>
        <w:rPr>
          <w:rFonts w:ascii="Consolas" w:cs="Consolas" w:eastAsia="Consolas" w:hAnsi="Consolas"/>
          <w:sz w:val="18"/>
          <w:szCs w:val="18"/>
        </w:rPr>
        <w:t xml:space="preserve">python scripts/segmentation_diagnostic.py _all_scenes.csv</w:t>
      </w:r>
    </w:p>
    <w:p>
      <w:pPr>
        <w:spacing w:after="140"/>
      </w:pPr>
    </w:p>
    <w:p>
      <w:pPr>
        <w:pStyle w:val="Heading1"/>
        <w:pageBreakBefore/>
        <w:spacing w:after="140" w:before="400"/>
      </w:pPr>
      <w:r>
        <w:rPr>
          <w:b/>
          <w:bCs/>
          <w:sz w:val="28"/>
          <w:szCs w:val="28"/>
        </w:rPr>
        <w:t xml:space="preserve">References</w:t>
      </w:r>
    </w:p>
    <w:p>
      <w:pPr>
        <w:spacing w:after="140" w:line="276"/>
        <w:jc w:val="both"/>
      </w:pPr>
      <w:r>
        <w:t xml:space="preserve">Entries [1]–[24] share their numbering with the research paper; [25]–[40] are cited only here.</w:t>
      </w:r>
    </w:p>
    <w:p>
      <w:pPr>
        <w:spacing w:after="140" w:line="276"/>
        <w:jc w:val="both"/>
      </w:pPr>
      <w:r>
        <w:t xml:space="preserve">[1] A. F. Smeaton, P. Over, and W. Kraaij, "Evaluation campaigns and TRECVid," in </w:t>
      </w:r>
      <w:r>
        <w:rPr>
          <w:i/>
          <w:iCs/>
        </w:rPr>
        <w:t xml:space="preserve">Proc. 8th ACM Int. Workshop on Multimedia Information Retrieval (MIR)</w:t>
      </w:r>
      <w:r>
        <w:t xml:space="preserve">, 2006, pp. 321–330.</w:t>
      </w:r>
    </w:p>
    <w:p>
      <w:pPr>
        <w:spacing w:after="140" w:line="276"/>
        <w:jc w:val="both"/>
      </w:pPr>
      <w:r>
        <w:t xml:space="preserve">[2] M. Mühling, M. Meister, N. Korfhage, J. Wehling, A. Hörth, R. Ewerth, and B. Freisleben, "Content-based video retrieval in historical collections of the German Broadcasting Archive," </w:t>
      </w:r>
      <w:r>
        <w:rPr>
          <w:i/>
          <w:iCs/>
        </w:rPr>
        <w:t xml:space="preserve">Int. J. on Digital Libraries</w:t>
      </w:r>
      <w:r>
        <w:t xml:space="preserve">, vol. 20, no. 2, pp. 167–183, 2019, doi: 10.1007/s00799-018-0236-z.</w:t>
      </w:r>
    </w:p>
    <w:p>
      <w:pPr>
        <w:spacing w:after="140" w:line="276"/>
        <w:jc w:val="both"/>
      </w:pPr>
      <w:r>
        <w:t xml:space="preserve">[3] M. Mühling, N. Korfhage, K. Pustu-Iren, J. Bars, M. Knapp, H. Bellafkir, M. Vogelbacher, D. Schneider, A. Hörth, R. Ewerth, and B. Freisleben, "VIVA: Visual information retrieval in video archives," </w:t>
      </w:r>
      <w:r>
        <w:rPr>
          <w:i/>
          <w:iCs/>
        </w:rPr>
        <w:t xml:space="preserve">Int. J. on Digital Libraries</w:t>
      </w:r>
      <w:r>
        <w:t xml:space="preserve">, vol. 23, no. 4, pp. 319–333, 2022, doi: 10.1007/s00799-022-00337-y.</w:t>
      </w:r>
    </w:p>
    <w:p>
      <w:pPr>
        <w:spacing w:after="140" w:line="276"/>
        <w:jc w:val="both"/>
      </w:pPr>
      <w:r>
        <w:t xml:space="preserve">[4] F. Pessanha and A. Akdag Salah, "A computational look at oral history archives," </w:t>
      </w:r>
      <w:r>
        <w:rPr>
          <w:i/>
          <w:iCs/>
        </w:rPr>
        <w:t xml:space="preserve">ACM J. on Computing and Cultural Heritage</w:t>
      </w:r>
      <w:r>
        <w:t xml:space="preserve">, vol. 15, no. 1, art. 6, pp. 1–16, 2022, doi: 10.1145/3477605.</w:t>
      </w:r>
    </w:p>
    <w:p>
      <w:pPr>
        <w:spacing w:after="140" w:line="276"/>
        <w:jc w:val="both"/>
      </w:pPr>
      <w:r>
        <w:t xml:space="preserve">[5] A. Radford </w:t>
      </w:r>
      <w:r>
        <w:rPr>
          <w:i/>
          <w:iCs/>
        </w:rPr>
        <w:t xml:space="preserve">et al.</w:t>
      </w:r>
      <w:r>
        <w:t xml:space="preserve">, "Learning transferable visual models from natural language supervision," in </w:t>
      </w:r>
      <w:r>
        <w:rPr>
          <w:i/>
          <w:iCs/>
        </w:rPr>
        <w:t xml:space="preserve">Proc. 38th Int. Conf. Machine Learning (ICML)</w:t>
      </w:r>
      <w:r>
        <w:t xml:space="preserve">, 2021, pp. 8748–8763.</w:t>
      </w:r>
    </w:p>
    <w:p>
      <w:pPr>
        <w:spacing w:after="140" w:line="276"/>
        <w:jc w:val="both"/>
      </w:pPr>
      <w:r>
        <w:t xml:space="preserve">[6] A. Radford </w:t>
      </w:r>
      <w:r>
        <w:rPr>
          <w:i/>
          <w:iCs/>
        </w:rPr>
        <w:t xml:space="preserve">et al.</w:t>
      </w:r>
      <w:r>
        <w:t xml:space="preserve">, "Robust speech recognition via large-scale weak supervision," in </w:t>
      </w:r>
      <w:r>
        <w:rPr>
          <w:i/>
          <w:iCs/>
        </w:rPr>
        <w:t xml:space="preserve">Proc. 40th Int. Conf. Machine Learning (ICML)</w:t>
      </w:r>
      <w:r>
        <w:t xml:space="preserve">, 2023, pp. 28492–28518.</w:t>
      </w:r>
    </w:p>
    <w:p>
      <w:pPr>
        <w:spacing w:after="140" w:line="276"/>
        <w:jc w:val="both"/>
      </w:pPr>
      <w:r>
        <w:t xml:space="preserve">[7] J. Li, D. Li, C. Xiong, and S. Hoi, "BLIP: Bootstrapping language-image pre-training for unified vision-language understanding and generation," in </w:t>
      </w:r>
      <w:r>
        <w:rPr>
          <w:i/>
          <w:iCs/>
        </w:rPr>
        <w:t xml:space="preserve">Proc. 39th Int. Conf. Machine Learning (ICML)</w:t>
      </w:r>
      <w:r>
        <w:t xml:space="preserve">, 2022, pp. 12888–12900.</w:t>
      </w:r>
    </w:p>
    <w:p>
      <w:pPr>
        <w:spacing w:after="140" w:line="276"/>
        <w:jc w:val="both"/>
      </w:pPr>
      <w:r>
        <w:t xml:space="preserve">[8] W. Kim, B. Son, and I. Kim, "ViLT: Vision-and-language transformer without convolution or region supervision," in </w:t>
      </w:r>
      <w:r>
        <w:rPr>
          <w:i/>
          <w:iCs/>
        </w:rPr>
        <w:t xml:space="preserve">Proc. 38th Int. Conf. Machine Learning (ICML)</w:t>
      </w:r>
      <w:r>
        <w:t xml:space="preserve">, 2021, pp. 5583–5594.</w:t>
      </w:r>
    </w:p>
    <w:p>
      <w:pPr>
        <w:spacing w:after="140" w:line="276"/>
        <w:jc w:val="both"/>
      </w:pPr>
      <w:r>
        <w:t xml:space="preserve">[9] N. Carion </w:t>
      </w:r>
      <w:r>
        <w:rPr>
          <w:i/>
          <w:iCs/>
        </w:rPr>
        <w:t xml:space="preserve">et al.</w:t>
      </w:r>
      <w:r>
        <w:t xml:space="preserve">, "End-to-end object detection with transformers," in </w:t>
      </w:r>
      <w:r>
        <w:rPr>
          <w:i/>
          <w:iCs/>
        </w:rPr>
        <w:t xml:space="preserve">Proc. European Conf. Computer Vision (ECCV)</w:t>
      </w:r>
      <w:r>
        <w:t xml:space="preserve">, 2020, pp. 213–229.</w:t>
      </w:r>
    </w:p>
    <w:p>
      <w:pPr>
        <w:spacing w:after="140" w:line="276"/>
        <w:jc w:val="both"/>
      </w:pPr>
      <w:r>
        <w:t xml:space="preserve">[10] A. Ratner </w:t>
      </w:r>
      <w:r>
        <w:rPr>
          <w:i/>
          <w:iCs/>
        </w:rPr>
        <w:t xml:space="preserve">et al.</w:t>
      </w:r>
      <w:r>
        <w:t xml:space="preserve">, "Snorkel: Rapid training data creation with weak supervision," </w:t>
      </w:r>
      <w:r>
        <w:rPr>
          <w:i/>
          <w:iCs/>
        </w:rPr>
        <w:t xml:space="preserve">Proc. VLDB Endowment</w:t>
      </w:r>
      <w:r>
        <w:t xml:space="preserve">, vol. 11, no. 3, pp. 269–282, 2017.</w:t>
      </w:r>
    </w:p>
    <w:p>
      <w:pPr>
        <w:spacing w:after="140" w:line="276"/>
        <w:jc w:val="both"/>
      </w:pPr>
      <w:r>
        <w:t xml:space="preserve">[11] R. Artstein and M. Poesio, "Inter-coder agreement for computational linguistics," </w:t>
      </w:r>
      <w:r>
        <w:rPr>
          <w:i/>
          <w:iCs/>
        </w:rPr>
        <w:t xml:space="preserve">Computational Linguistics</w:t>
      </w:r>
      <w:r>
        <w:t xml:space="preserve">, vol. 34, no. 4, pp. 555–596, 2008.</w:t>
      </w:r>
    </w:p>
    <w:p>
      <w:pPr>
        <w:spacing w:after="140" w:line="276"/>
        <w:jc w:val="both"/>
      </w:pPr>
      <w:r>
        <w:t xml:space="preserve">[12] Qwen Team, "Qwen3-VL technical report," arXiv:2511.21631, 2025.</w:t>
      </w:r>
    </w:p>
    <w:p>
      <w:pPr>
        <w:spacing w:after="140" w:line="276"/>
        <w:jc w:val="both"/>
      </w:pPr>
      <w:r>
        <w:t xml:space="preserve">[13] J. Zhu </w:t>
      </w:r>
      <w:r>
        <w:rPr>
          <w:i/>
          <w:iCs/>
        </w:rPr>
        <w:t xml:space="preserve">et al.</w:t>
      </w:r>
      <w:r>
        <w:t xml:space="preserve">, "InternVL3: Exploring advanced training and test-time recipes for open-source multimodal models," arXiv:2504.10479, 2025.</w:t>
      </w:r>
    </w:p>
    <w:p>
      <w:pPr>
        <w:spacing w:after="140" w:line="276"/>
        <w:jc w:val="both"/>
      </w:pPr>
      <w:r>
        <w:t xml:space="preserve">[14] A. Rohrbach </w:t>
      </w:r>
      <w:r>
        <w:rPr>
          <w:i/>
          <w:iCs/>
        </w:rPr>
        <w:t xml:space="preserve">et al.</w:t>
      </w:r>
      <w:r>
        <w:t xml:space="preserve">, "Object hallucination in image captioning," in </w:t>
      </w:r>
      <w:r>
        <w:rPr>
          <w:i/>
          <w:iCs/>
        </w:rPr>
        <w:t xml:space="preserve">Proc. Conf. Empirical Methods in Natural Language Processing (EMNLP)</w:t>
      </w:r>
      <w:r>
        <w:t xml:space="preserve">, 2018, pp. 4035–4045.</w:t>
      </w:r>
    </w:p>
    <w:p>
      <w:pPr>
        <w:spacing w:after="140" w:line="276"/>
        <w:jc w:val="both"/>
      </w:pPr>
      <w:r>
        <w:t xml:space="preserve">[15] B. Castellano, "PySceneDetect: Video scene cut detection and analysis tool," 2014–2025. [Online]. Available: https://www.scenedetect.com</w:t>
      </w:r>
    </w:p>
    <w:p>
      <w:pPr>
        <w:spacing w:after="140" w:line="276"/>
        <w:jc w:val="both"/>
      </w:pPr>
      <w:r>
        <w:t xml:space="preserve">[16] C.-Y. Lin, "ROUGE: A package for automatic evaluation of summaries," in </w:t>
      </w:r>
      <w:r>
        <w:rPr>
          <w:i/>
          <w:iCs/>
        </w:rPr>
        <w:t xml:space="preserve">Text Summarization Branches Out</w:t>
      </w:r>
      <w:r>
        <w:t xml:space="preserve">, ACL Workshop, 2004, pp. 74–81.</w:t>
      </w:r>
    </w:p>
    <w:p>
      <w:pPr>
        <w:spacing w:after="140" w:line="276"/>
        <w:jc w:val="both"/>
      </w:pPr>
      <w:r>
        <w:t xml:space="preserve">[17] R. Smith, "An overview of the Tesseract OCR engine," in </w:t>
      </w:r>
      <w:r>
        <w:rPr>
          <w:i/>
          <w:iCs/>
        </w:rPr>
        <w:t xml:space="preserve">Proc. 9th Int. Conf. Document Analysis and Recognition (ICDAR)</w:t>
      </w:r>
      <w:r>
        <w:t xml:space="preserve">, 2007, pp. 629–633.</w:t>
      </w:r>
    </w:p>
    <w:p>
      <w:pPr>
        <w:spacing w:after="140" w:line="276"/>
        <w:jc w:val="both"/>
      </w:pPr>
      <w:r>
        <w:t xml:space="preserve">[18] N. Reimers and I. Gurevych, "Sentence-BERT: Sentence embeddings using Siamese BERT-networks," in </w:t>
      </w:r>
      <w:r>
        <w:rPr>
          <w:i/>
          <w:iCs/>
        </w:rPr>
        <w:t xml:space="preserve">Proc. EMNLP-IJCNLP</w:t>
      </w:r>
      <w:r>
        <w:t xml:space="preserve">, 2019, pp. 3982–3992.</w:t>
      </w:r>
    </w:p>
    <w:p>
      <w:pPr>
        <w:spacing w:after="140" w:line="276"/>
        <w:jc w:val="both"/>
      </w:pPr>
      <w:r>
        <w:t xml:space="preserve">[19] R. Campos </w:t>
      </w:r>
      <w:r>
        <w:rPr>
          <w:i/>
          <w:iCs/>
        </w:rPr>
        <w:t xml:space="preserve">et al.</w:t>
      </w:r>
      <w:r>
        <w:t xml:space="preserve">, "YAKE! Keyword extraction from single documents using multiple local features," </w:t>
      </w:r>
      <w:r>
        <w:rPr>
          <w:i/>
          <w:iCs/>
        </w:rPr>
        <w:t xml:space="preserve">Information Sciences</w:t>
      </w:r>
      <w:r>
        <w:t xml:space="preserve">, vol. 509, pp. 257–289, 2020.</w:t>
      </w:r>
    </w:p>
    <w:p>
      <w:pPr>
        <w:spacing w:after="140" w:line="276"/>
        <w:jc w:val="both"/>
      </w:pPr>
      <w:r>
        <w:t xml:space="preserve">[20] M. Grootendorst, "KeyBERT: Minimal keyword extraction with BERT," 2020. [Online]. Available: https://github.com/MaartenGr/KeyBERT</w:t>
      </w:r>
    </w:p>
    <w:p>
      <w:pPr>
        <w:spacing w:after="140" w:line="276"/>
        <w:jc w:val="both"/>
      </w:pPr>
      <w:r>
        <w:t xml:space="preserve">[21] R. B. Yousuf, S. Xu, M. Sharma, A. Neeser, C. Latimer, and N. Ramakrishnan, "Utilizing metadata for better retrieval-augmented generation," arXiv:2601.11863, 2026.</w:t>
      </w:r>
    </w:p>
    <w:p>
      <w:pPr>
        <w:spacing w:after="140" w:line="276"/>
        <w:jc w:val="both"/>
      </w:pPr>
      <w:r>
        <w:t xml:space="preserve">[22] R. Liu, H. Tang, H. Liu, Y. Ge, Y. Shan, C. Li, and J. Yang, "PPLLaVA: Varied video sequence understanding with prompt guidance," arXiv:2411.02327, 2024.</w:t>
      </w:r>
    </w:p>
    <w:p>
      <w:pPr>
        <w:spacing w:after="140" w:line="276"/>
        <w:jc w:val="both"/>
      </w:pPr>
      <w:r>
        <w:t xml:space="preserve">[23] Hugging Face, "Image-text-to-text," Transformers documentation, 2026. [Online]. Available: https://huggingface.co/docs/transformers/tasks/image_text_to_text</w:t>
      </w:r>
    </w:p>
    <w:p>
      <w:pPr>
        <w:spacing w:after="140" w:line="276"/>
        <w:jc w:val="both"/>
      </w:pPr>
      <w:r>
        <w:t xml:space="preserve">[24] Hugging Face, "Video-text-to-text," Transformers documentation, 2026. [Online]. Available: https://huggingface.co/docs/transformers/tasks/video_text_to_text</w:t>
      </w:r>
    </w:p>
    <w:p>
      <w:pPr>
        <w:spacing w:after="140" w:line="276"/>
        <w:jc w:val="both"/>
      </w:pPr>
      <w:r>
        <w:t xml:space="preserve">[25] A. Koenecke, A. Nam, E. Lake, J. Nudell, M. Quartey, Z. Mengesha, C. Toups, J. R. Rickford, D. Jurafsky, and S. Goel, "Racial disparities in automated speech recognition," </w:t>
      </w:r>
      <w:r>
        <w:rPr>
          <w:i/>
          <w:iCs/>
        </w:rPr>
        <w:t xml:space="preserve">Proc. Nat. Acad. Sci.</w:t>
      </w:r>
      <w:r>
        <w:t xml:space="preserve">, vol. 117, no. 14, pp. 7684–7689, 2020, doi: 10.1073/pnas.1915768117.</w:t>
      </w:r>
    </w:p>
    <w:p>
      <w:pPr>
        <w:spacing w:after="140" w:line="276"/>
        <w:jc w:val="both"/>
      </w:pPr>
      <w:r>
        <w:t xml:space="preserve">[26] A. Koenecke, A. S. G. Choi, K. X. Mei, H. Schellmann, and M. Sloane, "Careless Whisper: Speech-to-text hallucination harms," in </w:t>
      </w:r>
      <w:r>
        <w:rPr>
          <w:i/>
          <w:iCs/>
        </w:rPr>
        <w:t xml:space="preserve">Proc. ACM Conf. Fairness, Accountability, and Transparency (FAccT)</w:t>
      </w:r>
      <w:r>
        <w:t xml:space="preserve">, 2024, pp. 1672–1681, doi: 10.1145/3630106.3658996.</w:t>
      </w:r>
    </w:p>
    <w:p>
      <w:pPr>
        <w:spacing w:after="140" w:line="276"/>
        <w:jc w:val="both"/>
      </w:pPr>
      <w:r>
        <w:t xml:space="preserve">[27] A. P. Dawid and A. M. Skene, "Maximum likelihood estimation of observer error-rates using the EM algorithm," </w:t>
      </w:r>
      <w:r>
        <w:rPr>
          <w:i/>
          <w:iCs/>
        </w:rPr>
        <w:t xml:space="preserve">J. Roy. Statist. Soc. Ser. C (Appl. Statist.)</w:t>
      </w:r>
      <w:r>
        <w:t xml:space="preserve">, vol. 28, no. 1, pp. 20–28, 1979.</w:t>
      </w:r>
    </w:p>
    <w:p>
      <w:pPr>
        <w:spacing w:after="140" w:line="276"/>
        <w:jc w:val="both"/>
      </w:pPr>
      <w:r>
        <w:t xml:space="preserve">[28] A. Ratner, C. De Sa, S. Wu, D. Selsam, and C. Ré, "Data programming: Creating large training sets, quickly," in </w:t>
      </w:r>
      <w:r>
        <w:rPr>
          <w:i/>
          <w:iCs/>
        </w:rPr>
        <w:t xml:space="preserve">Adv. Neural Inf. Process. Syst. (NeurIPS)</w:t>
      </w:r>
      <w:r>
        <w:t xml:space="preserve">, 2016.</w:t>
      </w:r>
    </w:p>
    <w:p>
      <w:pPr>
        <w:spacing w:after="140" w:line="276"/>
        <w:jc w:val="both"/>
      </w:pPr>
      <w:r>
        <w:t xml:space="preserve">[29] C. Guo, G. Pleiss, Y. Sun, and K. Q. Weinberger, "On calibration of modern neural networks," in </w:t>
      </w:r>
      <w:r>
        <w:rPr>
          <w:i/>
          <w:iCs/>
        </w:rPr>
        <w:t xml:space="preserve">Proc. 34th Int. Conf. Machine Learning (ICML)</w:t>
      </w:r>
      <w:r>
        <w:t xml:space="preserve">, 2017, pp. 1321–1330.</w:t>
      </w:r>
    </w:p>
    <w:p>
      <w:pPr>
        <w:spacing w:after="140" w:line="276"/>
        <w:jc w:val="both"/>
      </w:pPr>
      <w:r>
        <w:t xml:space="preserve">[30] G. Awad </w:t>
      </w:r>
      <w:r>
        <w:rPr>
          <w:i/>
          <w:iCs/>
        </w:rPr>
        <w:t xml:space="preserve">et al.</w:t>
      </w:r>
      <w:r>
        <w:t xml:space="preserve">, "TRECVID 2019: An evaluation campaign to benchmark video activity detection, video captioning and matching, and video search and retrieval," in </w:t>
      </w:r>
      <w:r>
        <w:rPr>
          <w:i/>
          <w:iCs/>
        </w:rPr>
        <w:t xml:space="preserve">Proc. TRECVID Workshop</w:t>
      </w:r>
      <w:r>
        <w:t xml:space="preserve">, 2019, arXiv:2009.09984.</w:t>
      </w:r>
    </w:p>
    <w:p>
      <w:pPr>
        <w:spacing w:after="140" w:line="276"/>
        <w:jc w:val="both"/>
      </w:pPr>
      <w:r>
        <w:t xml:space="preserve">[31] T. Dettmers, M. Lewis, Y. Belkada, and L. Zettlemoyer, "LLM.int8(): 8-bit matrix multiplication for transformers at scale," in </w:t>
      </w:r>
      <w:r>
        <w:rPr>
          <w:i/>
          <w:iCs/>
        </w:rPr>
        <w:t xml:space="preserve">Adv. Neural Inf. Process. Syst. (NeurIPS)</w:t>
      </w:r>
      <w:r>
        <w:t xml:space="preserve">, 2022, arXiv:2208.07339.</w:t>
      </w:r>
    </w:p>
    <w:p>
      <w:pPr>
        <w:spacing w:after="140" w:line="276"/>
        <w:jc w:val="both"/>
      </w:pPr>
      <w:r>
        <w:t xml:space="preserve">[32] E. J. Hu </w:t>
      </w:r>
      <w:r>
        <w:rPr>
          <w:i/>
          <w:iCs/>
        </w:rPr>
        <w:t xml:space="preserve">et al.</w:t>
      </w:r>
      <w:r>
        <w:t xml:space="preserve">, "LoRA: Low-rank adaptation of large language models," in </w:t>
      </w:r>
      <w:r>
        <w:rPr>
          <w:i/>
          <w:iCs/>
        </w:rPr>
        <w:t xml:space="preserve">Proc. Int. Conf. Learning Representations (ICLR)</w:t>
      </w:r>
      <w:r>
        <w:t xml:space="preserve">, 2022, arXiv:2106.09685.</w:t>
      </w:r>
    </w:p>
    <w:p>
      <w:pPr>
        <w:spacing w:after="140" w:line="276"/>
        <w:jc w:val="both"/>
      </w:pPr>
      <w:r>
        <w:t xml:space="preserve">[33] J. Li, D. Li, S. Savarese, and S. Hoi, "BLIP-2: Bootstrapping language-image pre-training with frozen image encoders and large language models," in </w:t>
      </w:r>
      <w:r>
        <w:rPr>
          <w:i/>
          <w:iCs/>
        </w:rPr>
        <w:t xml:space="preserve">Proc. 40th Int. Conf. Machine Learning (ICML)</w:t>
      </w:r>
      <w:r>
        <w:t xml:space="preserve">, 2023, arXiv:2301.12597.</w:t>
      </w:r>
    </w:p>
    <w:p>
      <w:pPr>
        <w:spacing w:after="140" w:line="276"/>
        <w:jc w:val="both"/>
      </w:pPr>
      <w:r>
        <w:t xml:space="preserve">[34] H. Liu, C. Li, Q. Wu, and Y. J. Lee, "Visual instruction tuning," in </w:t>
      </w:r>
      <w:r>
        <w:rPr>
          <w:i/>
          <w:iCs/>
        </w:rPr>
        <w:t xml:space="preserve">Adv. Neural Inf. Process. Syst. (NeurIPS)</w:t>
      </w:r>
      <w:r>
        <w:t xml:space="preserve">, 2023, arXiv:2304.08485.</w:t>
      </w:r>
    </w:p>
    <w:p>
      <w:pPr>
        <w:spacing w:after="140" w:line="276"/>
        <w:jc w:val="both"/>
      </w:pPr>
      <w:r>
        <w:t xml:space="preserve">[35] T. Souček and J. Lokoč, "TransNet V2: An effective deep network architecture for fast shot transition detection," arXiv:2008.04838, 2020.</w:t>
      </w:r>
    </w:p>
    <w:p>
      <w:pPr>
        <w:spacing w:after="140" w:line="276"/>
        <w:jc w:val="both"/>
      </w:pPr>
      <w:r>
        <w:t xml:space="preserve">[36] M. Bain, J. Huh, T. Han, and A. Zisserman, "WhisperX: Time-accurate speech transcription of long-form audio," in </w:t>
      </w:r>
      <w:r>
        <w:rPr>
          <w:i/>
          <w:iCs/>
        </w:rPr>
        <w:t xml:space="preserve">Proc. Interspeech</w:t>
      </w:r>
      <w:r>
        <w:t xml:space="preserve">, 2023.</w:t>
      </w:r>
    </w:p>
    <w:p>
      <w:pPr>
        <w:spacing w:after="140" w:line="276"/>
        <w:jc w:val="both"/>
      </w:pPr>
      <w:r>
        <w:t xml:space="preserve">[37] PBCore, "PBCore metadata standard," Public Broadcasting Metadata Dictionary. [Online]. Available: https://pbcore.org</w:t>
      </w:r>
    </w:p>
    <w:p>
      <w:pPr>
        <w:spacing w:after="140" w:line="276"/>
        <w:jc w:val="both"/>
      </w:pPr>
      <w:r>
        <w:t xml:space="preserve">[38] European Broadcasting Union, "EBUCore: Core metadata for radio and television," EBU Tech 3293. [Online]. Available: https://tech.ebu.ch/metadata/ebucore</w:t>
      </w:r>
    </w:p>
    <w:p>
      <w:pPr>
        <w:spacing w:after="140" w:line="276"/>
        <w:jc w:val="both"/>
      </w:pPr>
      <w:r>
        <w:t xml:space="preserve">[39] JaidedAI, "EasyOCR: Ready-to-use OCR with 80+ supported languages," 2020–2026. [Online]. Available: https://github.com/JaidedAI/EasyOCR</w:t>
      </w:r>
    </w:p>
    <w:p>
      <w:pPr>
        <w:spacing w:after="140" w:line="276"/>
        <w:jc w:val="both"/>
      </w:pPr>
      <w:r>
        <w:t xml:space="preserve">[40] Dublin Core Metadata Initiative, "Dublin Core metadata element set, version 1.1." [Online]. Available: https://www.dublincore.org/specifications/dublin-core/dces/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2026-09-18T04:30:39.624Z</dcterms:created>
  <dcterms:modified xsi:type="dcterms:W3CDTF">2026-09-18T04:30:39.625Z</dcterms:modified>
</cp:coreProperties>
</file>

<file path=docProps/custom.xml><?xml version="1.0" encoding="utf-8"?>
<Properties xmlns="http://schemas.openxmlformats.org/officeDocument/2006/custom-properties" xmlns:vt="http://schemas.openxmlformats.org/officeDocument/2006/docPropsVTypes"/>
</file>