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VII)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 and What Each Is For</w:t>
      </w:r>
    </w:p>
    <w:p>
      <w:pPr>
        <w:spacing w:after="140" w:line="276"/>
        <w:jc w:val="both"/>
      </w:pPr>
      <w:r>
        <w:t xml:space="preserve">Every version is pinned; the run that produced the reported results used exactly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3"/>
        <w:gridCol w:w="1125"/>
        <w:gridCol w:w="2599"/>
        <w:gridCol w:w="4243"/>
      </w:tblGrid>
      <w:tr>
        <w:trPr>
          <w:tblHeader/>
        </w:trPr>
        <w:tc>
          <w:tcPr>
            <w:tcW w:type="dxa" w:w="1393"/>
            <w:shd w:fill="EFEFEF" w:color="auto" w:val="clear"/>
            <w:tcMar>
              <w:top w:type="dxa" w:w="60"/>
              <w:left w:type="dxa" w:w="90"/>
              <w:bottom w:type="dxa" w:w="60"/>
              <w:right w:type="dxa" w:w="90"/>
            </w:tcMar>
          </w:tcPr>
          <w:p>
            <w:pPr>
              <w:spacing w:after="0"/>
            </w:pPr>
            <w:r>
              <w:rPr>
                <w:b/>
                <w:bCs/>
              </w:rPr>
              <w:t xml:space="preserve">Package</w:t>
            </w:r>
          </w:p>
        </w:tc>
        <w:tc>
          <w:tcPr>
            <w:tcW w:type="dxa" w:w="1125"/>
            <w:shd w:fill="EFEFEF" w:color="auto" w:val="clear"/>
            <w:tcMar>
              <w:top w:type="dxa" w:w="60"/>
              <w:left w:type="dxa" w:w="90"/>
              <w:bottom w:type="dxa" w:w="60"/>
              <w:right w:type="dxa" w:w="90"/>
            </w:tcMar>
          </w:tcPr>
          <w:p>
            <w:pPr>
              <w:spacing w:after="0"/>
            </w:pPr>
            <w:r>
              <w:rPr>
                <w:b/>
                <w:bCs/>
              </w:rPr>
              <w:t xml:space="preserve">Version</w:t>
            </w:r>
          </w:p>
        </w:tc>
        <w:tc>
          <w:tcPr>
            <w:tcW w:type="dxa" w:w="2599"/>
            <w:shd w:fill="EFEFEF" w:color="auto" w:val="clear"/>
            <w:tcMar>
              <w:top w:type="dxa" w:w="60"/>
              <w:left w:type="dxa" w:w="90"/>
              <w:bottom w:type="dxa" w:w="60"/>
              <w:right w:type="dxa" w:w="90"/>
            </w:tcMar>
          </w:tcPr>
          <w:p>
            <w:pPr>
              <w:spacing w:after="0"/>
            </w:pPr>
            <w:r>
              <w:rPr>
                <w:b/>
                <w:bCs/>
              </w:rPr>
              <w:t xml:space="preserve">Role in this project</w:t>
            </w:r>
          </w:p>
        </w:tc>
        <w:tc>
          <w:tcPr>
            <w:tcW w:type="dxa" w:w="4243"/>
            <w:shd w:fill="EFEFEF" w:color="auto" w:val="clear"/>
            <w:tcMar>
              <w:top w:type="dxa" w:w="60"/>
              <w:left w:type="dxa" w:w="90"/>
              <w:bottom w:type="dxa" w:w="60"/>
              <w:right w:type="dxa" w:w="90"/>
            </w:tcMar>
          </w:tcPr>
          <w:p>
            <w:pPr>
              <w:spacing w:after="0"/>
            </w:pPr>
            <w:r>
              <w:rPr>
                <w:b/>
                <w:bCs/>
              </w:rPr>
              <w:t xml:space="preserve">Why this one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transformers</w:t>
            </w:r>
          </w:p>
        </w:tc>
        <w:tc>
          <w:tcPr>
            <w:tcW w:type="dxa" w:w="1125"/>
            <w:tcMar>
              <w:top w:type="dxa" w:w="60"/>
              <w:left w:type="dxa" w:w="90"/>
              <w:bottom w:type="dxa" w:w="60"/>
              <w:right w:type="dxa" w:w="90"/>
            </w:tcMar>
          </w:tcPr>
          <w:p>
            <w:pPr>
              <w:spacing w:after="0"/>
            </w:pPr>
            <w:r>
              <w:t xml:space="preserve">4.50.3</w:t>
            </w:r>
          </w:p>
        </w:tc>
        <w:tc>
          <w:tcPr>
            <w:tcW w:type="dxa" w:w="2599"/>
            <w:tcMar>
              <w:top w:type="dxa" w:w="60"/>
              <w:left w:type="dxa" w:w="90"/>
              <w:bottom w:type="dxa" w:w="60"/>
              <w:right w:type="dxa" w:w="90"/>
            </w:tcMar>
          </w:tcPr>
          <w:p>
            <w:pPr>
              <w:spacing w:after="0"/>
            </w:pPr>
            <w:r>
              <w:t xml:space="preserve">Loads CLIP, BLIP, ViLT and DETR in the pipeline, and all seven benchmark VLMs</w:t>
            </w:r>
          </w:p>
        </w:tc>
        <w:tc>
          <w:tcPr>
            <w:tcW w:type="dxa" w:w="4243"/>
            <w:tcMar>
              <w:top w:type="dxa" w:w="60"/>
              <w:left w:type="dxa" w:w="90"/>
              <w:bottom w:type="dxa" w:w="60"/>
              <w:right w:type="dxa" w:w="90"/>
            </w:tcMar>
          </w:tcPr>
          <w:p>
            <w:pPr>
              <w:spacing w:after="0"/>
            </w:pPr>
            <w:r>
              <w:t xml:space="preserve">One interface across every checkpoint; the </w:t>
            </w:r>
            <w:r>
              <w:rPr>
                <w:rFonts w:ascii="Consolas" w:cs="Consolas" w:eastAsia="Consolas" w:hAnsi="Consolas"/>
                <w:sz w:val="18"/>
                <w:szCs w:val="18"/>
              </w:rPr>
              <w:t xml:space="preserve">image-text-to-text</w:t>
            </w:r>
            <w:r>
              <w:t xml:space="preserve"> API [23] made the seven-model benchmark a configuration change rather than seven integrations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openai-whisper</w:t>
            </w:r>
          </w:p>
        </w:tc>
        <w:tc>
          <w:tcPr>
            <w:tcW w:type="dxa" w:w="1125"/>
            <w:tcMar>
              <w:top w:type="dxa" w:w="60"/>
              <w:left w:type="dxa" w:w="90"/>
              <w:bottom w:type="dxa" w:w="60"/>
              <w:right w:type="dxa" w:w="90"/>
            </w:tcMar>
          </w:tcPr>
          <w:p>
            <w:pPr>
              <w:spacing w:after="0"/>
            </w:pPr>
            <w:r>
              <w:t xml:space="preserve">20250625</w:t>
            </w:r>
          </w:p>
        </w:tc>
        <w:tc>
          <w:tcPr>
            <w:tcW w:type="dxa" w:w="2599"/>
            <w:tcMar>
              <w:top w:type="dxa" w:w="60"/>
              <w:left w:type="dxa" w:w="90"/>
              <w:bottom w:type="dxa" w:w="60"/>
              <w:right w:type="dxa" w:w="90"/>
            </w:tcMar>
          </w:tcPr>
          <w:p>
            <w:pPr>
              <w:spacing w:after="0"/>
            </w:pPr>
            <w:r>
              <w:t xml:space="preserve">ASR for the transcript field, both </w:t>
            </w:r>
            <w:r>
              <w:rPr>
                <w:rFonts w:ascii="Consolas" w:cs="Consolas" w:eastAsia="Consolas" w:hAnsi="Consolas"/>
                <w:sz w:val="18"/>
                <w:szCs w:val="18"/>
              </w:rPr>
              <w:t xml:space="preserve">small</w:t>
            </w:r>
            <w:r>
              <w:t xml:space="preserve"> and </w:t>
            </w:r>
            <w:r>
              <w:rPr>
                <w:rFonts w:ascii="Consolas" w:cs="Consolas" w:eastAsia="Consolas" w:hAnsi="Consolas"/>
                <w:sz w:val="18"/>
                <w:szCs w:val="18"/>
              </w:rPr>
              <w:t xml:space="preserve">turbo</w:t>
            </w:r>
          </w:p>
        </w:tc>
        <w:tc>
          <w:tcPr>
            <w:tcW w:type="dxa" w:w="4243"/>
            <w:tcMar>
              <w:top w:type="dxa" w:w="60"/>
              <w:left w:type="dxa" w:w="90"/>
              <w:bottom w:type="dxa" w:w="60"/>
              <w:right w:type="dxa" w:w="90"/>
            </w:tcMar>
          </w:tcPr>
          <w:p>
            <w:pPr>
              <w:spacing w:after="0"/>
            </w:pPr>
            <w:r>
              <w:t xml:space="preserve">Reference implementation; exposes segment timings and language identification, both of which the pipeline records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pytesseract</w:t>
            </w:r>
            <w:r>
              <w:t xml:space="preserve"> / </w:t>
            </w:r>
            <w:r>
              <w:rPr>
                <w:rFonts w:ascii="Consolas" w:cs="Consolas" w:eastAsia="Consolas" w:hAnsi="Consolas"/>
                <w:sz w:val="18"/>
                <w:szCs w:val="18"/>
              </w:rPr>
              <w:t xml:space="preserve">easyocr</w:t>
            </w:r>
          </w:p>
        </w:tc>
        <w:tc>
          <w:tcPr>
            <w:tcW w:type="dxa" w:w="1125"/>
            <w:tcMar>
              <w:top w:type="dxa" w:w="60"/>
              <w:left w:type="dxa" w:w="90"/>
              <w:bottom w:type="dxa" w:w="60"/>
              <w:right w:type="dxa" w:w="90"/>
            </w:tcMar>
          </w:tcPr>
          <w:p>
            <w:pPr>
              <w:spacing w:after="0"/>
            </w:pPr>
            <w:r>
              <w:t xml:space="preserve">0.3.13 / 1.7.2</w:t>
            </w:r>
          </w:p>
        </w:tc>
        <w:tc>
          <w:tcPr>
            <w:tcW w:type="dxa" w:w="2599"/>
            <w:tcMar>
              <w:top w:type="dxa" w:w="60"/>
              <w:left w:type="dxa" w:w="90"/>
              <w:bottom w:type="dxa" w:w="60"/>
              <w:right w:type="dxa" w:w="90"/>
            </w:tcMar>
          </w:tcPr>
          <w:p>
            <w:pPr>
              <w:spacing w:after="0"/>
            </w:pPr>
            <w:r>
              <w:t xml:space="preserve">The two OCR engines behind the dual-engine veto</w:t>
            </w:r>
          </w:p>
        </w:tc>
        <w:tc>
          <w:tcPr>
            <w:tcW w:type="dxa" w:w="4243"/>
            <w:tcMar>
              <w:top w:type="dxa" w:w="60"/>
              <w:left w:type="dxa" w:w="90"/>
              <w:bottom w:type="dxa" w:w="60"/>
              <w:right w:type="dxa" w:w="90"/>
            </w:tcMar>
          </w:tcPr>
          <w:p>
            <w:pPr>
              <w:spacing w:after="0"/>
            </w:pPr>
            <w:r>
              <w:t xml:space="preserve">Deliberately unrelated: Tesseract is a classical LSTM line recogniser, EasyOCR a detection-plus-recognition neural stack. Independence is the point — a shared engine would make the veto meaningless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keybert</w:t>
            </w:r>
            <w:r>
              <w:t xml:space="preserve"> / </w:t>
            </w:r>
            <w:r>
              <w:rPr>
                <w:rFonts w:ascii="Consolas" w:cs="Consolas" w:eastAsia="Consolas" w:hAnsi="Consolas"/>
                <w:sz w:val="18"/>
                <w:szCs w:val="18"/>
              </w:rPr>
              <w:t xml:space="preserve">yake</w:t>
            </w:r>
          </w:p>
        </w:tc>
        <w:tc>
          <w:tcPr>
            <w:tcW w:type="dxa" w:w="1125"/>
            <w:tcMar>
              <w:top w:type="dxa" w:w="60"/>
              <w:left w:type="dxa" w:w="90"/>
              <w:bottom w:type="dxa" w:w="60"/>
              <w:right w:type="dxa" w:w="90"/>
            </w:tcMar>
          </w:tcPr>
          <w:p>
            <w:pPr>
              <w:spacing w:after="0"/>
            </w:pPr>
            <w:r>
              <w:t xml:space="preserve">0.9.0 / 0.6.0</w:t>
            </w:r>
          </w:p>
        </w:tc>
        <w:tc>
          <w:tcPr>
            <w:tcW w:type="dxa" w:w="2599"/>
            <w:tcMar>
              <w:top w:type="dxa" w:w="60"/>
              <w:left w:type="dxa" w:w="90"/>
              <w:bottom w:type="dxa" w:w="60"/>
              <w:right w:type="dxa" w:w="90"/>
            </w:tcMar>
          </w:tcPr>
          <w:p>
            <w:pPr>
              <w:spacing w:after="0"/>
            </w:pPr>
            <w:r>
              <w:t xml:space="preserve">Two of the three keyword extractors</w:t>
            </w:r>
          </w:p>
        </w:tc>
        <w:tc>
          <w:tcPr>
            <w:tcW w:type="dxa" w:w="4243"/>
            <w:tcMar>
              <w:top w:type="dxa" w:w="60"/>
              <w:left w:type="dxa" w:w="90"/>
              <w:bottom w:type="dxa" w:w="60"/>
              <w:right w:type="dxa" w:w="90"/>
            </w:tcMar>
          </w:tcPr>
          <w:p>
            <w:pPr>
              <w:spacing w:after="0"/>
            </w:pPr>
            <w:r>
              <w:t xml:space="preserve">One embedding-based and one statistical, chosen for mechanism diversity; §3.6 shows the third (TF-IDF, from </w:t>
            </w:r>
            <w:r>
              <w:rPr>
                <w:rFonts w:ascii="Consolas" w:cs="Consolas" w:eastAsia="Consolas" w:hAnsi="Consolas"/>
                <w:sz w:val="18"/>
                <w:szCs w:val="18"/>
              </w:rPr>
              <w:t xml:space="preserve">scikit-learn</w:t>
            </w:r>
            <w:r>
              <w:t xml:space="preserve">) agrees far more with YAKE than with KeyBERT, which is the diversity assumption being tested</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sentence-transformers</w:t>
            </w:r>
          </w:p>
        </w:tc>
        <w:tc>
          <w:tcPr>
            <w:tcW w:type="dxa" w:w="1125"/>
            <w:tcMar>
              <w:top w:type="dxa" w:w="60"/>
              <w:left w:type="dxa" w:w="90"/>
              <w:bottom w:type="dxa" w:w="60"/>
              <w:right w:type="dxa" w:w="90"/>
            </w:tcMar>
          </w:tcPr>
          <w:p>
            <w:pPr>
              <w:spacing w:after="0"/>
            </w:pPr>
            <w:r>
              <w:t xml:space="preserve">3.4.1</w:t>
            </w:r>
          </w:p>
        </w:tc>
        <w:tc>
          <w:tcPr>
            <w:tcW w:type="dxa" w:w="2599"/>
            <w:tcMar>
              <w:top w:type="dxa" w:w="60"/>
              <w:left w:type="dxa" w:w="90"/>
              <w:bottom w:type="dxa" w:w="60"/>
              <w:right w:type="dxa" w:w="90"/>
            </w:tcMar>
          </w:tcPr>
          <w:p>
            <w:pPr>
              <w:spacing w:after="0"/>
            </w:pPr>
            <w:r>
              <w:rPr>
                <w:rFonts w:ascii="Consolas" w:cs="Consolas" w:eastAsia="Consolas" w:hAnsi="Consolas"/>
                <w:sz w:val="18"/>
                <w:szCs w:val="18"/>
              </w:rPr>
              <w:t xml:space="preserve">all-MiniLM-L6-v2</w:t>
            </w:r>
            <w:r>
              <w:t xml:space="preserve"> [18] embeddings for KeyBERT and for semantic set comparison</w:t>
            </w:r>
          </w:p>
        </w:tc>
        <w:tc>
          <w:tcPr>
            <w:tcW w:type="dxa" w:w="4243"/>
            <w:tcMar>
              <w:top w:type="dxa" w:w="60"/>
              <w:left w:type="dxa" w:w="90"/>
              <w:bottom w:type="dxa" w:w="60"/>
              <w:right w:type="dxa" w:w="90"/>
            </w:tcMar>
          </w:tcPr>
          <w:p>
            <w:pPr>
              <w:spacing w:after="0"/>
            </w:pPr>
            <w:r>
              <w:t xml:space="preserve">Small enough to run per clip on CPU alongside GPU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scenedetect</w:t>
            </w:r>
          </w:p>
        </w:tc>
        <w:tc>
          <w:tcPr>
            <w:tcW w:type="dxa" w:w="1125"/>
            <w:tcMar>
              <w:top w:type="dxa" w:w="60"/>
              <w:left w:type="dxa" w:w="90"/>
              <w:bottom w:type="dxa" w:w="60"/>
              <w:right w:type="dxa" w:w="90"/>
            </w:tcMar>
          </w:tcPr>
          <w:p>
            <w:pPr>
              <w:spacing w:after="0"/>
            </w:pPr>
            <w:r>
              <w:t xml:space="preserve">0.7.1</w:t>
            </w:r>
          </w:p>
        </w:tc>
        <w:tc>
          <w:tcPr>
            <w:tcW w:type="dxa" w:w="2599"/>
            <w:tcMar>
              <w:top w:type="dxa" w:w="60"/>
              <w:left w:type="dxa" w:w="90"/>
              <w:bottom w:type="dxa" w:w="60"/>
              <w:right w:type="dxa" w:w="90"/>
            </w:tcMar>
          </w:tcPr>
          <w:p>
            <w:pPr>
              <w:spacing w:after="0"/>
            </w:pPr>
            <w:r>
              <w:t xml:space="preserve">Scene-aware frame sampling inside a clip, and the §3.8 shot-boundary diagnostic</w:t>
            </w:r>
          </w:p>
        </w:tc>
        <w:tc>
          <w:tcPr>
            <w:tcW w:type="dxa" w:w="4243"/>
            <w:tcMar>
              <w:top w:type="dxa" w:w="60"/>
              <w:left w:type="dxa" w:w="90"/>
              <w:bottom w:type="dxa" w:w="60"/>
              <w:right w:type="dxa" w:w="90"/>
            </w:tcMar>
          </w:tcPr>
          <w:p>
            <w:pPr>
              <w:spacing w:after="0"/>
            </w:pPr>
            <w:r>
              <w:t xml:space="preserve">CPU-only and roughly 30× realtime, so it does not compete with the GPU stages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 </w:t>
            </w:r>
            <w:r>
              <w:rPr>
                <w:rFonts w:ascii="Consolas" w:cs="Consolas" w:eastAsia="Consolas" w:hAnsi="Consolas"/>
                <w:sz w:val="18"/>
                <w:szCs w:val="18"/>
              </w:rPr>
              <w:t xml:space="preserve">rouge-score</w:t>
            </w:r>
          </w:p>
        </w:tc>
        <w:tc>
          <w:tcPr>
            <w:tcW w:type="dxa" w:w="1125"/>
            <w:tcMar>
              <w:top w:type="dxa" w:w="60"/>
              <w:left w:type="dxa" w:w="90"/>
              <w:bottom w:type="dxa" w:w="60"/>
              <w:right w:type="dxa" w:w="90"/>
            </w:tcMar>
          </w:tcPr>
          <w:p>
            <w:pPr>
              <w:spacing w:after="0"/>
            </w:pPr>
            <w:r>
              <w:t xml:space="preserve">4.0.0 / 0.1.2</w:t>
            </w:r>
          </w:p>
        </w:tc>
        <w:tc>
          <w:tcPr>
            <w:tcW w:type="dxa" w:w="2599"/>
            <w:tcMar>
              <w:top w:type="dxa" w:w="60"/>
              <w:left w:type="dxa" w:w="90"/>
              <w:bottom w:type="dxa" w:w="60"/>
              <w:right w:type="dxa" w:w="90"/>
            </w:tcMar>
          </w:tcPr>
          <w:p>
            <w:pPr>
              <w:spacing w:after="0"/>
            </w:pPr>
            <w:r>
              <w:t xml:space="preserve">Word error rate and ROUGE-L recall for free-text scoring</w:t>
            </w:r>
          </w:p>
        </w:tc>
        <w:tc>
          <w:tcPr>
            <w:tcW w:type="dxa" w:w="4243"/>
            <w:tcMar>
              <w:top w:type="dxa" w:w="60"/>
              <w:left w:type="dxa" w:w="90"/>
              <w:bottom w:type="dxa" w:w="60"/>
              <w:right w:type="dxa" w:w="90"/>
            </w:tcMar>
          </w:tcPr>
          <w:p>
            <w:pPr>
              <w:spacing w:after="0"/>
            </w:pPr>
            <w:r>
              <w:t xml:space="preserve">Standard implementations; using the published ones rather than hand-rolled scorers keeps the numbers comparable to other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pydantic</w:t>
            </w:r>
            <w:r>
              <w:t xml:space="preserve"> / </w:t>
            </w:r>
            <w:r>
              <w:rPr>
                <w:rFonts w:ascii="Consolas" w:cs="Consolas" w:eastAsia="Consolas" w:hAnsi="Consolas"/>
                <w:sz w:val="18"/>
                <w:szCs w:val="18"/>
              </w:rPr>
              <w:t xml:space="preserve">jsonschema</w:t>
            </w:r>
          </w:p>
        </w:tc>
        <w:tc>
          <w:tcPr>
            <w:tcW w:type="dxa" w:w="1125"/>
            <w:tcMar>
              <w:top w:type="dxa" w:w="60"/>
              <w:left w:type="dxa" w:w="90"/>
              <w:bottom w:type="dxa" w:w="60"/>
              <w:right w:type="dxa" w:w="90"/>
            </w:tcMar>
          </w:tcPr>
          <w:p>
            <w:pPr>
              <w:spacing w:after="0"/>
            </w:pPr>
            <w:r>
              <w:t xml:space="preserve">2.12.5 / 4.26.0</w:t>
            </w:r>
          </w:p>
        </w:tc>
        <w:tc>
          <w:tcPr>
            <w:tcW w:type="dxa" w:w="2599"/>
            <w:tcMar>
              <w:top w:type="dxa" w:w="60"/>
              <w:left w:type="dxa" w:w="90"/>
              <w:bottom w:type="dxa" w:w="60"/>
              <w:right w:type="dxa" w:w="90"/>
            </w:tcMar>
          </w:tcPr>
          <w:p>
            <w:pPr>
              <w:spacing w:after="0"/>
            </w:pPr>
            <w:r>
              <w:t xml:space="preserve">Constrains the hosted annotator's response and validates every exported artefact</w:t>
            </w:r>
          </w:p>
        </w:tc>
        <w:tc>
          <w:tcPr>
            <w:tcW w:type="dxa" w:w="4243"/>
            <w:tcMar>
              <w:top w:type="dxa" w:w="60"/>
              <w:left w:type="dxa" w:w="90"/>
              <w:bottom w:type="dxa" w:w="60"/>
              <w:right w:type="dxa" w:w="90"/>
            </w:tcMar>
          </w:tcPr>
          <w:p>
            <w:pPr>
              <w:spacing w:after="0"/>
            </w:pPr>
            <w:r>
              <w:t xml:space="preserve">A schema-constrained response is what makes the hosted output parseable at all; validation at export is what makes a malformed record fail loudly</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google-genai</w:t>
            </w:r>
          </w:p>
        </w:tc>
        <w:tc>
          <w:tcPr>
            <w:tcW w:type="dxa" w:w="1125"/>
            <w:tcMar>
              <w:top w:type="dxa" w:w="60"/>
              <w:left w:type="dxa" w:w="90"/>
              <w:bottom w:type="dxa" w:w="60"/>
              <w:right w:type="dxa" w:w="90"/>
            </w:tcMar>
          </w:tcPr>
          <w:p>
            <w:pPr>
              <w:spacing w:after="0"/>
            </w:pPr>
            <w:r>
              <w:t xml:space="preserve">2.17.0</w:t>
            </w:r>
          </w:p>
        </w:tc>
        <w:tc>
          <w:tcPr>
            <w:tcW w:type="dxa" w:w="2599"/>
            <w:tcMar>
              <w:top w:type="dxa" w:w="60"/>
              <w:left w:type="dxa" w:w="90"/>
              <w:bottom w:type="dxa" w:w="60"/>
              <w:right w:type="dxa" w:w="90"/>
            </w:tcMar>
          </w:tcPr>
          <w:p>
            <w:pPr>
              <w:spacing w:after="0"/>
            </w:pPr>
            <w:r>
              <w:t xml:space="preserve">Hosted-annotator client</w:t>
            </w:r>
          </w:p>
        </w:tc>
        <w:tc>
          <w:tcPr>
            <w:tcW w:type="dxa" w:w="4243"/>
            <w:tcMar>
              <w:top w:type="dxa" w:w="60"/>
              <w:left w:type="dxa" w:w="90"/>
              <w:bottom w:type="dxa" w:w="60"/>
              <w:right w:type="dxa" w:w="90"/>
            </w:tcMar>
          </w:tcPr>
          <w:p>
            <w:pPr>
              <w:spacing w:after="0"/>
            </w:pPr>
            <w:r>
              <w:t xml:space="preserve">Official SDK; its version is recorded in the provenance block so the run is identifiable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flask</w:t>
            </w:r>
          </w:p>
        </w:tc>
        <w:tc>
          <w:tcPr>
            <w:tcW w:type="dxa" w:w="1125"/>
            <w:tcMar>
              <w:top w:type="dxa" w:w="60"/>
              <w:left w:type="dxa" w:w="90"/>
              <w:bottom w:type="dxa" w:w="60"/>
              <w:right w:type="dxa" w:w="90"/>
            </w:tcMar>
          </w:tcPr>
          <w:p>
            <w:pPr>
              <w:spacing w:after="0"/>
            </w:pPr>
            <w:r>
              <w:t xml:space="preserve">3.1.3</w:t>
            </w:r>
          </w:p>
        </w:tc>
        <w:tc>
          <w:tcPr>
            <w:tcW w:type="dxa" w:w="2599"/>
            <w:tcMar>
              <w:top w:type="dxa" w:w="60"/>
              <w:left w:type="dxa" w:w="90"/>
              <w:bottom w:type="dxa" w:w="60"/>
              <w:right w:type="dxa" w:w="90"/>
            </w:tcMar>
          </w:tcPr>
          <w:p>
            <w:pPr>
              <w:spacing w:after="0"/>
            </w:pPr>
            <w:r>
              <w:t xml:space="preserve">The local review dashboard</w:t>
            </w:r>
          </w:p>
        </w:tc>
        <w:tc>
          <w:tcPr>
            <w:tcW w:type="dxa" w:w="4243"/>
            <w:tcMar>
              <w:top w:type="dxa" w:w="60"/>
              <w:left w:type="dxa" w:w="90"/>
              <w:bottom w:type="dxa" w:w="60"/>
              <w:right w:type="dxa" w:w="90"/>
            </w:tcMar>
          </w:tcPr>
          <w:p>
            <w:pPr>
              <w:spacing w:after="0"/>
            </w:pPr>
            <w:r>
              <w:t xml:space="preserve">A reviewer needs to see the clip beside its record; a notebook table cannot play video</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seaborn</w:t>
            </w:r>
            <w:r>
              <w:t xml:space="preserve"> / </w:t>
            </w:r>
            <w:r>
              <w:rPr>
                <w:rFonts w:ascii="Consolas" w:cs="Consolas" w:eastAsia="Consolas" w:hAnsi="Consolas"/>
                <w:sz w:val="18"/>
                <w:szCs w:val="18"/>
              </w:rPr>
              <w:t xml:space="preserve">matplotlib</w:t>
            </w:r>
          </w:p>
        </w:tc>
        <w:tc>
          <w:tcPr>
            <w:tcW w:type="dxa" w:w="1125"/>
            <w:tcMar>
              <w:top w:type="dxa" w:w="60"/>
              <w:left w:type="dxa" w:w="90"/>
              <w:bottom w:type="dxa" w:w="60"/>
              <w:right w:type="dxa" w:w="90"/>
            </w:tcMar>
          </w:tcPr>
          <w:p>
            <w:pPr>
              <w:spacing w:after="0"/>
            </w:pPr>
            <w:r>
              <w:t xml:space="preserve">0.13.2</w:t>
            </w:r>
          </w:p>
        </w:tc>
        <w:tc>
          <w:tcPr>
            <w:tcW w:type="dxa" w:w="2599"/>
            <w:tcMar>
              <w:top w:type="dxa" w:w="60"/>
              <w:left w:type="dxa" w:w="90"/>
              <w:bottom w:type="dxa" w:w="60"/>
              <w:right w:type="dxa" w:w="90"/>
            </w:tcMar>
          </w:tcPr>
          <w:p>
            <w:pPr>
              <w:spacing w:after="0"/>
            </w:pPr>
            <w:r>
              <w:t xml:space="preserve">Result charts in the notebooks and the paper's figures</w:t>
            </w:r>
          </w:p>
        </w:tc>
        <w:tc>
          <w:tcPr>
            <w:tcW w:type="dxa" w:w="4243"/>
            <w:tcMar>
              <w:top w:type="dxa" w:w="60"/>
              <w:left w:type="dxa" w:w="90"/>
              <w:bottom w:type="dxa" w:w="60"/>
              <w:right w:type="dxa" w:w="90"/>
            </w:tcMar>
          </w:tcPr>
          <w:p>
            <w:pPr>
              <w:spacing w:after="0"/>
            </w:pPr>
            <w:r>
              <w:t xml:space="preserve">—</w:t>
            </w:r>
          </w:p>
        </w:tc>
      </w:tr>
      <w:tr>
        <w:trPr>
          <w:tblHeader w:val="false"/>
        </w:trPr>
        <w:tc>
          <w:tcPr>
            <w:tcW w:type="dxa" w:w="1393"/>
            <w:tcMar>
              <w:top w:type="dxa" w:w="60"/>
              <w:left w:type="dxa" w:w="90"/>
              <w:bottom w:type="dxa" w:w="60"/>
              <w:right w:type="dxa" w:w="90"/>
            </w:tcMar>
          </w:tcPr>
          <w:p>
            <w:pPr>
              <w:spacing w:after="0"/>
            </w:pPr>
            <w:r>
              <w:t xml:space="preserve">FFmpeg, Tesseract (</w:t>
            </w:r>
            <w:r>
              <w:rPr>
                <w:rFonts w:ascii="Consolas" w:cs="Consolas" w:eastAsia="Consolas" w:hAnsi="Consolas"/>
                <w:sz w:val="18"/>
                <w:szCs w:val="18"/>
              </w:rPr>
              <w:t xml:space="preserve">apt</w:t>
            </w:r>
            <w:r>
              <w:t xml:space="preserve">)</w:t>
            </w:r>
          </w:p>
        </w:tc>
        <w:tc>
          <w:tcPr>
            <w:tcW w:type="dxa" w:w="1125"/>
            <w:tcMar>
              <w:top w:type="dxa" w:w="60"/>
              <w:left w:type="dxa" w:w="90"/>
              <w:bottom w:type="dxa" w:w="60"/>
              <w:right w:type="dxa" w:w="90"/>
            </w:tcMar>
          </w:tcPr>
          <w:p>
            <w:pPr>
              <w:spacing w:after="0"/>
            </w:pPr>
            <w:r>
              <w:t xml:space="preserve">system</w:t>
            </w:r>
          </w:p>
        </w:tc>
        <w:tc>
          <w:tcPr>
            <w:tcW w:type="dxa" w:w="2599"/>
            <w:tcMar>
              <w:top w:type="dxa" w:w="60"/>
              <w:left w:type="dxa" w:w="90"/>
              <w:bottom w:type="dxa" w:w="60"/>
              <w:right w:type="dxa" w:w="90"/>
            </w:tcMar>
          </w:tcPr>
          <w:p>
            <w:pPr>
              <w:spacing w:after="0"/>
            </w:pPr>
            <w:r>
              <w:t xml:space="preserve">Clip cutting and frame extraction; OCR backend</w:t>
            </w:r>
          </w:p>
        </w:tc>
        <w:tc>
          <w:tcPr>
            <w:tcW w:type="dxa" w:w="4243"/>
            <w:tcMar>
              <w:top w:type="dxa" w:w="60"/>
              <w:left w:type="dxa" w:w="90"/>
              <w:bottom w:type="dxa" w:w="60"/>
              <w:right w:type="dxa" w:w="90"/>
            </w:tcMar>
          </w:tcPr>
          <w:p>
            <w:pPr>
              <w:spacing w:after="0"/>
            </w:pPr>
            <w:r>
              <w:t xml:space="preserve">FFmpeg is used with stream copy where possible, which is why 626 clips cut in minutes without re-encoding</w:t>
            </w:r>
          </w:p>
        </w:tc>
      </w:tr>
    </w:tbl>
    <w:p>
      <w:pPr>
        <w:spacing w:after="160"/>
      </w:pPr>
    </w:p>
    <w:p>
      <w:pPr>
        <w:pStyle w:val="Heading2"/>
        <w:spacing w:after="140" w:before="260"/>
      </w:pPr>
      <w:r>
        <w:rPr>
          <w:b/>
          <w:bCs/>
          <w:sz w:val="24"/>
          <w:szCs w:val="24"/>
        </w:rPr>
        <w:t xml:space="preserve">4.3 Models and Why Each Was Chosen</w:t>
      </w:r>
    </w:p>
    <w:p>
      <w:pPr>
        <w:spacing w:after="140" w:line="276"/>
        <w:jc w:val="both"/>
      </w:pPr>
      <w:r>
        <w:t xml:space="preserve">Selection was driven by one criterion above accuracy: </w:t>
      </w:r>
      <w:r>
        <w:rPr>
          <w:b/>
          <w:bCs/>
        </w:rPr>
        <w:t xml:space="preserve">mechanism diversity</w:t>
      </w:r>
      <w:r>
        <w:t xml:space="preserve">, because the agreement scheme measures corroboration between sources and corroboration between two similar sources is worth less than corroboration between two unrelated ones (§3.6, and RQ4 in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3"/>
        <w:gridCol w:w="2554"/>
        <w:gridCol w:w="5343"/>
      </w:tblGrid>
      <w:tr>
        <w:trPr>
          <w:tblHeader/>
        </w:trPr>
        <w:tc>
          <w:tcPr>
            <w:tcW w:type="dxa" w:w="1463"/>
            <w:shd w:fill="EFEFEF" w:color="auto" w:val="clear"/>
            <w:tcMar>
              <w:top w:type="dxa" w:w="60"/>
              <w:left w:type="dxa" w:w="90"/>
              <w:bottom w:type="dxa" w:w="60"/>
              <w:right w:type="dxa" w:w="90"/>
            </w:tcMar>
          </w:tcPr>
          <w:p>
            <w:pPr>
              <w:spacing w:after="0"/>
            </w:pPr>
            <w:r>
              <w:rPr>
                <w:b/>
                <w:bCs/>
              </w:rPr>
              <w:t xml:space="preserve">Role</w:t>
            </w:r>
          </w:p>
        </w:tc>
        <w:tc>
          <w:tcPr>
            <w:tcW w:type="dxa" w:w="2554"/>
            <w:shd w:fill="EFEFEF" w:color="auto" w:val="clear"/>
            <w:tcMar>
              <w:top w:type="dxa" w:w="60"/>
              <w:left w:type="dxa" w:w="90"/>
              <w:bottom w:type="dxa" w:w="60"/>
              <w:right w:type="dxa" w:w="90"/>
            </w:tcMar>
          </w:tcPr>
          <w:p>
            <w:pPr>
              <w:spacing w:after="0"/>
            </w:pPr>
            <w:r>
              <w:rPr>
                <w:b/>
                <w:bCs/>
              </w:rPr>
              <w:t xml:space="preserve">Model</w:t>
            </w:r>
          </w:p>
        </w:tc>
        <w:tc>
          <w:tcPr>
            <w:tcW w:type="dxa" w:w="5343"/>
            <w:shd w:fill="EFEFEF" w:color="auto" w:val="clear"/>
            <w:tcMar>
              <w:top w:type="dxa" w:w="60"/>
              <w:left w:type="dxa" w:w="90"/>
              <w:bottom w:type="dxa" w:w="60"/>
              <w:right w:type="dxa" w:w="90"/>
            </w:tcMar>
          </w:tcPr>
          <w:p>
            <w:pPr>
              <w:spacing w:after="0"/>
            </w:pPr>
            <w:r>
              <w:rPr>
                <w:b/>
                <w:bCs/>
              </w:rPr>
              <w:t xml:space="preserve">Why this model</w:t>
            </w:r>
          </w:p>
        </w:tc>
      </w:tr>
      <w:tr>
        <w:trPr>
          <w:tblHeader w:val="false"/>
        </w:trPr>
        <w:tc>
          <w:tcPr>
            <w:tcW w:type="dxa" w:w="1463"/>
            <w:tcMar>
              <w:top w:type="dxa" w:w="60"/>
              <w:left w:type="dxa" w:w="90"/>
              <w:bottom w:type="dxa" w:w="60"/>
              <w:right w:type="dxa" w:w="90"/>
            </w:tcMar>
          </w:tcPr>
          <w:p>
            <w:pPr>
              <w:spacing w:after="0"/>
            </w:pPr>
            <w:r>
              <w:t xml:space="preserve">ASR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5343"/>
            <w:tcMar>
              <w:top w:type="dxa" w:w="60"/>
              <w:left w:type="dxa" w:w="90"/>
              <w:bottom w:type="dxa" w:w="60"/>
              <w:right w:type="dxa" w:w="90"/>
            </w:tcMar>
          </w:tcPr>
          <w:p>
            <w:pPr>
              <w:spacing w:after="0"/>
            </w:pPr>
            <w:r>
              <w:t xml:space="preserve">The largest Whisper that leaves GPU headroom for the visual stages to run in the same Colab session; also performs language ID</w:t>
            </w:r>
          </w:p>
        </w:tc>
      </w:tr>
      <w:tr>
        <w:trPr>
          <w:tblHeader w:val="false"/>
        </w:trPr>
        <w:tc>
          <w:tcPr>
            <w:tcW w:type="dxa" w:w="1463"/>
            <w:tcMar>
              <w:top w:type="dxa" w:w="60"/>
              <w:left w:type="dxa" w:w="90"/>
              <w:bottom w:type="dxa" w:w="60"/>
              <w:right w:type="dxa" w:w="90"/>
            </w:tcMar>
          </w:tcPr>
          <w:p>
            <w:pPr>
              <w:spacing w:after="0"/>
            </w:pPr>
            <w:r>
              <w:t xml:space="preserve">ASR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5343"/>
            <w:tcMar>
              <w:top w:type="dxa" w:w="60"/>
              <w:left w:type="dxa" w:w="90"/>
              <w:bottom w:type="dxa" w:w="60"/>
              <w:right w:type="dxa" w:w="90"/>
            </w:tcMar>
          </w:tcPr>
          <w:p>
            <w:pPr>
              <w:spacing w:after="0"/>
            </w:pPr>
            <w:r>
              <w:t xml:space="preserve">A different decoder configuration over the same architecture — the weakest independence pair in the system, and disclosed as such</w:t>
            </w:r>
          </w:p>
        </w:tc>
      </w:tr>
      <w:tr>
        <w:trPr>
          <w:tblHeader w:val="false"/>
        </w:trPr>
        <w:tc>
          <w:tcPr>
            <w:tcW w:type="dxa" w:w="1463"/>
            <w:tcMar>
              <w:top w:type="dxa" w:w="60"/>
              <w:left w:type="dxa" w:w="90"/>
              <w:bottom w:type="dxa" w:w="60"/>
              <w:right w:type="dxa" w:w="90"/>
            </w:tcMar>
          </w:tcPr>
          <w:p>
            <w:pPr>
              <w:spacing w:after="0"/>
            </w:pPr>
            <w:r>
              <w:t xml:space="preserve">OCR</w:t>
            </w:r>
          </w:p>
        </w:tc>
        <w:tc>
          <w:tcPr>
            <w:tcW w:type="dxa" w:w="2554"/>
            <w:tcMar>
              <w:top w:type="dxa" w:w="60"/>
              <w:left w:type="dxa" w:w="90"/>
              <w:bottom w:type="dxa" w:w="60"/>
              <w:right w:type="dxa" w:w="90"/>
            </w:tcMar>
          </w:tcPr>
          <w:p>
            <w:pPr>
              <w:spacing w:after="0"/>
            </w:pPr>
            <w:r>
              <w:t xml:space="preserve">Tesseract [17]; EasyOCR [39]</w:t>
            </w:r>
          </w:p>
        </w:tc>
        <w:tc>
          <w:tcPr>
            <w:tcW w:type="dxa" w:w="5343"/>
            <w:tcMar>
              <w:top w:type="dxa" w:w="60"/>
              <w:left w:type="dxa" w:w="90"/>
              <w:bottom w:type="dxa" w:w="60"/>
              <w:right w:type="dxa" w:w="90"/>
            </w:tcMar>
          </w:tcPr>
          <w:p>
            <w:pPr>
              <w:spacing w:after="0"/>
            </w:pPr>
            <w:r>
              <w:t xml:space="preserve">Two unrelated recognition mechanisms; both must agree at ≥ 0.80 before a string is published</w:t>
            </w:r>
          </w:p>
        </w:tc>
      </w:tr>
      <w:tr>
        <w:trPr>
          <w:tblHeader w:val="false"/>
        </w:trPr>
        <w:tc>
          <w:tcPr>
            <w:tcW w:type="dxa" w:w="1463"/>
            <w:tcMar>
              <w:top w:type="dxa" w:w="60"/>
              <w:left w:type="dxa" w:w="90"/>
              <w:bottom w:type="dxa" w:w="60"/>
              <w:right w:type="dxa" w:w="90"/>
            </w:tcMar>
          </w:tcPr>
          <w:p>
            <w:pPr>
              <w:spacing w:after="0"/>
            </w:pPr>
            <w:r>
              <w:t xml:space="preserve">Visual tags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clip-vit-base-patch32</w:t>
            </w:r>
            <w:r>
              <w:t xml:space="preserve"> [5]</w:t>
            </w:r>
          </w:p>
        </w:tc>
        <w:tc>
          <w:tcPr>
            <w:tcW w:type="dxa" w:w="5343"/>
            <w:tcMar>
              <w:top w:type="dxa" w:w="60"/>
              <w:left w:type="dxa" w:w="90"/>
              <w:bottom w:type="dxa" w:w="60"/>
              <w:right w:type="dxa" w:w="90"/>
            </w:tcMar>
          </w:tcPr>
          <w:p>
            <w:pPr>
              <w:spacing w:after="0"/>
            </w:pPr>
            <w:r>
              <w:t xml:space="preserve">Fast enough to run on every clip; the 34-label vocabulary is scored as a zero-shot ranking</w:t>
            </w:r>
          </w:p>
        </w:tc>
      </w:tr>
      <w:tr>
        <w:trPr>
          <w:tblHeader w:val="false"/>
        </w:trPr>
        <w:tc>
          <w:tcPr>
            <w:tcW w:type="dxa" w:w="1463"/>
            <w:tcMar>
              <w:top w:type="dxa" w:w="60"/>
              <w:left w:type="dxa" w:w="90"/>
              <w:bottom w:type="dxa" w:w="60"/>
              <w:right w:type="dxa" w:w="90"/>
            </w:tcMar>
          </w:tcPr>
          <w:p>
            <w:pPr>
              <w:spacing w:after="0"/>
            </w:pPr>
            <w:r>
              <w:t xml:space="preserve">Visual tags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clip-vit-large-patch14</w:t>
            </w:r>
            <w:r>
              <w:t xml:space="preserve"> [5]</w:t>
            </w:r>
          </w:p>
        </w:tc>
        <w:tc>
          <w:tcPr>
            <w:tcW w:type="dxa" w:w="5343"/>
            <w:tcMar>
              <w:top w:type="dxa" w:w="60"/>
              <w:left w:type="dxa" w:w="90"/>
              <w:bottom w:type="dxa" w:w="60"/>
              <w:right w:type="dxa" w:w="90"/>
            </w:tcMar>
          </w:tcPr>
          <w:p>
            <w:pPr>
              <w:spacing w:after="0"/>
            </w:pPr>
            <w:r>
              <w:t xml:space="preserve">A capacity difference rather than a mechanism difference, which RQ2 shows inflates the tag field's agreement</w:t>
            </w:r>
          </w:p>
        </w:tc>
      </w:tr>
      <w:tr>
        <w:trPr>
          <w:tblHeader w:val="false"/>
        </w:trPr>
        <w:tc>
          <w:tcPr>
            <w:tcW w:type="dxa" w:w="1463"/>
            <w:tcMar>
              <w:top w:type="dxa" w:w="60"/>
              <w:left w:type="dxa" w:w="90"/>
              <w:bottom w:type="dxa" w:w="60"/>
              <w:right w:type="dxa" w:w="90"/>
            </w:tcMar>
          </w:tcPr>
          <w:p>
            <w:pPr>
              <w:spacing w:after="0"/>
            </w:pPr>
            <w:r>
              <w:t xml:space="preserve">People count</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5343"/>
            <w:tcMar>
              <w:top w:type="dxa" w:w="60"/>
              <w:left w:type="dxa" w:w="90"/>
              <w:bottom w:type="dxa" w:w="60"/>
              <w:right w:type="dxa" w:w="90"/>
            </w:tcMar>
          </w:tcPr>
          <w:p>
            <w:pPr>
              <w:spacing w:after="0"/>
            </w:pPr>
            <w:r>
              <w:t xml:space="preserve">Three genuinely unrelated routes to one integer: a captioning VQA model, a transformer VQA model and a convolutional set-prediction detector. This is the most independent evidence set in the system and it produces the highest agreement (0.812), which is the design's central claim in miniature</w:t>
            </w:r>
          </w:p>
        </w:tc>
      </w:tr>
      <w:tr>
        <w:trPr>
          <w:tblHeader w:val="false"/>
        </w:trPr>
        <w:tc>
          <w:tcPr>
            <w:tcW w:type="dxa" w:w="1463"/>
            <w:tcMar>
              <w:top w:type="dxa" w:w="60"/>
              <w:left w:type="dxa" w:w="90"/>
              <w:bottom w:type="dxa" w:w="60"/>
              <w:right w:type="dxa" w:w="90"/>
            </w:tcMar>
          </w:tcPr>
          <w:p>
            <w:pPr>
              <w:spacing w:after="0"/>
            </w:pPr>
            <w:r>
              <w:t xml:space="preserve">Keywords</w:t>
            </w:r>
          </w:p>
        </w:tc>
        <w:tc>
          <w:tcPr>
            <w:tcW w:type="dxa" w:w="2554"/>
            <w:tcMar>
              <w:top w:type="dxa" w:w="60"/>
              <w:left w:type="dxa" w:w="90"/>
              <w:bottom w:type="dxa" w:w="60"/>
              <w:right w:type="dxa" w:w="90"/>
            </w:tcMar>
          </w:tcPr>
          <w:p>
            <w:pPr>
              <w:spacing w:after="0"/>
            </w:pPr>
            <w:r>
              <w:t xml:space="preserve">KeyBERT [20]; YAKE [19]; TF-IDF</w:t>
            </w:r>
          </w:p>
        </w:tc>
        <w:tc>
          <w:tcPr>
            <w:tcW w:type="dxa" w:w="5343"/>
            <w:tcMar>
              <w:top w:type="dxa" w:w="60"/>
              <w:left w:type="dxa" w:w="90"/>
              <w:bottom w:type="dxa" w:w="60"/>
              <w:right w:type="dxa" w:w="90"/>
            </w:tcMar>
          </w:tcPr>
          <w:p>
            <w:pPr>
              <w:spacing w:after="0"/>
            </w:pPr>
            <w:r>
              <w:t xml:space="preserve">Three ranking functions — but over one Whisper transcript, which §3.6 identifies as a design fault rather than a result</w:t>
            </w:r>
          </w:p>
        </w:tc>
      </w:tr>
      <w:tr>
        <w:trPr>
          <w:tblHeader w:val="false"/>
        </w:trPr>
        <w:tc>
          <w:tcPr>
            <w:tcW w:type="dxa" w:w="1463"/>
            <w:tcMar>
              <w:top w:type="dxa" w:w="60"/>
              <w:left w:type="dxa" w:w="90"/>
              <w:bottom w:type="dxa" w:w="60"/>
              <w:right w:type="dxa" w:w="90"/>
            </w:tcMar>
          </w:tcPr>
          <w:p>
            <w:pPr>
              <w:spacing w:after="0"/>
            </w:pPr>
            <w:r>
              <w:t xml:space="preserve">Hosted annotator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5343"/>
            <w:tcMar>
              <w:top w:type="dxa" w:w="60"/>
              <w:left w:type="dxa" w:w="90"/>
              <w:bottom w:type="dxa" w:w="60"/>
              <w:right w:type="dxa" w:w="90"/>
            </w:tcMar>
          </w:tcPr>
          <w:p>
            <w:pPr>
              <w:spacing w:after="0"/>
            </w:pPr>
            <w:r>
              <w:t xml:space="preserve">An architecturally unrelated, open-vocabulary fourth opinion; the fast tier because the run is 626 clips and the role is corroboration, not adjudication</w:t>
            </w:r>
          </w:p>
        </w:tc>
      </w:tr>
      <w:tr>
        <w:trPr>
          <w:tblHeader w:val="false"/>
        </w:trPr>
        <w:tc>
          <w:tcPr>
            <w:tcW w:type="dxa" w:w="1463"/>
            <w:tcMar>
              <w:top w:type="dxa" w:w="60"/>
              <w:left w:type="dxa" w:w="90"/>
              <w:bottom w:type="dxa" w:w="60"/>
              <w:right w:type="dxa" w:w="90"/>
            </w:tcMar>
          </w:tcPr>
          <w:p>
            <w:pPr>
              <w:spacing w:after="0"/>
            </w:pPr>
            <w:r>
              <w:t xml:space="preserve">Benchmark</w:t>
            </w:r>
          </w:p>
        </w:tc>
        <w:tc>
          <w:tcPr>
            <w:tcW w:type="dxa" w:w="2554"/>
            <w:tcMar>
              <w:top w:type="dxa" w:w="60"/>
              <w:left w:type="dxa" w:w="90"/>
              <w:bottom w:type="dxa" w:w="60"/>
              <w:right w:type="dxa" w:w="90"/>
            </w:tcMar>
          </w:tcPr>
          <w:p>
            <w:pPr>
              <w:spacing w:after="0"/>
            </w:pPr>
            <w:r>
              <w:t xml:space="preserve">Qwen3-VL [12] 2B/4B/8B (Instruct, Thinking); InternVL3 [13] -2B/-8B</w:t>
            </w:r>
          </w:p>
        </w:tc>
        <w:tc>
          <w:tcPr>
            <w:tcW w:type="dxa" w:w="5343"/>
            <w:tcMar>
              <w:top w:type="dxa" w:w="60"/>
              <w:left w:type="dxa" w:w="90"/>
              <w:bottom w:type="dxa" w:w="60"/>
              <w:right w:type="dxa" w:w="90"/>
            </w:tcMar>
          </w:tcPr>
          <w:p>
            <w:pPr>
              <w:spacing w:after="0"/>
            </w:pPr>
            <w:r>
              <w:t xml:space="preserve">Two families × three scales × two post-training styles, so scale and deliberation can be separated. Both 8B models ran int4 on the 20 GB MIG slice, which confounds the scale comparison and is disclosed at every mention</w:t>
            </w:r>
          </w:p>
        </w:tc>
      </w:tr>
    </w:tbl>
    <w:p>
      <w:pPr>
        <w:spacing w:after="160"/>
      </w:pPr>
    </w:p>
    <w:p>
      <w:pPr>
        <w:spacing w:after="140" w:line="276"/>
        <w:jc w:val="both"/>
      </w:pPr>
      <w:r>
        <w:t xml:space="preserve">A video-native model such as PPLLaVA [22], run through the video-text-to-text interface [24], would remove the fixed frame budget discussed in §4.5, and metadata-aware retrieval work [21] motivates publishing per-field structure rather than a flat caption.</w:t>
      </w:r>
    </w:p>
    <w:p>
      <w:pPr>
        <w:pStyle w:val="Heading2"/>
        <w:spacing w:after="140" w:before="260"/>
      </w:pPr>
      <w:r>
        <w:rPr>
          <w:b/>
          <w:bCs/>
          <w:sz w:val="24"/>
          <w:szCs w:val="24"/>
        </w:rPr>
        <w:t xml:space="preserve">4.4 Tools by Project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7"/>
        <w:gridCol w:w="6183"/>
      </w:tblGrid>
      <w:tr>
        <w:trPr>
          <w:tblHeader/>
        </w:trPr>
        <w:tc>
          <w:tcPr>
            <w:tcW w:type="dxa" w:w="3177"/>
            <w:shd w:fill="EFEFEF" w:color="auto" w:val="clear"/>
            <w:tcMar>
              <w:top w:type="dxa" w:w="60"/>
              <w:left w:type="dxa" w:w="90"/>
              <w:bottom w:type="dxa" w:w="60"/>
              <w:right w:type="dxa" w:w="90"/>
            </w:tcMar>
          </w:tcPr>
          <w:p>
            <w:pPr>
              <w:spacing w:after="0"/>
            </w:pPr>
            <w:r>
              <w:rPr>
                <w:b/>
                <w:bCs/>
              </w:rPr>
              <w:t xml:space="preserve">Stage</w:t>
            </w:r>
          </w:p>
        </w:tc>
        <w:tc>
          <w:tcPr>
            <w:tcW w:type="dxa" w:w="6183"/>
            <w:shd w:fill="EFEFEF" w:color="auto" w:val="clear"/>
            <w:tcMar>
              <w:top w:type="dxa" w:w="60"/>
              <w:left w:type="dxa" w:w="90"/>
              <w:bottom w:type="dxa" w:w="60"/>
              <w:right w:type="dxa" w:w="90"/>
            </w:tcMar>
          </w:tcPr>
          <w:p>
            <w:pPr>
              <w:spacing w:after="0"/>
            </w:pPr>
            <w:r>
              <w:rPr>
                <w:b/>
                <w:bCs/>
              </w:rPr>
              <w:t xml:space="preserve">Tools</w:t>
            </w:r>
          </w:p>
        </w:tc>
      </w:tr>
      <w:tr>
        <w:trPr>
          <w:tblHeader w:val="false"/>
        </w:trPr>
        <w:tc>
          <w:tcPr>
            <w:tcW w:type="dxa" w:w="3177"/>
            <w:tcMar>
              <w:top w:type="dxa" w:w="60"/>
              <w:left w:type="dxa" w:w="90"/>
              <w:bottom w:type="dxa" w:w="60"/>
              <w:right w:type="dxa" w:w="90"/>
            </w:tcMar>
          </w:tcPr>
          <w:p>
            <w:pPr>
              <w:spacing w:after="0"/>
            </w:pPr>
            <w:r>
              <w:t xml:space="preserve">Acquisition and segmentation</w:t>
            </w:r>
          </w:p>
        </w:tc>
        <w:tc>
          <w:tcPr>
            <w:tcW w:type="dxa" w:w="6183"/>
            <w:tcMar>
              <w:top w:type="dxa" w:w="60"/>
              <w:left w:type="dxa" w:w="90"/>
              <w:bottom w:type="dxa" w:w="60"/>
              <w:right w:type="dxa" w:w="90"/>
            </w:tcMar>
          </w:tcPr>
          <w:p>
            <w:pPr>
              <w:spacing w:after="0"/>
            </w:pPr>
            <w:r>
              <w:t xml:space="preserve">FFmpeg (stream-copy cutting), FFprobe (duration validation), Python </w:t>
            </w:r>
            <w:r>
              <w:rPr>
                <w:rFonts w:ascii="Consolas" w:cs="Consolas" w:eastAsia="Consolas" w:hAnsi="Consolas"/>
                <w:sz w:val="18"/>
                <w:szCs w:val="18"/>
              </w:rPr>
              <w:t xml:space="preserve">hashlib</w:t>
            </w:r>
            <w:r>
              <w:t xml:space="preserve"> (source SHA-256)</w:t>
            </w:r>
          </w:p>
        </w:tc>
      </w:tr>
      <w:tr>
        <w:trPr>
          <w:tblHeader w:val="false"/>
        </w:trPr>
        <w:tc>
          <w:tcPr>
            <w:tcW w:type="dxa" w:w="3177"/>
            <w:tcMar>
              <w:top w:type="dxa" w:w="60"/>
              <w:left w:type="dxa" w:w="90"/>
              <w:bottom w:type="dxa" w:w="60"/>
              <w:right w:type="dxa" w:w="90"/>
            </w:tcMar>
          </w:tcPr>
          <w:p>
            <w:pPr>
              <w:spacing w:after="0"/>
            </w:pPr>
            <w:r>
              <w:t xml:space="preserve">Frame sampling</w:t>
            </w:r>
          </w:p>
        </w:tc>
        <w:tc>
          <w:tcPr>
            <w:tcW w:type="dxa" w:w="6183"/>
            <w:tcMar>
              <w:top w:type="dxa" w:w="60"/>
              <w:left w:type="dxa" w:w="90"/>
              <w:bottom w:type="dxa" w:w="60"/>
              <w:right w:type="dxa" w:w="90"/>
            </w:tcMar>
          </w:tcPr>
          <w:p>
            <w:pPr>
              <w:spacing w:after="0"/>
            </w:pPr>
            <w:r>
              <w:t xml:space="preserve">PySceneDetect, Pillow</w:t>
            </w:r>
          </w:p>
        </w:tc>
      </w:tr>
      <w:tr>
        <w:trPr>
          <w:tblHeader w:val="false"/>
        </w:trPr>
        <w:tc>
          <w:tcPr>
            <w:tcW w:type="dxa" w:w="3177"/>
            <w:tcMar>
              <w:top w:type="dxa" w:w="60"/>
              <w:left w:type="dxa" w:w="90"/>
              <w:bottom w:type="dxa" w:w="60"/>
              <w:right w:type="dxa" w:w="90"/>
            </w:tcMar>
          </w:tcPr>
          <w:p>
            <w:pPr>
              <w:spacing w:after="0"/>
            </w:pPr>
            <w:r>
              <w:t xml:space="preserve">Metadata generation</w:t>
            </w:r>
          </w:p>
        </w:tc>
        <w:tc>
          <w:tcPr>
            <w:tcW w:type="dxa" w:w="6183"/>
            <w:tcMar>
              <w:top w:type="dxa" w:w="60"/>
              <w:left w:type="dxa" w:w="90"/>
              <w:bottom w:type="dxa" w:w="60"/>
              <w:right w:type="dxa" w:w="90"/>
            </w:tcMar>
          </w:tcPr>
          <w:p>
            <w:pPr>
              <w:spacing w:after="0"/>
            </w:pPr>
            <w:r>
              <w:t xml:space="preserve">Whisper, Tesseract, EasyOCR, CLIP ×2, BLIP-VQA, ViLT-VQA, DETR, KeyBERT, YAKE, scikit-learn TF-IDF, Gemini</w:t>
            </w:r>
          </w:p>
        </w:tc>
      </w:tr>
      <w:tr>
        <w:trPr>
          <w:tblHeader w:val="false"/>
        </w:trPr>
        <w:tc>
          <w:tcPr>
            <w:tcW w:type="dxa" w:w="3177"/>
            <w:tcMar>
              <w:top w:type="dxa" w:w="60"/>
              <w:left w:type="dxa" w:w="90"/>
              <w:bottom w:type="dxa" w:w="60"/>
              <w:right w:type="dxa" w:w="90"/>
            </w:tcMar>
          </w:tcPr>
          <w:p>
            <w:pPr>
              <w:spacing w:after="0"/>
            </w:pPr>
            <w:r>
              <w:t xml:space="preserve">Consensus and export</w:t>
            </w:r>
          </w:p>
        </w:tc>
        <w:tc>
          <w:tcPr>
            <w:tcW w:type="dxa" w:w="6183"/>
            <w:tcMar>
              <w:top w:type="dxa" w:w="60"/>
              <w:left w:type="dxa" w:w="90"/>
              <w:bottom w:type="dxa" w:w="60"/>
              <w:right w:type="dxa" w:w="90"/>
            </w:tcMar>
          </w:tcPr>
          <w:p>
            <w:pPr>
              <w:spacing w:after="0"/>
            </w:pPr>
            <w:r>
              <w:t xml:space="preserve">NumPy, pandas, </w:t>
            </w:r>
            <w:r>
              <w:rPr>
                <w:rFonts w:ascii="Consolas" w:cs="Consolas" w:eastAsia="Consolas" w:hAnsi="Consolas"/>
                <w:sz w:val="18"/>
                <w:szCs w:val="18"/>
              </w:rPr>
              <w:t xml:space="preserve">difflib</w:t>
            </w:r>
            <w:r>
              <w:t xml:space="preserve">, sentence-transformers, </w:t>
            </w:r>
            <w:r>
              <w:rPr>
                <w:rFonts w:ascii="Consolas" w:cs="Consolas" w:eastAsia="Consolas" w:hAnsi="Consolas"/>
                <w:sz w:val="18"/>
                <w:szCs w:val="18"/>
              </w:rPr>
              <w:t xml:space="preserve">jsonschema</w:t>
            </w:r>
          </w:p>
        </w:tc>
      </w:tr>
      <w:tr>
        <w:trPr>
          <w:tblHeader w:val="false"/>
        </w:trPr>
        <w:tc>
          <w:tcPr>
            <w:tcW w:type="dxa" w:w="3177"/>
            <w:tcMar>
              <w:top w:type="dxa" w:w="60"/>
              <w:left w:type="dxa" w:w="90"/>
              <w:bottom w:type="dxa" w:w="60"/>
              <w:right w:type="dxa" w:w="90"/>
            </w:tcMar>
          </w:tcPr>
          <w:p>
            <w:pPr>
              <w:spacing w:after="0"/>
            </w:pPr>
            <w:r>
              <w:t xml:space="preserve">Review</w:t>
            </w:r>
          </w:p>
        </w:tc>
        <w:tc>
          <w:tcPr>
            <w:tcW w:type="dxa" w:w="6183"/>
            <w:tcMar>
              <w:top w:type="dxa" w:w="60"/>
              <w:left w:type="dxa" w:w="90"/>
              <w:bottom w:type="dxa" w:w="60"/>
              <w:right w:type="dxa" w:w="90"/>
            </w:tcMar>
          </w:tcPr>
          <w:p>
            <w:pPr>
              <w:spacing w:after="0"/>
            </w:pPr>
            <w:r>
              <w:t xml:space="preserve">Flask dashboard serving clips beside their records</w:t>
            </w:r>
          </w:p>
        </w:tc>
      </w:tr>
      <w:tr>
        <w:trPr>
          <w:tblHeader w:val="false"/>
        </w:trPr>
        <w:tc>
          <w:tcPr>
            <w:tcW w:type="dxa" w:w="3177"/>
            <w:tcMar>
              <w:top w:type="dxa" w:w="60"/>
              <w:left w:type="dxa" w:w="90"/>
              <w:bottom w:type="dxa" w:w="60"/>
              <w:right w:type="dxa" w:w="90"/>
            </w:tcMar>
          </w:tcPr>
          <w:p>
            <w:pPr>
              <w:spacing w:after="0"/>
            </w:pPr>
            <w:r>
              <w:t xml:space="preserve">Benchmark</w:t>
            </w:r>
          </w:p>
        </w:tc>
        <w:tc>
          <w:tcPr>
            <w:tcW w:type="dxa" w:w="6183"/>
            <w:tcMar>
              <w:top w:type="dxa" w:w="60"/>
              <w:left w:type="dxa" w:w="90"/>
              <w:bottom w:type="dxa" w:w="60"/>
              <w:right w:type="dxa" w:w="90"/>
            </w:tcMar>
          </w:tcPr>
          <w:p>
            <w:pPr>
              <w:spacing w:after="0"/>
            </w:pPr>
            <w:r>
              <w:t xml:space="preserve">Transformers, </w:t>
            </w:r>
            <w:r>
              <w:rPr>
                <w:rFonts w:ascii="Consolas" w:cs="Consolas" w:eastAsia="Consolas" w:hAnsi="Consolas"/>
                <w:sz w:val="18"/>
                <w:szCs w:val="18"/>
              </w:rPr>
              <w:t xml:space="preserve">bitsandbytes</w:t>
            </w:r>
            <w:r>
              <w:t xml:space="preserve"> (int4), Kelvin2 Slurm</w:t>
            </w:r>
          </w:p>
        </w:tc>
      </w:tr>
      <w:tr>
        <w:trPr>
          <w:tblHeader w:val="false"/>
        </w:trPr>
        <w:tc>
          <w:tcPr>
            <w:tcW w:type="dxa" w:w="3177"/>
            <w:tcMar>
              <w:top w:type="dxa" w:w="60"/>
              <w:left w:type="dxa" w:w="90"/>
              <w:bottom w:type="dxa" w:w="60"/>
              <w:right w:type="dxa" w:w="90"/>
            </w:tcMar>
          </w:tcPr>
          <w:p>
            <w:pPr>
              <w:spacing w:after="0"/>
            </w:pPr>
            <w:r>
              <w:t xml:space="preserve">Scoring and reporting</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w:t>
            </w:r>
            <w:r>
              <w:rPr>
                <w:rFonts w:ascii="Consolas" w:cs="Consolas" w:eastAsia="Consolas" w:hAnsi="Consolas"/>
                <w:sz w:val="18"/>
                <w:szCs w:val="18"/>
              </w:rPr>
              <w:t xml:space="preserve">rouge-score</w:t>
            </w:r>
            <w:r>
              <w:t xml:space="preserve">, pandas, seaborn, matplotlib</w:t>
            </w:r>
          </w:p>
        </w:tc>
      </w:tr>
      <w:tr>
        <w:trPr>
          <w:tblHeader w:val="false"/>
        </w:trPr>
        <w:tc>
          <w:tcPr>
            <w:tcW w:type="dxa" w:w="3177"/>
            <w:tcMar>
              <w:top w:type="dxa" w:w="60"/>
              <w:left w:type="dxa" w:w="90"/>
              <w:bottom w:type="dxa" w:w="60"/>
              <w:right w:type="dxa" w:w="90"/>
            </w:tcMar>
          </w:tcPr>
          <w:p>
            <w:pPr>
              <w:spacing w:after="0"/>
            </w:pPr>
            <w:r>
              <w:t xml:space="preserve">Verification</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scripts/fill_report_gaps.py</w:t>
            </w:r>
            <w:r>
              <w:t xml:space="preserve">, </w:t>
            </w:r>
            <w:r>
              <w:rPr>
                <w:rFonts w:ascii="Consolas" w:cs="Consolas" w:eastAsia="Consolas" w:hAnsi="Consolas"/>
                <w:sz w:val="18"/>
                <w:szCs w:val="18"/>
              </w:rPr>
              <w:t xml:space="preserve">scripts/segmentation_diagnostic.py</w:t>
            </w:r>
          </w:p>
        </w:tc>
      </w:tr>
      <w:tr>
        <w:trPr>
          <w:tblHeader w:val="false"/>
        </w:trPr>
        <w:tc>
          <w:tcPr>
            <w:tcW w:type="dxa" w:w="3177"/>
            <w:tcMar>
              <w:top w:type="dxa" w:w="60"/>
              <w:left w:type="dxa" w:w="90"/>
              <w:bottom w:type="dxa" w:w="60"/>
              <w:right w:type="dxa" w:w="90"/>
            </w:tcMar>
          </w:tcPr>
          <w:p>
            <w:pPr>
              <w:spacing w:after="0"/>
            </w:pPr>
            <w:r>
              <w:t xml:space="preserve">Environment and provenance</w:t>
            </w:r>
          </w:p>
        </w:tc>
        <w:tc>
          <w:tcPr>
            <w:tcW w:type="dxa" w:w="6183"/>
            <w:tcMar>
              <w:top w:type="dxa" w:w="60"/>
              <w:left w:type="dxa" w:w="90"/>
              <w:bottom w:type="dxa" w:w="60"/>
              <w:right w:type="dxa" w:w="90"/>
            </w:tcMar>
          </w:tcPr>
          <w:p>
            <w:pPr>
              <w:spacing w:after="0"/>
            </w:pPr>
            <w:r>
              <w:t xml:space="preserve">Colab, Kelvin2, Google Drive, Git, pinned requirements, recorded model revisions</w:t>
            </w:r>
          </w:p>
        </w:tc>
      </w:tr>
    </w:tbl>
    <w:p>
      <w:pPr>
        <w:spacing w:after="160"/>
      </w:pPr>
    </w:p>
    <w:p>
      <w:pPr>
        <w:pStyle w:val="Heading2"/>
        <w:spacing w:after="140" w:before="260"/>
      </w:pPr>
      <w:r>
        <w:rPr>
          <w:b/>
          <w:bCs/>
          <w:sz w:val="24"/>
          <w:szCs w:val="24"/>
        </w:rPr>
        <w:t xml:space="preserve">4.5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and broadcast by NVTV.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 </w:t>
      </w:r>
      <w:r>
        <w:rPr>
          <w:rFonts w:ascii="Consolas" w:cs="Consolas" w:eastAsia="Consolas" w:hAnsi="Consolas"/>
          <w:sz w:val="18"/>
          <w:szCs w:val="18"/>
        </w:rPr>
        <w:t xml:space="preserve">get_gemini_api_key</w:t>
      </w:r>
      <w:r>
        <w:t xml:space="preserve"> reads the key from the environment or the Colab secret store and it is not printed or persisted.</w:t>
      </w:r>
    </w:p>
    <w:p>
      <w:pPr>
        <w:spacing w:after="140" w:line="276"/>
        <w:jc w:val="both"/>
      </w:pPr>
      <w:r>
        <w:rPr>
          <w:b/>
          <w:bCs/>
        </w:rPr>
        <w:t xml:space="preserve">The reported run used the hosted API.</w:t>
      </w:r>
      <w:r>
        <w:t xml:space="preserve"> This must be stated plainly rather than left to the "optional" wording above. The published ground truth is </w:t>
      </w:r>
      <w:r>
        <w:rPr>
          <w:i/>
          <w:iCs/>
        </w:rPr>
        <w:t xml:space="preserve">not</w:t>
      </w:r>
      <w:r>
        <w:t xml:space="preserve"> the local-only configuration: the hosted annotator is a weighted source in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its candidate coverage on visual tags is 1.0000 across all 626 clips, and RQ4 exists precisely because that source changed 49.0% of published tag sets. Every result in both documents therefore rests on a run in which frames left the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1"/>
        <w:gridCol w:w="6679"/>
      </w:tblGrid>
      <w:tr>
        <w:trPr>
          <w:tblHeader/>
        </w:trPr>
        <w:tc>
          <w:tcPr>
            <w:tcW w:type="dxa" w:w="2681"/>
            <w:shd w:fill="EFEFEF" w:color="auto" w:val="clear"/>
            <w:tcMar>
              <w:top w:type="dxa" w:w="60"/>
              <w:left w:type="dxa" w:w="90"/>
              <w:bottom w:type="dxa" w:w="60"/>
              <w:right w:type="dxa" w:w="90"/>
            </w:tcMar>
          </w:tcPr>
          <w:p>
            <w:pPr>
              <w:spacing w:after="0"/>
            </w:pPr>
            <w:r>
              <w:t xml:space="preserve"/>
            </w:r>
          </w:p>
        </w:tc>
        <w:tc>
          <w:tcPr>
            <w:tcW w:type="dxa" w:w="6679"/>
            <w:shd w:fill="EFEFEF" w:color="auto" w:val="clear"/>
            <w:tcMar>
              <w:top w:type="dxa" w:w="60"/>
              <w:left w:type="dxa" w:w="90"/>
              <w:bottom w:type="dxa" w:w="60"/>
              <w:right w:type="dxa" w:w="90"/>
            </w:tcMar>
          </w:tcPr>
          <w:p>
            <w:pPr>
              <w:spacing w:after="0"/>
            </w:pPr>
            <w:r>
              <w:rPr>
                <w:b/>
                <w:bCs/>
              </w:rPr>
              <w:t xml:space="preserve">Reported run</w:t>
            </w:r>
          </w:p>
        </w:tc>
      </w:tr>
      <w:tr>
        <w:trPr>
          <w:tblHeader w:val="false"/>
        </w:trPr>
        <w:tc>
          <w:tcPr>
            <w:tcW w:type="dxa" w:w="2681"/>
            <w:tcMar>
              <w:top w:type="dxa" w:w="60"/>
              <w:left w:type="dxa" w:w="90"/>
              <w:bottom w:type="dxa" w:w="60"/>
              <w:right w:type="dxa" w:w="90"/>
            </w:tcMar>
          </w:tcPr>
          <w:p>
            <w:pPr>
              <w:spacing w:after="0"/>
            </w:pPr>
            <w:r>
              <w:t xml:space="preserve">Provider and model</w:t>
            </w:r>
          </w:p>
        </w:tc>
        <w:tc>
          <w:tcPr>
            <w:tcW w:type="dxa" w:w="6679"/>
            <w:tcMar>
              <w:top w:type="dxa" w:w="60"/>
              <w:left w:type="dxa" w:w="90"/>
              <w:bottom w:type="dxa" w:w="60"/>
              <w:right w:type="dxa" w:w="90"/>
            </w:tcMar>
          </w:tcPr>
          <w:p>
            <w:pPr>
              <w:spacing w:after="0"/>
            </w:pPr>
            <w:r>
              <w:t xml:space="preserve">Google Gemini Developer API, </w:t>
            </w:r>
            <w:r>
              <w:rPr>
                <w:rFonts w:ascii="Consolas" w:cs="Consolas" w:eastAsia="Consolas" w:hAnsi="Consolas"/>
                <w:sz w:val="18"/>
                <w:szCs w:val="18"/>
              </w:rPr>
              <w:t xml:space="preserve">gemini-3.6-flash</w:t>
            </w:r>
          </w:p>
        </w:tc>
      </w:tr>
      <w:tr>
        <w:trPr>
          <w:tblHeader w:val="false"/>
        </w:trPr>
        <w:tc>
          <w:tcPr>
            <w:tcW w:type="dxa" w:w="2681"/>
            <w:tcMar>
              <w:top w:type="dxa" w:w="60"/>
              <w:left w:type="dxa" w:w="90"/>
              <w:bottom w:type="dxa" w:w="60"/>
              <w:right w:type="dxa" w:w="90"/>
            </w:tcMar>
          </w:tcPr>
          <w:p>
            <w:pPr>
              <w:spacing w:after="0"/>
            </w:pPr>
            <w:r>
              <w:t xml:space="preserve">Transmitted per clip</w:t>
            </w:r>
          </w:p>
        </w:tc>
        <w:tc>
          <w:tcPr>
            <w:tcW w:type="dxa" w:w="6679"/>
            <w:tcMar>
              <w:top w:type="dxa" w:w="60"/>
              <w:left w:type="dxa" w:w="90"/>
              <w:bottom w:type="dxa" w:w="60"/>
              <w:right w:type="dxa" w:w="90"/>
            </w:tcMar>
          </w:tcPr>
          <w:p>
            <w:pPr>
              <w:spacing w:after="0"/>
            </w:pPr>
            <w:r>
              <w:t xml:space="preserve">Up to 5 chronological JPEG frames (scene-aware sampling), base64 inline</w:t>
            </w:r>
          </w:p>
        </w:tc>
      </w:tr>
      <w:tr>
        <w:trPr>
          <w:tblHeader w:val="false"/>
        </w:trPr>
        <w:tc>
          <w:tcPr>
            <w:tcW w:type="dxa" w:w="2681"/>
            <w:tcMar>
              <w:top w:type="dxa" w:w="60"/>
              <w:left w:type="dxa" w:w="90"/>
              <w:bottom w:type="dxa" w:w="60"/>
              <w:right w:type="dxa" w:w="90"/>
            </w:tcMar>
          </w:tcPr>
          <w:p>
            <w:pPr>
              <w:spacing w:after="0"/>
            </w:pPr>
            <w:r>
              <w:t xml:space="preserve">Corpus transmitted</w:t>
            </w:r>
          </w:p>
        </w:tc>
        <w:tc>
          <w:tcPr>
            <w:tcW w:type="dxa" w:w="6679"/>
            <w:tcMar>
              <w:top w:type="dxa" w:w="60"/>
              <w:left w:type="dxa" w:w="90"/>
              <w:bottom w:type="dxa" w:w="60"/>
              <w:right w:type="dxa" w:w="90"/>
            </w:tcMar>
          </w:tcPr>
          <w:p>
            <w:pPr>
              <w:spacing w:after="0"/>
            </w:pPr>
            <w:r>
              <w:t xml:space="preserve">626 clips, ≤ 3,130 frames</w:t>
            </w:r>
          </w:p>
        </w:tc>
      </w:tr>
      <w:tr>
        <w:trPr>
          <w:tblHeader w:val="false"/>
        </w:trPr>
        <w:tc>
          <w:tcPr>
            <w:tcW w:type="dxa" w:w="2681"/>
            <w:tcMar>
              <w:top w:type="dxa" w:w="60"/>
              <w:left w:type="dxa" w:w="90"/>
              <w:bottom w:type="dxa" w:w="60"/>
              <w:right w:type="dxa" w:w="90"/>
            </w:tcMar>
          </w:tcPr>
          <w:p>
            <w:pPr>
              <w:spacing w:after="0"/>
            </w:pPr>
            <w:r>
              <w:t xml:space="preserve">Not transmitted</w:t>
            </w:r>
          </w:p>
        </w:tc>
        <w:tc>
          <w:tcPr>
            <w:tcW w:type="dxa" w:w="6679"/>
            <w:tcMar>
              <w:top w:type="dxa" w:w="60"/>
              <w:left w:type="dxa" w:w="90"/>
              <w:bottom w:type="dxa" w:w="60"/>
              <w:right w:type="dxa" w:w="90"/>
            </w:tcMar>
          </w:tcPr>
          <w:p>
            <w:pPr>
              <w:spacing w:after="0"/>
            </w:pPr>
            <w:r>
              <w:t xml:space="preserve">No audio, no transcript, no source video file, no clip identifiers beyond the request</w:t>
            </w:r>
          </w:p>
        </w:tc>
      </w:tr>
      <w:tr>
        <w:trPr>
          <w:tblHeader w:val="false"/>
        </w:trPr>
        <w:tc>
          <w:tcPr>
            <w:tcW w:type="dxa" w:w="2681"/>
            <w:tcMar>
              <w:top w:type="dxa" w:w="60"/>
              <w:left w:type="dxa" w:w="90"/>
              <w:bottom w:type="dxa" w:w="60"/>
              <w:right w:type="dxa" w:w="90"/>
            </w:tcMar>
          </w:tcPr>
          <w:p>
            <w:pPr>
              <w:spacing w:after="0"/>
            </w:pPr>
            <w:r>
              <w:t xml:space="preserve">Decoding</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temperature = 0.0</w:t>
            </w:r>
            <w:r>
              <w:t xml:space="preserve">, </w:t>
            </w:r>
            <w:r>
              <w:rPr>
                <w:rFonts w:ascii="Consolas" w:cs="Consolas" w:eastAsia="Consolas" w:hAnsi="Consolas"/>
                <w:sz w:val="18"/>
                <w:szCs w:val="18"/>
              </w:rPr>
              <w:t xml:space="preserve">thinking_level = "minimal"</w:t>
            </w:r>
            <w:r>
              <w:t xml:space="preserve">, structured response schema</w:t>
            </w:r>
          </w:p>
        </w:tc>
      </w:tr>
      <w:tr>
        <w:trPr>
          <w:tblHeader w:val="false"/>
        </w:trPr>
        <w:tc>
          <w:tcPr>
            <w:tcW w:type="dxa" w:w="2681"/>
            <w:tcMar>
              <w:top w:type="dxa" w:w="60"/>
              <w:left w:type="dxa" w:w="90"/>
              <w:bottom w:type="dxa" w:w="60"/>
              <w:right w:type="dxa" w:w="90"/>
            </w:tcMar>
          </w:tcPr>
          <w:p>
            <w:pPr>
              <w:spacing w:after="0"/>
            </w:pPr>
            <w:r>
              <w:t xml:space="preserve">Prompt constraint</w:t>
            </w:r>
          </w:p>
        </w:tc>
        <w:tc>
          <w:tcPr>
            <w:tcW w:type="dxa" w:w="6679"/>
            <w:tcMar>
              <w:top w:type="dxa" w:w="60"/>
              <w:left w:type="dxa" w:w="90"/>
              <w:bottom w:type="dxa" w:w="60"/>
              <w:right w:type="dxa" w:w="90"/>
            </w:tcMar>
          </w:tcPr>
          <w:p>
            <w:pPr>
              <w:spacing w:after="0"/>
            </w:pPr>
            <w:r>
              <w:rPr>
                <w:i/>
                <w:iCs/>
              </w:rPr>
              <w:t xml:space="preserve">"Do not identify named people. Do not infer audio, speech, intent, location names or events that are not visibly supported."</w:t>
            </w:r>
          </w:p>
        </w:tc>
      </w:tr>
      <w:tr>
        <w:trPr>
          <w:tblHeader w:val="false"/>
        </w:trPr>
        <w:tc>
          <w:tcPr>
            <w:tcW w:type="dxa" w:w="2681"/>
            <w:tcMar>
              <w:top w:type="dxa" w:w="60"/>
              <w:left w:type="dxa" w:w="90"/>
              <w:bottom w:type="dxa" w:w="60"/>
              <w:right w:type="dxa" w:w="90"/>
            </w:tcMar>
          </w:tcPr>
          <w:p>
            <w:pPr>
              <w:spacing w:after="0"/>
            </w:pPr>
            <w:r>
              <w:t xml:space="preserve">Provenance recorded</w:t>
            </w:r>
          </w:p>
        </w:tc>
        <w:tc>
          <w:tcPr>
            <w:tcW w:type="dxa" w:w="6679"/>
            <w:tcMar>
              <w:top w:type="dxa" w:w="60"/>
              <w:left w:type="dxa" w:w="90"/>
              <w:bottom w:type="dxa" w:w="60"/>
              <w:right w:type="dxa" w:w="90"/>
            </w:tcMar>
          </w:tcPr>
          <w:p>
            <w:pPr>
              <w:spacing w:after="0"/>
            </w:pPr>
            <w:r>
              <w:t xml:space="preserve">Provider, model, SDK version, prompt version, prompt SHA-256, response-schema SHA-256, decoding parameters</w:t>
            </w:r>
          </w:p>
        </w:tc>
      </w:tr>
      <w:tr>
        <w:trPr>
          <w:tblHeader w:val="false"/>
        </w:trPr>
        <w:tc>
          <w:tcPr>
            <w:tcW w:type="dxa" w:w="2681"/>
            <w:tcMar>
              <w:top w:type="dxa" w:w="60"/>
              <w:left w:type="dxa" w:w="90"/>
              <w:bottom w:type="dxa" w:w="60"/>
              <w:right w:type="dxa" w:w="90"/>
            </w:tcMar>
          </w:tcPr>
          <w:p>
            <w:pPr>
              <w:spacing w:after="0"/>
            </w:pPr>
            <w:r>
              <w:t xml:space="preserve">OCR role</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diagnostic_only_no_override</w:t>
            </w:r>
            <w:r>
              <w:t xml:space="preserve"> — the hosted annotator cannot override the dual-engine OCR veto</w:t>
            </w:r>
          </w:p>
        </w:tc>
      </w:tr>
    </w:tbl>
    <w:p>
      <w:pPr>
        <w:spacing w:after="160"/>
      </w:pPr>
    </w:p>
    <w:p>
      <w:pPr>
        <w:spacing w:after="140" w:line="276"/>
        <w:jc w:val="both"/>
      </w:pPr>
      <w:r>
        <w:rPr>
          <w:b/>
          <w:bCs/>
          <w:highlight w:val="yellow"/>
          <w:highlightCs w:val="yellow"/>
        </w:rPr>
        <w:t xml:space="preserve">`[TO FILL — two facts only the author holds. Replace the bracketed text and delete this marker.]`</w:t>
      </w:r>
    </w:p>
    <w:p>
      <w:pPr>
        <w:spacing w:after="140" w:line="276"/>
        <w:jc w:val="both"/>
      </w:pPr>
      <w:r>
        <w:rPr>
          <w:b/>
          <w:bCs/>
        </w:rPr>
        <w:t xml:space="preserve">Licence.</w:t>
      </w:r>
      <w:r>
        <w:t xml:space="preserve"> The NVTV collection was supplied for this project under </w:t>
      </w:r>
      <w:r>
        <w:rPr>
          <w:b/>
          <w:bCs/>
        </w:rPr>
        <w:t xml:space="preserve">`[state the basis: a written data-sharing agreement dated __ / written permission from __ at NVTV on __ / publicly available broadcast material reused under __]`</w:t>
      </w:r>
      <w:r>
        <w:t xml:space="preserve">, which permits </w:t>
      </w:r>
      <w:r>
        <w:rPr>
          <w:b/>
          <w:bCs/>
        </w:rPr>
        <w:t xml:space="preserve">`[research use / research and publication of derived metadata / …]`</w:t>
      </w:r>
      <w:r>
        <w:t xml:space="preserve"> and </w:t>
      </w:r>
      <w:r>
        <w:rPr>
          <w:b/>
          <w:bCs/>
        </w:rPr>
        <w:t xml:space="preserve">`[does / does not]`</w:t>
      </w:r>
      <w:r>
        <w:t xml:space="preserve"> permit transmission of frames to a third-party processor.</w:t>
      </w:r>
    </w:p>
    <w:p>
      <w:pPr>
        <w:spacing w:after="140" w:line="276"/>
        <w:jc w:val="both"/>
      </w:pPr>
      <w:r>
        <w:rPr>
          <w:b/>
          <w:bCs/>
        </w:rPr>
        <w:t xml:space="preserve">Ethics and data governance.</w:t>
      </w:r>
      <w:r>
        <w:t xml:space="preserve"> The project was reviewed under </w:t>
      </w:r>
      <w:r>
        <w:rPr>
          <w:b/>
          <w:bCs/>
        </w:rPr>
        <w:t xml:space="preserve">`[QUB EEECS Faculty Ethics Committee reference __ , granted on __ / the School's low-risk self-assessment procedure, completed on __ ]`</w:t>
      </w:r>
      <w:r>
        <w:t xml:space="preserve">, and the use of a hosted third-party annotator was </w:t>
      </w:r>
      <w:r>
        <w:rPr>
          <w:b/>
          <w:bCs/>
        </w:rPr>
        <w:t xml:space="preserve">`[covered by that review / notified separately on __ / not separately reviewed]`</w:t>
      </w:r>
      <w:r>
        <w:t xml:space="preserve">.</w:t>
      </w:r>
    </w:p>
    <w:p>
      <w:pPr>
        <w:spacing w:after="140" w:line="276"/>
        <w:jc w:val="both"/>
      </w:pPr>
      <w:r>
        <w:t xml:space="preserve">If the licence or the review does not cover third-party transmission, the honest disclosure is to say so here and to note that the pipeline supports a fully local-only configuration which would have avoided it — not to soften the description of what was run.</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IV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VI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VII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VIII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[1]–[26] share their numbering with the research paper; [27]–[40]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2026-09-18T05:33:24.588Z</dcterms:created>
  <dcterms:modified xsi:type="dcterms:W3CDTF">2026-09-18T05:33:24.600Z</dcterms:modified>
</cp:coreProperties>
</file>

<file path=docProps/custom.xml><?xml version="1.0" encoding="utf-8"?>
<Properties xmlns="http://schemas.openxmlformats.org/officeDocument/2006/custom-properties" xmlns:vt="http://schemas.openxmlformats.org/officeDocument/2006/docPropsVTypes"/>
</file>