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Reliability-Aware Multi-Model Metadata Generation for Archival Community Television</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the standard evaluation route — annotate a sample by hand — was unavailable for this corpus, and single-model pipelines publish output with no indication of which fields can be trusted. This work builds a metadata pipeline for the NVTV public archive in which corroboration between independent model families is a published output alongside the metadata itself. Forty-seven archival programmes were segmented into 626 fixed 30-second clips and annotated across five fields by heterogeneous pretrained families, every field carrying an evidence status, its supporting models, and an agreement score that excludes self-similarity and never promotes empty output. Scene-aware sampling recovered 23.0 on-screen-text items per clip against 14.5 for the centre frame, yet agreed with that baseline only 0.53 of the time. Under blur, visual-tag stability held at 0.96 while text stability fell to 0.07. A hosted multimodal annotator rewrote 49.0% of visual-tag sets while agreeing with the local consensus 0.42 of the time, and changed 0.0% of on-screen text, which strict dual-engine consensus vetoes by design. Across seven open-weight vision-language models and 21,140 scores, a 2B model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retrieval evaluation.</w:t>
      </w:r>
      <w:r>
        <w:t xml:space="preserve"> A read-only browser over the generated metadata is delivered, but no retrieval effectiveness measure (precision@k, nDCG, user study) is reported.</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community archives has consequently leaned on automatic description, generally reporting system output without a companion estimate of per-field reliability. </w:t>
      </w:r>
      <w:r>
        <w:rPr>
          <w:b/>
          <w:highlight w:val="yellow"/>
          <w:b/>
        </w:rPr>
        <w:t xml:space="preserve">`[TO FILL: 2–3 citations specific to cultural-heritage or community-archive AV description — search "audiovisual archive automatic metadata" in the QUB library and cite the closest two.]`</w:t>
      </w:r>
    </w:p>
    <w:p>
      <w:pPr>
        <w:pStyle w:val="Heading2"/>
      </w:pPr>
      <w:r>
        <w:t xml:space="preserve">Foundation Models as Zero-Shot Annotators</w:t>
      </w:r>
    </w:p>
    <w:p>
      <w:pPr>
        <w:pStyle w:val="BodyText"/>
      </w:pPr>
      <w:r>
        <w:t xml:space="preserve">Contrastive image–text pretraining [2] made open-vocabulary visual labelling possible without task-specific training, and the same shift reached speech with large-scale weakly supervised recognition [3] and vision-language question answering with BLIP [4] and ViLT [5]. End-to-end set-prediction detection [6]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[7], where labelling functions of unknown accuracy are aggregated into probabilistic labels. The corpus-linguistics tradition supplies the complementary framing: inter-annotator agreement statistics [8]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[9] and InternVL3 [10] — accept interleaved image sequences and emit schema-constrained text, making them plausible single-model replacements for a multi-component pipeline. Their known failure mode is object hallucination [11]: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with zero failures</w:t>
      </w:r>
      <w:r>
        <w:t xml:space="preserve">.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to calibration and 38 to evaluation, so no programme contributes clips to both sides.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sources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615</w:t>
            </w:r>
          </w:p>
        </w:tc>
      </w:tr>
      <w:tr>
        <w:trPr>
          <w:cantSplit/>
          <w:jc w:val="center"/>
        </w:trPr>
        <w:tc>
          <w:tcPr>
            <w:tcW w:w="2340" w:type="dxa"/>
            <w:vAlign w:val="center"/>
          </w:tcPr>
          <w:p>
            <w:pPr>
              <w:pStyle w:val="tablecopy"/>
            </w:pPr>
            <w:r>
              <w:t xml:space="preserve">Clips per programme (range)</w:t>
            </w:r>
          </w:p>
        </w:tc>
        <w:tc>
          <w:tcPr>
            <w:tcW w:w="2340" w:type="dxa"/>
            <w:vAlign w:val="center"/>
          </w:tcPr>
          <w:p>
            <w:pPr>
              <w:pStyle w:val="tablecopy"/>
            </w:pPr>
            <w:r>
              <w:t xml:space="preserve">10 – 22</w:t>
            </w:r>
          </w:p>
        </w:tc>
      </w:tr>
    </w:tbl>
    <w:p>
      <w:pPr>
        <w:pStyle w:val="BodyText"/>
      </w:pPr>
      <w:r>
        <w:rPr>
          <w:b/>
          <w:highlight w:val="yellow"/>
          <w:b/>
        </w:rPr>
        <w:t xml:space="preserve">`[TO FILL: total corpus duration in hours; mean and SD of clips per programme; and the reconciliation between the 626 clips generated and the 615 in `ground_truth_metadata_615.json` used by the benchmark — state the reason for the 11-clip difference explicitly.]`</w:t>
      </w:r>
    </w:p>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[12],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2"/>
      </w:pPr>
      <w:r>
        <w:t xml:space="preserve">Ethical Considerations</w:t>
      </w:r>
    </w:p>
    <w:p>
      <w:pPr>
        <w:pStyle w:val="BodyText"/>
      </w:pPr>
      <w:r>
        <w:t xml:space="preserve">The footage shows identifiable members of the public in public settings, recorded for broadcast. Four controls follow from this. The published record contains no identity inference: the pipeline does not attempt to name individuals, and the hosted annotator is explicitly instructed not to. People count is published as an integer, never as demographic attributes. Sending frames to a hosted API is a disclosure of archive content to a third party and is gated on the licence and on institutional data-governance approval, with local-only operation fully supported. And the 34-label vocabulary was authored by one person for one corpus: it encodes a particular view of what is worth recording about a community, which is a limitation of the catalogue it produces, not a neutral technical detail.</w:t>
      </w:r>
    </w:p>
    <w:p>
      <w:pPr>
        <w:pStyle w:val="BodyText"/>
      </w:pPr>
      <w:r>
        <w:rPr>
          <w:b/>
          <w:highlight w:val="yellow"/>
          <w:b/>
        </w:rPr>
        <w:t xml:space="preserve">`[TO FILL: NVTV licence terms and the QUB ethics/data-governance reference under which the hosted-API calls were made. State the approval explicitly or state that only local models were used for the final reported run.]`</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Scene-aware sampling recovers </w:t>
      </w:r>
      <w:r>
        <w:rPr>
          <w:b/>
        </w:rPr>
        <w:t xml:space="preserve">23.0 OCR items per clip against 14.5 for the centre frame</w:t>
      </w:r>
      <w:r>
        <w:t xml:space="preserve">, a 59% increase, and agrees with the centre baseline more closely than fixed three-frame sampling on both OCR (0.3115 vs 0.3027) and tags (0.675 vs 0.650) while using more frames. Two findings cut against a simple "more frames is better" reading. First, fixed three-frame sampling is </w:t>
      </w:r>
      <w:r>
        <w:rPr>
          <w:i/>
        </w:rPr>
        <w:t xml:space="preserve">worse than the single centre frame</w:t>
      </w:r>
      <w:r>
        <w:t xml:space="preserve"> on OCR coverage — 3.0 items against 14.5 — because the dense OCR probe that supplies the centre-frame policy is replaced by three sparse frames that mostly miss short-lived captions. Second, mean stability is lowest for the scene-aware policy (0.5318): it changes the published output on roughly half of the measured comparisons. Coverage and stability trade directly, and the choice of scene-aware sampling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rPr>
          <w:b/>
          <w:highlight w:val="yellow"/>
          <w:b/>
        </w:rPr>
        <w:t xml:space="preserve">`[TO FILL — this subsection has no numbers yet.]` Re-run Section 14 of `notebooks/01_metadata_pipeline.ipynb` and capture the per-field agreement report. Report, for each of the five fields over all 626 clips: the distribution over `observed` / `not_detected` / `not_applicable` / `conflict` / `error`; the distribution over agreement tiers (`high` ≥ 0.75, `moderate` ≥ 0.50, `low` &lt; 0.50, `not_scored`); the mean agreement score; and the proportion with `needs_caution = true`. This is the central RQ2 table and the paper cannot be submitted without it.</w:t>
      </w:r>
    </w:p>
    <w:p>
      <w:pPr>
        <w:pStyle w:val="BodyText"/>
      </w:pPr>
      <w:r>
        <w:t xml:space="preserve">Two properties of this table are predictable from the design and should be stated when it is produced. On-screen text will show an elevated </w:t>
      </w:r>
      <w:r>
        <w:rPr>
          <w:rFonts w:ascii="Consolas" w:hAnsi="Consolas"/>
          <w:sz w:val="16"/>
        </w:rPr>
        <w:t xml:space="preserve">not_detected</w:t>
      </w:r>
      <w:r>
        <w:t xml:space="preserve"> and </w:t>
      </w:r>
      <w:r>
        <w:rPr>
          <w:rFonts w:ascii="Consolas" w:hAnsi="Consolas"/>
          <w:sz w:val="16"/>
        </w:rPr>
        <w:t xml:space="preserve">conflict</w:t>
      </w:r>
      <w:r>
        <w:t xml:space="preserve"> rate, because the dual-engine veto in III-D is deliberately conservative. And single-source fields will appear as </w:t>
      </w:r>
      <w:r>
        <w:rPr>
          <w:rFonts w:ascii="Consolas" w:hAnsi="Consolas"/>
          <w:sz w:val="16"/>
        </w:rPr>
        <w:t xml:space="preserve">not_scored</w:t>
      </w:r>
      <w:r>
        <w:t xml:space="preserve"> rather than as low agreement, because one source cannot establish corroboration.</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615 clips under a protocol held constant across models: 4 uniformly sampled frames, identical prompt, greedy decoding, the same 34-label vocabulary, producing </w:t>
      </w:r>
      <w:r>
        <w:rPr>
          <w:b/>
        </w:rPr>
        <w:t xml:space="preserve">21,140 (model, clip, field) scores</w:t>
      </w:r>
      <w:r>
        <w:t xml:space="preserve">. Thinking variants received a larger token budget (1400 vs 700) to accommodate their reasoning trace, and both 8B models ran int4-quantised.</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615)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0.377</w:t>
            </w:r>
          </w:p>
        </w:tc>
        <w:tc>
          <w:tcPr>
            <w:tcW w:w="1680" w:type="dxa"/>
            <w:vAlign w:val="center"/>
          </w:tcPr>
          <w:p>
            <w:pPr>
              <w:pStyle w:val="tablecopy"/>
            </w:pPr>
            <w:r>
              <w:t xml:space="preserve">0.038</w:t>
            </w:r>
          </w:p>
        </w:tc>
        <w:tc>
          <w:tcPr>
            <w:tcW w:w="1680" w:type="dxa"/>
            <w:vAlign w:val="center"/>
          </w:tcPr>
          <w:p>
            <w:pPr>
              <w:pStyle w:val="tablecopy"/>
            </w:pPr>
            <w:r>
              <w:t xml:space="preserve">0.864</w:t>
            </w:r>
          </w:p>
        </w:tc>
        <w:tc>
          <w:tcPr>
            <w:tcW w:w="1680" w:type="dxa"/>
            <w:vAlign w:val="center"/>
          </w:tcPr>
          <w:p>
            <w:pPr>
              <w:pStyle w:val="tablecopy"/>
            </w:pPr>
            <w:r>
              <w:t xml:space="preserve">0.225</w:t>
            </w:r>
          </w:p>
        </w:tc>
        <w:tc>
          <w:tcPr>
            <w:tcW w:w="1680" w:type="dxa"/>
            <w:vAlign w:val="center"/>
          </w:tcPr>
          <w:p>
            <w:pPr>
              <w:pStyle w:val="tablecopy"/>
            </w:pPr>
            <w: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0.382</w:t>
            </w:r>
          </w:p>
        </w:tc>
        <w:tc>
          <w:tcPr>
            <w:tcW w:w="1680" w:type="dxa"/>
            <w:vAlign w:val="center"/>
          </w:tcPr>
          <w:p>
            <w:pPr>
              <w:pStyle w:val="tablecopy"/>
            </w:pPr>
            <w:r>
              <w:t xml:space="preserve">0.028</w:t>
            </w:r>
          </w:p>
        </w:tc>
        <w:tc>
          <w:tcPr>
            <w:tcW w:w="1680" w:type="dxa"/>
            <w:vAlign w:val="center"/>
          </w:tcPr>
          <w:p>
            <w:pPr>
              <w:pStyle w:val="tablecopy"/>
            </w:pPr>
            <w:r>
              <w:t xml:space="preserve">0.876</w:t>
            </w:r>
          </w:p>
        </w:tc>
        <w:tc>
          <w:tcPr>
            <w:tcW w:w="1680" w:type="dxa"/>
            <w:vAlign w:val="center"/>
          </w:tcPr>
          <w:p>
            <w:pPr>
              <w:pStyle w:val="tablecopy"/>
            </w:pPr>
            <w:r>
              <w:t xml:space="preserve">0.321</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0.448</w:t>
            </w:r>
          </w:p>
        </w:tc>
        <w:tc>
          <w:tcPr>
            <w:tcW w:w="1680" w:type="dxa"/>
            <w:vAlign w:val="center"/>
          </w:tcPr>
          <w:p>
            <w:pPr>
              <w:pStyle w:val="tablecopy"/>
            </w:pPr>
            <w:r>
              <w:t xml:space="preserve">0.030</w:t>
            </w:r>
          </w:p>
        </w:tc>
        <w:tc>
          <w:tcPr>
            <w:tcW w:w="1680" w:type="dxa"/>
            <w:vAlign w:val="center"/>
          </w:tcPr>
          <w:p>
            <w:pPr>
              <w:pStyle w:val="tablecopy"/>
            </w:pPr>
            <w:r>
              <w:t xml:space="preserve">0.875</w:t>
            </w:r>
          </w:p>
        </w:tc>
        <w:tc>
          <w:tcPr>
            <w:tcW w:w="1680" w:type="dxa"/>
            <w:vAlign w:val="center"/>
          </w:tcPr>
          <w:p>
            <w:pPr>
              <w:pStyle w:val="tablecopy"/>
            </w:pPr>
            <w:r>
              <w:t xml:space="preserve">0.239</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0.386</w:t>
            </w:r>
          </w:p>
        </w:tc>
        <w:tc>
          <w:tcPr>
            <w:tcW w:w="1680" w:type="dxa"/>
            <w:vAlign w:val="center"/>
          </w:tcPr>
          <w:p>
            <w:pPr>
              <w:pStyle w:val="tablecopy"/>
            </w:pPr>
            <w:r>
              <w:rPr>
                <w:b/>
              </w:rPr>
              <w:t xml:space="preserve">0.040</w:t>
            </w:r>
          </w:p>
        </w:tc>
        <w:tc>
          <w:tcPr>
            <w:tcW w:w="1680" w:type="dxa"/>
            <w:vAlign w:val="center"/>
          </w:tcPr>
          <w:p>
            <w:pPr>
              <w:pStyle w:val="tablecopy"/>
            </w:pPr>
            <w:r>
              <w:t xml:space="preserve">0.867</w:t>
            </w:r>
          </w:p>
        </w:tc>
        <w:tc>
          <w:tcPr>
            <w:tcW w:w="1680" w:type="dxa"/>
            <w:vAlign w:val="center"/>
          </w:tcPr>
          <w:p>
            <w:pPr>
              <w:pStyle w:val="tablecopy"/>
            </w:pPr>
            <w:r>
              <w:t xml:space="preserve">0.307</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0.433</w:t>
            </w:r>
          </w:p>
        </w:tc>
        <w:tc>
          <w:tcPr>
            <w:tcW w:w="1680" w:type="dxa"/>
            <w:vAlign w:val="center"/>
          </w:tcPr>
          <w:p>
            <w:pPr>
              <w:pStyle w:val="tablecopy"/>
            </w:pPr>
            <w:r>
              <w:t xml:space="preserve">0.036</w:t>
            </w:r>
          </w:p>
        </w:tc>
        <w:tc>
          <w:tcPr>
            <w:tcW w:w="1680" w:type="dxa"/>
            <w:vAlign w:val="center"/>
          </w:tcPr>
          <w:p>
            <w:pPr>
              <w:pStyle w:val="tablecopy"/>
            </w:pPr>
            <w:r>
              <w:t xml:space="preserve">0.869</w:t>
            </w:r>
          </w:p>
        </w:tc>
        <w:tc>
          <w:tcPr>
            <w:tcW w:w="1680" w:type="dxa"/>
            <w:vAlign w:val="center"/>
          </w:tcPr>
          <w:p>
            <w:pPr>
              <w:pStyle w:val="tablecopy"/>
            </w:pPr>
            <w:r>
              <w:t xml:space="preserve">0.227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0.566</w:t>
            </w:r>
          </w:p>
        </w:tc>
        <w:tc>
          <w:tcPr>
            <w:tcW w:w="1680" w:type="dxa"/>
            <w:vAlign w:val="center"/>
          </w:tcPr>
          <w:p>
            <w:pPr>
              <w:pStyle w:val="tablecopy"/>
            </w:pPr>
            <w:r>
              <w:t xml:space="preserve">0.030</w:t>
            </w:r>
          </w:p>
        </w:tc>
        <w:tc>
          <w:tcPr>
            <w:tcW w:w="1680" w:type="dxa"/>
            <w:vAlign w:val="center"/>
          </w:tcPr>
          <w:p>
            <w:pPr>
              <w:pStyle w:val="tablecopy"/>
            </w:pPr>
            <w:r>
              <w:rPr>
                <w:b/>
              </w:rPr>
              <w:t xml:space="preserve">0.895</w:t>
            </w:r>
          </w:p>
        </w:tc>
        <w:tc>
          <w:tcPr>
            <w:tcW w:w="1680" w:type="dxa"/>
            <w:vAlign w:val="center"/>
          </w:tcPr>
          <w:p>
            <w:pPr>
              <w:pStyle w:val="tablecopy"/>
            </w:pPr>
            <w:r>
              <w:rPr>
                <w:b/>
              </w:rPr>
              <w:t xml:space="preserve">0.404</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0.410</w:t>
            </w:r>
          </w:p>
        </w:tc>
        <w:tc>
          <w:tcPr>
            <w:tcW w:w="1680" w:type="dxa"/>
            <w:vAlign w:val="center"/>
          </w:tcPr>
          <w:p>
            <w:pPr>
              <w:pStyle w:val="tablecopy"/>
            </w:pPr>
            <w:r>
              <w:t xml:space="preserve">0.026</w:t>
            </w:r>
          </w:p>
        </w:tc>
        <w:tc>
          <w:tcPr>
            <w:tcW w:w="1680" w:type="dxa"/>
            <w:vAlign w:val="center"/>
          </w:tcPr>
          <w:p>
            <w:pPr>
              <w:pStyle w:val="tablecopy"/>
            </w:pPr>
            <w:r>
              <w:t xml:space="preserve">0.878</w:t>
            </w:r>
          </w:p>
        </w:tc>
        <w:tc>
          <w:tcPr>
            <w:tcW w:w="1680" w:type="dxa"/>
            <w:vAlign w:val="center"/>
          </w:tcPr>
          <w:p>
            <w:pPr>
              <w:pStyle w:val="tablecopy"/>
            </w:pPr>
            <w:r>
              <w:t xml:space="preserve">0.354</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615/615 clips for every model on every field except people count (560/615, where the reference count could not be parsed).</w:t>
      </w:r>
    </w:p>
    <w:p>
      <w:pPr>
        <w:pStyle w:val="BodyText"/>
      </w:pPr>
      <w:r>
        <w:rPr>
          <w:b/>
        </w:rPr>
        <w:t xml:space="preserve">Scale does not predict agreement.</w:t>
      </w:r>
      <w:r>
        <w:t xml:space="preserve"> The smallest model in the study, InternVL3-2B, leads three of five fields — on-screen text (0.566, 26% above the best Qwen at 0.448), visual tags (0.895) and people count (0.404, 26% above the best Qwen at 0.321)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pStyle w:val="BodyText"/>
      </w:pPr>
      <w:r>
        <w:rPr>
          <w:b/>
        </w:rPr>
        <w:t xml:space="preserve">Thinking variants do not dominate their Instruct siblings.</w:t>
      </w:r>
      <w:r>
        <w:t xml:space="preserve"> At 2B, Thinking is ahead on tags (0.876 vs 0.864) and markedly ahead on people count (0.321 vs 0.225); at 4B it is behind on on-screen text (0.386 vs 0.448) and tags (0.867 vs 0.875) and ahead on people count (0.307 vs 0.239).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Qwen3-VL-4B-Instruct returned an </w:t>
      </w:r>
      <w:r>
        <w:rPr>
          <w:b/>
        </w:rPr>
        <w:t xml:space="preserve">empty transcript on 613 of 615 clips</w:t>
      </w:r>
      <w:r>
        <w:t xml:space="preserve">, scored non-zero on 1, and peaked at 0.088 — the model correctly declining to invent dialogue, penalised at 0.0 for doing so by a recall metric that cannot distinguish honest abstention from failure. This is a disclosed design decision and a quantified finding: speech is the one field in this pipeline that a vision-only model cannot replace, and the 0.000 entries are evidence of the modality gap rather than of model failure.</w:t>
      </w:r>
    </w:p>
    <w:p>
      <w:pPr>
        <w:pStyle w:val="BodyText"/>
      </w:pPr>
      <w:r>
        <w:rPr>
          <w:b/>
        </w:rPr>
        <w:t xml:space="preserve">Keywords are near zero (0.026–0.040)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This column measures the same modality gap as the transcript column, indirectly, and should not be read as a keyword-extraction result.</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613/615 empty for 4B-Instruct</w:t>
            </w:r>
          </w:p>
        </w:tc>
        <w:tc>
          <w:tcPr>
            <w:tcW w:w="1170" w:type="dxa"/>
            <w:vAlign w:val="center"/>
          </w:tcPr>
          <w:p>
            <w:pPr>
              <w:pStyle w:val="tablecopy"/>
            </w:pPr>
            <w:r>
              <w:t xml:space="preserve">Confirmed</w:t>
            </w:r>
          </w:p>
        </w:tc>
      </w:tr>
    </w:tbl>
    <w:p>
      <w:pPr>
        <w:pStyle w:val="BodyText"/>
      </w:pPr>
      <w:r>
        <w:t xml:space="preserve">Six of eight anticipated outcomes were refuted or partly refuted. The two confirmed are the two that follow deductively from the design (the OCR veto)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Quantifying that at 613 empty predictions out of 615 puts a number on why this pipeline is multi-component rather than a single prompt to a large multimodal model — which is, in 2026, the obvious alternative design and the one a reviewer will ask about.</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RQ2 is not yet reported.</w:t>
      </w:r>
      <w:r>
        <w:t xml:space="preserve"> The agreement distribution table is outstanding </w:t>
      </w:r>
      <w:r>
        <w:rPr>
          <w:b/>
          <w:highlight w:val="yellow"/>
          <w:b/>
        </w:rPr>
        <w:t xml:space="preserve">`[TO FILL]`</w:t>
      </w:r>
      <w:r>
        <w:t xml:space="preserve">.</w:t>
      </w:r>
    </w:p>
    <w:p>
      <w:pPr>
        <w:pStyle w:val="BodyText"/>
      </w:pPr>
      <w:r>
        <w:t xml:space="preserve">4. </w:t>
      </w:r>
      <w:r>
        <w:rPr>
          <w:b/>
        </w:rPr>
        <w:t xml:space="preserve">Correlated sources.</w:t>
      </w:r>
      <w:r>
        <w:t xml:space="preserve"> CLIP ViT-B/32 and ViT-L/14 share architecture and training objective; Whisper-small and -turbo share both. Agreement between them overstates independence, inflating scores on transcript and visual tags relative to fields whose sources are genuinely unrelated.</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No retrieval evaluation.</w:t>
      </w:r>
      <w:r>
        <w:t xml:space="preserve"> The browser is delivered but its effectiveness is unmeasured.</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 coverage and stability trade against each other under scene-aware sampling (23.0 vs 14.5 OCR items, stability 0.53);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21,140 scores, a 2B model leads three of five fields while every model scores at or near zero on transcript, with 613 of 615 predictions empty for one of them.</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so the transcript column tests a model that was given the information the task requires. (iv) Scale the ablations past 8 and 5 clips. (v) Evaluate retrieval directly, with queries and relevance judgements over the delivered browser. (vi) Test shot-boundary clip segmentation against the fixed 30-second grid.</w:t>
      </w:r>
    </w:p>
    <w:p>
      <w:pPr>
        <w:pStyle w:val="Heading5"/>
      </w:pPr>
      <w:r>
        <w:t xml:space="preserve">References</w:t>
      </w:r>
    </w:p>
    <w:p>
      <w:pPr>
        <w:pStyle w:val="BodyText"/>
      </w:pPr>
      <w:r>
        <w:rPr>
          <w:b/>
          <w:highlight w:val="yellow"/>
          <w:b/>
        </w:rPr>
        <w:t xml:space="preserve">`[TO FILL: verify every entry against the published record — volume, pages, DOI — before submission. Entries below are correct as to authorship, venue and year.]`</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2025. </w:t>
      </w:r>
      <w:r>
        <w:rPr>
          <w:b/>
          <w:highlight w:val="yellow"/>
          <w:b/>
        </w:rPr>
        <w:t xml:space="preserve">`[TO FILL: arXiv identifier]`</w:t>
      </w:r>
    </w:p>
    <w:p>
      <w:pPr>
        <w:pStyle w:val="references"/>
      </w:pPr>
      <w:r>
        <w:t xml:space="preserve">Z. Chen </w:t>
      </w:r>
      <w:r>
        <w:rPr>
          <w:i/>
        </w:rPr>
        <w:t xml:space="preserve">et al.</w:t>
      </w:r>
      <w:r>
        <w:t xml:space="preserve">, "InternVL3: Exploring advanced training and test-time recipes for open-source multimodal models," 2025. </w:t>
      </w:r>
      <w:r>
        <w:rPr>
          <w:b/>
          <w:highlight w:val="yellow"/>
          <w:b/>
        </w:rPr>
        <w:t xml:space="preserve">`[TO FILL: arXiv identifier]`</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 and a video-retrieval reference for the future-work claim in Section VI.]`</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