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Reliability-Aware Multi-Model Metadata Generation for Archival Community Television</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21,489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temporal localisation within a clip.</w:t>
      </w:r>
      <w:r>
        <w:t xml:space="preserve"> Every field is published at clip granularity: the record states that a caption, a speaker or an activity is present in a given 30 seconds, never where inside it. The underlying timing is computed and retained in the prediction records — Whisper segments carry start and end times, and each accepted on-screen-text string carries the frame indices it was detected in — but the published five-field record does not expose it.</w:t>
      </w:r>
    </w:p>
    <w:p>
      <w:pPr>
        <w:pStyle w:val="bulletlist"/>
      </w:pPr>
      <w:r>
        <w:rPr>
          <w:b/>
        </w:rPr>
        <w:t xml:space="preserve">No speaker attribution.</w:t>
      </w:r>
      <w:r>
        <w:t xml:space="preserve"> Whisper produces one undifferentiated transcript per clip. No diarisation, speaker counting or voice identification is attempted, so on the panel discussions and interviews that make up much of this corpus the record cannot say who said what.</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community archives has consequently leaned on automatic description, generally reporting system output without a companion estimate of per-field reliability. </w:t>
      </w:r>
      <w:r>
        <w:rPr>
          <w:b/>
          <w:highlight w:val="yellow"/>
          <w:b/>
        </w:rPr>
        <w:t xml:space="preserve">`[TO FILL: 2–3 citations specific to cultural-heritage or community-archive AV description — search "audiovisual archive automatic metadata" in the QUB library and cite the closest two.]`</w:t>
      </w:r>
    </w:p>
    <w:p>
      <w:pPr>
        <w:pStyle w:val="Heading2"/>
      </w:pPr>
      <w:r>
        <w:t xml:space="preserve">Foundation Models as Zero-Shot Annotators</w:t>
      </w:r>
    </w:p>
    <w:p>
      <w:pPr>
        <w:pStyle w:val="BodyText"/>
      </w:pPr>
      <w:r>
        <w:t xml:space="preserve">Contrastive image–text pretraining [2] made open-vocabulary visual labelling possible without task-specific training, and the same shift reached speech with large-scale weakly supervised recognition [3] and vision-language question answering with BLIP [4] and ViLT [5]. End-to-end set-prediction detection [6]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[7], where labelling functions of unknown accuracy are aggregated into probabilistic labels. The corpus-linguistics tradition supplies the complementary framing: inter-annotator agreement statistics [8]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[9] and InternVL3 [10] — accept interleaved image sequences and emit schema-constrained text, making them plausible single-model replacements for a multi-component pipeline. Their known failure mode is object hallucination [11]: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totalling 5.09 h with zero failures</w:t>
      </w:r>
      <w:r>
        <w:t xml:space="preserve">. Mean clip length is 29.25 s: 579 clips run the full 30 s and the 47 trailing fragments average 20.0 s.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programmes (123 clips) to calibration and 38 (503 clips) to evaluation, so no programme contributes clips to both sides. The split is a seeded permutation of the sorted source identifiers at a configured calibration fraction of 0.20, and is therefore deterministic across runs.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programmes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Calibration / evaluation clips</w:t>
            </w:r>
          </w:p>
        </w:tc>
        <w:tc>
          <w:tcPr>
            <w:tcW w:w="2340" w:type="dxa"/>
            <w:vAlign w:val="center"/>
          </w:tcPr>
          <w:p>
            <w:pPr>
              <w:pStyle w:val="tablecopy"/>
            </w:pPr>
            <w:r>
              <w:t xml:space="preserve">123 / 503 (19.6% / 80.4%)</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w:t>
            </w:r>
          </w:p>
        </w:tc>
        <w:tc>
          <w:tcPr>
            <w:tcW w:w="2340" w:type="dxa"/>
            <w:vAlign w:val="center"/>
          </w:tcPr>
          <w:p>
            <w:pPr>
              <w:pStyle w:val="tablecopy"/>
            </w:pPr>
            <w:r>
              <w:t xml:space="preserve">8 – 22 (mean 13.3, median 12, SD 3.1)</w:t>
            </w:r>
          </w:p>
        </w:tc>
      </w:tr>
      <w:tr>
        <w:trPr>
          <w:cantSplit/>
          <w:jc w:val="center"/>
        </w:trPr>
        <w:tc>
          <w:tcPr>
            <w:tcW w:w="2340" w:type="dxa"/>
            <w:vAlign w:val="center"/>
          </w:tcPr>
          <w:p>
            <w:pPr>
              <w:pStyle w:val="tablecopy"/>
            </w:pPr>
            <w:r>
              <w:t xml:space="preserve">Total clip duration</w:t>
            </w:r>
          </w:p>
        </w:tc>
        <w:tc>
          <w:tcPr>
            <w:tcW w:w="2340" w:type="dxa"/>
            <w:vAlign w:val="center"/>
          </w:tcPr>
          <w:p>
            <w:pPr>
              <w:pStyle w:val="tablecopy"/>
            </w:pPr>
            <w:r>
              <w:t xml:space="preserve">5.09 h (18,312 s; mean clip 29.25 s)</w:t>
            </w:r>
          </w:p>
        </w:tc>
      </w:tr>
    </w:tbl>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[12],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2"/>
      </w:pPr>
      <w:r>
        <w:t xml:space="preserve">Ethical Considerations</w:t>
      </w:r>
    </w:p>
    <w:p>
      <w:pPr>
        <w:pStyle w:val="BodyText"/>
      </w:pPr>
      <w:r>
        <w:t xml:space="preserve">The footage shows identifiable members of the public in public settings, recorded for broadcast. Four controls follow from this. The published record contains no identity inference: the pipeline does not attempt to name individuals, and the hosted annotator is explicitly instructed not to. People count is published as an integer, never as demographic attributes. Sending frames to a hosted API is a disclosure of archive content to a third party and is gated on the licence and on institutional data-governance approval, with local-only operation fully supported. And the 34-label vocabulary was authored by one person for one corpus: it encodes a particular view of what is worth recording about a community, which is a limitation of the catalogue it produces, not a neutral technical detail.</w:t>
      </w:r>
    </w:p>
    <w:p>
      <w:pPr>
        <w:pStyle w:val="BodyText"/>
      </w:pPr>
      <w:r>
        <w:rPr>
          <w:b/>
          <w:highlight w:val="yellow"/>
          <w:b/>
        </w:rPr>
        <w:t xml:space="preserve">`[TO FILL: NVTV licence terms and the QUB ethics/data-governance reference under which the hosted-API calls were made. State the approval explicitly or state that only local models were used for the final reported run.]`</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Set-F1 columns are symmetric set overlap against the centre-frame baseline; people-count stability is exp(−|Δ|), so 1.0 is an identical count and 0.368 is a disagreement of one. The centre-frame row is 1.0 throughout by construction.</w:t>
      </w:r>
    </w:p>
    <w:p>
      <w:pPr>
        <w:pStyle w:val="BodyText"/>
      </w:pPr>
      <w:r>
        <w:t xml:space="preserve">The OCR counts are </w:t>
      </w:r>
      <w:r>
        <w:rPr>
          <w:b/>
        </w:rPr>
        <w:t xml:space="preserve">not like-for-like, and the reason is the finding.</w:t>
      </w:r>
      <w:r>
        <w:t xml:space="preserve"> </w:t>
      </w:r>
      <w:r>
        <w:rPr>
          <w:rFonts w:ascii="Consolas" w:hAnsi="Consolas"/>
          <w:sz w:val="16"/>
        </w:rPr>
        <w:t xml:space="preserve">aggregate_temporal_ocr</w:t>
      </w:r>
      <w:r>
        <w:t xml:space="preserve"> sets its persistence threshold from the number of frames it is given: one frame requires one occurrence, so the centre-frame policy publishes every raw OCR line unfiltered, which is what produces 14.5. Fixed three-frame sampling requires two occurrences out of three widely spaced frames, which almost nothing survives — 3.0 items. The scene-aware policy draws its text from the dense probe instead, up to 12 frames at 2.5 s spacing, so the same two-occurrence rule has twelve chances to be satisfied and the sampling is fine enough to catch short-lived lower-thirds: 23.0 items. </w:t>
      </w:r>
      <w:r>
        <w:rPr>
          <w:b/>
        </w:rPr>
        <w:t xml:space="preserve">Against the only like-for-like comparison — both filtered at two occurrences — scene-aware publishes roughly eight times the text of fixed three-frame sampling.</w:t>
      </w:r>
      <w:r>
        <w:t xml:space="preserve"> The centre-frame figure is higher than fixed three's only because no filter is applied to it, and should not be read as coverage.</w:t>
      </w:r>
    </w:p>
    <w:p>
      <w:pPr>
        <w:pStyle w:val="BodyText"/>
      </w:pPr>
      <w:r>
        <w:t xml:space="preserve">Two further findings cut against a simple "more frames is better" reading. Scene-aware agrees with the centre baseline slightly more closely than fixed three-frame does on both OCR (0.3115 vs 0.3027) and tags (0.675 vs 0.650), despite sampling more frames — so the added frames are not simply pulling the output away from the baseline. But mean stability is </w:t>
      </w:r>
      <w:r>
        <w:rPr>
          <w:i/>
        </w:rPr>
        <w:t xml:space="preserve">lowest</w:t>
      </w:r>
      <w:r>
        <w:t xml:space="preserve"> for scene-aware (0.5318 against 0.5469), driven by people count (0.6089 against 0.6879): looking at more of the clip finds more people than the centre frame shows, and changes the published count accordingly. Coverage and agreement-with-baseline trade directly, and choosing scene-aware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rPr>
          <w:b/>
          <w:highlight w:val="yellow"/>
          <w:b/>
        </w:rPr>
        <w:t xml:space="preserve">`[TO FILL — this subsection has no numbers yet.]` Re-run Section 14 of `notebooks/01_metadata_pipeline.ipynb` and capture the per-field agreement report. Report, for each of the five fields over all 626 clips: the distribution over `observed` / `not_detected` / `not_applicable` / `conflict` / `error`; the distribution over agreement tiers (`high` ≥ 0.75, `moderate` ≥ 0.50, `low` &lt; 0.50, `not_scored`); the mean agreement score; and the proportion with `needs_caution = true`. This is the central RQ2 table and the paper cannot be submitted without it.</w:t>
      </w:r>
    </w:p>
    <w:p>
      <w:pPr>
        <w:pStyle w:val="BodyText"/>
      </w:pPr>
      <w:r>
        <w:t xml:space="preserve">Two properties of this table are predictable from the design and should be stated when it is produced. On-screen text will show an elevated </w:t>
      </w:r>
      <w:r>
        <w:rPr>
          <w:rFonts w:ascii="Consolas" w:hAnsi="Consolas"/>
          <w:sz w:val="16"/>
        </w:rPr>
        <w:t xml:space="preserve">not_detected</w:t>
      </w:r>
      <w:r>
        <w:t xml:space="preserve"> and </w:t>
      </w:r>
      <w:r>
        <w:rPr>
          <w:rFonts w:ascii="Consolas" w:hAnsi="Consolas"/>
          <w:sz w:val="16"/>
        </w:rPr>
        <w:t xml:space="preserve">conflict</w:t>
      </w:r>
      <w:r>
        <w:t xml:space="preserve"> rate, because the dual-engine veto in III-D is deliberately conservative. And single-source fields will appear as </w:t>
      </w:r>
      <w:r>
        <w:rPr>
          <w:rFonts w:ascii="Consolas" w:hAnsi="Consolas"/>
          <w:sz w:val="16"/>
        </w:rPr>
        <w:t xml:space="preserve">not_scored</w:t>
      </w:r>
      <w:r>
        <w:t xml:space="preserve"> rather than as low agreement, because one source cannot establish corroboration.</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all 626 clips under a protocol held constant across models: 4 uniformly sampled frames, identical prompt, greedy decoding, the same 34-label vocabulary, producing </w:t>
      </w:r>
      <w:r>
        <w:rPr>
          <w:b/>
        </w:rPr>
        <w:t xml:space="preserve">21,489 (model, clip, field) scores</w:t>
      </w:r>
      <w:r>
        <w:t xml:space="preserve">. Thinking variants received a larger token budget (1400 vs 700) to accommodate their reasoning trace, and both 8B models ran int4-quantised.</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626/626 clips on the free-text and tag fields for five of seven models (Qwen3-VL-2B-Instruct 625, -2B-Thinking 624, where output could not be parsed as JSON) and 566–568/626 on people count, where the reference count could not be parsed.</w:t>
      </w:r>
    </w:p>
    <w:p>
      <w:pPr>
        <w:pStyle w:val="BodyText"/>
      </w:pPr>
      <w:r>
        <w:rPr>
          <w:b/>
        </w:rPr>
        <w:t xml:space="preserve">Scale does not predict agreement.</w:t>
      </w:r>
      <w:r>
        <w:t xml:space="preserve"> The smallest model in the study, InternVL3-2B, leads three of five fields — on-screen text (0.544, 19% above the best Qwen at 0.456), visual tags (0.890) and people count (0.417, 29% above the best Qwen at 0.323)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pStyle w:val="BodyText"/>
      </w:pPr>
      <w:r>
        <w:rPr>
          <w:b/>
        </w:rPr>
        <w:t xml:space="preserve">Thinking variants do not dominate their Instruct siblings.</w:t>
      </w:r>
      <w:r>
        <w:t xml:space="preserve"> At 2B, Thinking is level on on-screen text (0.384 vs 0.383) and tags (0.874 vs 0.871) but markedly ahead on people count (0.323 vs 0.233); at 4B it is behind on on-screen text (0.389 vs 0.456) and tags (0.873 vs 0.880) and ahead on people count (0.315 vs 0.241).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 and it is the two Thinking-family models that nonetheless lost clips to parse failure.</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Three models — InternVL3-2B, Qwen3-VL-4B-Instruct and Qwen3-VL-8B-Instruct — score exactly 0.000, returning an empty string rather than inventing dialogue; the qualitative spot-checks confirm this is abstention, not failure to respond. A recall metric cannot distinguish an honest abstention from a wrong answer, so both score 0.0. This is a disclosed design decision and a quantified finding: speech is the one field in this pipeline that a vision-only model cannot replace.</w:t>
      </w:r>
    </w:p>
    <w:p>
      <w:pPr>
        <w:pStyle w:val="BodyText"/>
      </w:pPr>
      <w:r>
        <w:rPr>
          <w:b/>
        </w:rPr>
        <w:t xml:space="preserve">Keywords are near zero (0.027–0.040)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The spot-checks make the mismatch concrete — against a reference of </w:t>
      </w:r>
      <w:r>
        <w:rPr>
          <w:rFonts w:ascii="Consolas" w:hAnsi="Consolas"/>
          <w:sz w:val="16"/>
        </w:rPr>
        <w:t xml:space="preserve">medication</w:t>
      </w:r>
      <w:r>
        <w:t xml:space="preserve">, </w:t>
      </w:r>
      <w:r>
        <w:rPr>
          <w:rFonts w:ascii="Consolas" w:hAnsi="Consolas"/>
          <w:sz w:val="16"/>
        </w:rPr>
        <w:t xml:space="preserve">population</w:t>
      </w:r>
      <w:r>
        <w:t xml:space="preserve">, </w:t>
      </w:r>
      <w:r>
        <w:rPr>
          <w:rFonts w:ascii="Consolas" w:hAnsi="Consolas"/>
          <w:sz w:val="16"/>
        </w:rPr>
        <w:t xml:space="preserve">Northern Ireland</w:t>
      </w:r>
      <w:r>
        <w:t xml:space="preserve"> the models returned </w:t>
      </w:r>
      <w:r>
        <w:rPr>
          <w:rFonts w:ascii="Consolas" w:hAnsi="Consolas"/>
          <w:sz w:val="16"/>
        </w:rPr>
        <w:t xml:space="preserve">interview</w:t>
      </w:r>
      <w:r>
        <w:t xml:space="preserve">, </w:t>
      </w:r>
      <w:r>
        <w:rPr>
          <w:rFonts w:ascii="Consolas" w:hAnsi="Consolas"/>
          <w:sz w:val="16"/>
        </w:rPr>
        <w:t xml:space="preserve">talk show format</w:t>
      </w:r>
      <w:r>
        <w:t xml:space="preserve">, </w:t>
      </w:r>
      <w:r>
        <w:rPr>
          <w:rFonts w:ascii="Consolas" w:hAnsi="Consolas"/>
          <w:sz w:val="16"/>
        </w:rPr>
        <w:t xml:space="preserve">studio set</w:t>
      </w:r>
      <w:r>
        <w:t xml:space="preserve">. Both describe the clip correctly; they describe different modalities of it. This column measures the same modality gap as the transcript column, indirectly, and should not be read as a keyword-extraction result.</w:t>
      </w:r>
    </w:p>
    <w:p>
      <w:pPr>
        <w:pStyle w:val="BodyText"/>
      </w:pPr>
      <w:r>
        <w:rPr>
          <w:b/>
        </w:rPr>
        <w:t xml:space="preserve">The benchmark also exposes a false-negative cost in the pipeline's OCR veto.</w:t>
      </w:r>
      <w:r>
        <w:t xml:space="preserve"> On a clip whose reference on-screen text was empty, all seven models independently read the station ident </w:t>
      </w:r>
      <w:r>
        <w:rPr>
          <w:i/>
        </w:rPr>
        <w:t xml:space="preserve">NVTV / BELFAST LOCAL TELEVISION</w:t>
      </w:r>
      <w:r>
        <w:t xml:space="preserve">, with only single-character disagreements (</w:t>
      </w:r>
      <w:r>
        <w:rPr>
          <w:rFonts w:ascii="Consolas" w:hAnsi="Consolas"/>
          <w:sz w:val="16"/>
        </w:rPr>
        <w:t xml:space="preserve">NVTW</w:t>
      </w:r>
      <w:r>
        <w:t xml:space="preserve">, </w:t>
      </w:r>
      <w:r>
        <w:rPr>
          <w:rFonts w:ascii="Consolas" w:hAnsi="Consolas"/>
          <w:sz w:val="16"/>
        </w:rPr>
        <w:t xml:space="preserve">NVTY</w:t>
      </w:r>
      <w:r>
        <w:t xml:space="preserve">). The text was present; the strict dual-engine rule of III-D rejected it. On a second clip the reference held the fragment </w:t>
      </w:r>
      <w:r>
        <w:rPr>
          <w:rFonts w:ascii="Consolas" w:hAnsi="Consolas"/>
          <w:sz w:val="16"/>
        </w:rPr>
        <w:t xml:space="preserve">TIVAL</w:t>
      </w:r>
      <w:r>
        <w:t xml:space="preserve"> while the models returned the full theatre poster — title, author, director, dates, box-office number. In both cases ROUGE-L recall scores the models </w:t>
      </w:r>
      <w:r>
        <w:rPr>
          <w:i/>
        </w:rPr>
        <w:t xml:space="preserve">against</w:t>
      </w:r>
      <w:r>
        <w:t xml:space="preserve"> a reference that is less complete than they are. The veto buys precision on this field, Table V confirms it is never overridden, and these examples put a visible price on it. Absent a human reference the trade cannot be quantified, only demonstrated — which is itself an argument for collecting one.</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BodyText"/>
      </w:pPr>
      <w:r>
        <w:t xml:space="preserve">Six of eight anticipated outcomes were refuted or partly refuted. The two confirmed are the two that follow deductively from the design (the OCR veto)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and three of the seven abstain outright rather than guess. That is why this pipeline is multi-component rather than a single prompt to a large multimodal model — which is, in 2026, the obvious alternative design and the one a reviewer will ask about.</w:t>
      </w:r>
    </w:p>
    <w:p>
      <w:pPr>
        <w:pStyle w:val="BodyText"/>
      </w:pPr>
      <w:r>
        <w:t xml:space="preserve">The benchmark's least comfortable result runs the other way. Where the models and the pipeline disagree on on-screen text, the spot-checks show the models are sometimes right and the reference wrong — a station ident every model read and the veto discarded. The agreement score cannot see this, because it measures corroboration among the pipeline's own sources and the veto removes the candidate before any scoring happens. A conservative rule is still the right default for a field where hallucination is unrecoverable, but its cost is real and, on this evidence, not small.</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RQ2 is not yet reported.</w:t>
      </w:r>
      <w:r>
        <w:t xml:space="preserve"> The agreement distribution table is outstanding </w:t>
      </w:r>
      <w:r>
        <w:rPr>
          <w:b/>
          <w:highlight w:val="yellow"/>
          <w:b/>
        </w:rPr>
        <w:t xml:space="preserve">`[TO FILL]`</w:t>
      </w:r>
      <w:r>
        <w:t xml:space="preserve">.</w:t>
      </w:r>
    </w:p>
    <w:p>
      <w:pPr>
        <w:pStyle w:val="BodyText"/>
      </w:pPr>
      <w:r>
        <w:t xml:space="preserve">4. </w:t>
      </w:r>
      <w:r>
        <w:rPr>
          <w:b/>
        </w:rPr>
        <w:t xml:space="preserve">Correlated sources.</w:t>
      </w:r>
      <w:r>
        <w:t xml:space="preserve"> CLIP ViT-B/32 and ViT-L/14 share architecture and training objective; Whisper-small and -turbo share both. Agreement between them overstates independence, inflating scores on transcript and visual tags relative to fields whose sources are genuinely unrelated.</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Corroboration is blind to upstream error.</w:t>
      </w:r>
      <w:r>
        <w:t xml:space="preserve"> Keywords are extracted from the transcript, so an ASR failure propagates into them with every keyword source agreeing, because all three read the same faulty text. Section IV-G documents a clip where Whisper mis-identified the language on accented English and the resulting spurious tokens entered the published keyword field at full agreement. Any field derived from another field inherits its errors and reports them as corroborated; the design has no mechanism to detect this.</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 coverage and stability trade against each other under scene-aware sampling (23.0 vs 14.5 OCR items, stability 0.53);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21,489 scores, a 2B model leads three of five fields while every model scores at or near zero on transcript, three of them abstaining outright.</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so the transcript column tests a model that was given the information the task requires. (iv) Scale the ablations past 8 and 5 clips. (v) Gate the ASR stage on Whisper's own language-identification output, so that a mis-identified clip is flagged rather than propagated into the transcript-derived keyword field. (vi) Test shot-boundary clip segmentation against the fixed 30-second grid. (vii) Surface the sub-clip timing the pipeline already records — Whisper segment boundaries and per-string OCR frame indices — in the published record, which needs an export change rather than new inference and would let a user land on the second rather than the half-minute. (viii) Add diarisation, which would let the transcript field carry speaker turns and would give people count a second, audio-side source to corroborate against its four visual ones.</w:t>
      </w:r>
    </w:p>
    <w:p>
      <w:pPr>
        <w:pStyle w:val="Heading5"/>
      </w:pPr>
      <w:r>
        <w:t xml:space="preserve">References</w:t>
      </w:r>
    </w:p>
    <w:p>
      <w:pPr>
        <w:pStyle w:val="BodyText"/>
      </w:pPr>
      <w:r>
        <w:rPr>
          <w:b/>
          <w:highlight w:val="yellow"/>
          <w:b/>
        </w:rPr>
        <w:t xml:space="preserve">`[TO FILL: verify every entry against the published record — volume, pages, DOI — before submission. Entries below are correct as to authorship, venue and year.]`</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2025. </w:t>
      </w:r>
      <w:r>
        <w:rPr>
          <w:b/>
          <w:highlight w:val="yellow"/>
          <w:b/>
        </w:rPr>
        <w:t xml:space="preserve">`[TO FILL: arXiv identifier]`</w:t>
      </w:r>
    </w:p>
    <w:p>
      <w:pPr>
        <w:pStyle w:val="references"/>
      </w:pPr>
      <w:r>
        <w:t xml:space="preserve">Z. Chen </w:t>
      </w:r>
      <w:r>
        <w:rPr>
          <w:i/>
        </w:rPr>
        <w:t xml:space="preserve">et al.</w:t>
      </w:r>
      <w:r>
        <w:t xml:space="preserve">, "InternVL3: Exploring advanced training and test-time recipes for open-source multimodal models," 2025. </w:t>
      </w:r>
      <w:r>
        <w:rPr>
          <w:b/>
          <w:highlight w:val="yellow"/>
          <w:b/>
        </w:rPr>
        <w:t xml:space="preserve">`[TO FILL: arXiv identifier]`</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