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Reliability-Aware Multi-Model Metadata Generation for Archival Community Television</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archival description</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community archives.</w:t>
      </w:r>
      <w:r>
        <w:t xml:space="preserve"> </w:t>
      </w:r>
      <w:r>
        <w:rPr>
          <w:b/>
          <w:bCs/>
          <w:highlight w:val="yellow"/>
          <w:highlightCs w:val="yellow"/>
        </w:rPr>
        <w:t xml:space="preserve">`[TO FILL: 4–6 sources. Search terms that work: "audiovisual archive automatic metadata", "cultural heritage video access", "community archive digitisation AI". Look for EUscreen, the Netherlands Institute for Sound and Vision's published work, and BBC R&amp;D archive-indexing output. For each, record: the collection, whether a human reference was collected, and what reliability signal (if any) accompanied the published metadata. The claim this section must support is that per-field reliability signals are rare in this literature — verify that claim rather than assuming it.]`</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[2] removed the requirement for task-specific training data in visual labelling, turning annotation into a matter of writing a label vocabulary. Large-scale weakly supervised speech recognition [3] did the same for transcription. BLIP [4] and ViLT [5] brought open-ended visual question answering, and end-to-end set-prediction detection [6]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[7] formalised combining noisy, correlated labelling sources of unknown accuracy into probabilistic labels, learning source accuracies from agreement patterns without ground truth.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[8].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[9], InternVL3 [10]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[11]: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with three of seven models scoring exactly 0.000 by abstaining rather than guessing),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FEFEF" w:color="auto" w:val="clear"/>
            <w:tcMar>
              <w:top w:type="dxa" w:w="60"/>
              <w:left w:type="dxa" w:w="90"/>
              <w:bottom w:type="dxa" w:w="60"/>
              <w:right w:type="dxa" w:w="90"/>
            </w:tcMar>
          </w:tcPr>
          <w:p>
            <w:pPr>
              <w:spacing w:after="0"/>
            </w:pPr>
            <w:r>
              <w:rPr>
                <w:b/>
                <w:bCs/>
              </w:rPr>
              <w:t xml:space="preserve">Work</w:t>
            </w:r>
          </w:p>
        </w:tc>
        <w:tc>
          <w:tcPr>
            <w:tcW w:type="dxa" w:w="1560"/>
            <w:shd w:fill="EFEFEF" w:color="auto" w:val="clear"/>
            <w:tcMar>
              <w:top w:type="dxa" w:w="60"/>
              <w:left w:type="dxa" w:w="90"/>
              <w:bottom w:type="dxa" w:w="60"/>
              <w:right w:type="dxa" w:w="90"/>
            </w:tcMar>
          </w:tcPr>
          <w:p>
            <w:pPr>
              <w:spacing w:after="0"/>
            </w:pPr>
            <w:r>
              <w:rPr>
                <w:b/>
                <w:bCs/>
              </w:rPr>
              <w:t xml:space="preserve">Domain</w:t>
            </w:r>
          </w:p>
        </w:tc>
        <w:tc>
          <w:tcPr>
            <w:tcW w:type="dxa" w:w="1560"/>
            <w:shd w:fill="EFEFEF" w:color="auto" w:val="clear"/>
            <w:tcMar>
              <w:top w:type="dxa" w:w="60"/>
              <w:left w:type="dxa" w:w="90"/>
              <w:bottom w:type="dxa" w:w="60"/>
              <w:right w:type="dxa" w:w="90"/>
            </w:tcMar>
          </w:tcPr>
          <w:p>
            <w:pPr>
              <w:spacing w:after="0"/>
            </w:pPr>
            <w:r>
              <w:rPr>
                <w:b/>
                <w:bCs/>
              </w:rPr>
              <w:t xml:space="preserve">Reference standard</w:t>
            </w:r>
          </w:p>
        </w:tc>
        <w:tc>
          <w:tcPr>
            <w:tcW w:type="dxa" w:w="1560"/>
            <w:shd w:fill="EFEFEF" w:color="auto" w:val="clear"/>
            <w:tcMar>
              <w:top w:type="dxa" w:w="60"/>
              <w:left w:type="dxa" w:w="90"/>
              <w:bottom w:type="dxa" w:w="60"/>
              <w:right w:type="dxa" w:w="90"/>
            </w:tcMar>
          </w:tcPr>
          <w:p>
            <w:pPr>
              <w:spacing w:after="0"/>
            </w:pPr>
            <w:r>
              <w:rPr>
                <w:b/>
                <w:bCs/>
              </w:rPr>
              <w:t xml:space="preserve">Reliability signal published</w:t>
            </w:r>
          </w:p>
        </w:tc>
        <w:tc>
          <w:tcPr>
            <w:tcW w:type="dxa" w:w="1560"/>
            <w:shd w:fill="EFEFEF" w:color="auto" w:val="clear"/>
            <w:tcMar>
              <w:top w:type="dxa" w:w="60"/>
              <w:left w:type="dxa" w:w="90"/>
              <w:bottom w:type="dxa" w:w="60"/>
              <w:right w:type="dxa" w:w="90"/>
            </w:tcMar>
          </w:tcPr>
          <w:p>
            <w:pPr>
              <w:spacing w:after="0"/>
            </w:pPr>
            <w:r>
              <w:rPr>
                <w:b/>
                <w:bCs/>
              </w:rPr>
              <w:t xml:space="preserve">Modalities</w:t>
            </w:r>
          </w:p>
        </w:tc>
        <w:tc>
          <w:tcPr>
            <w:tcW w:type="dxa" w:w="1560"/>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60"/>
            <w:tcMar>
              <w:top w:type="dxa" w:w="60"/>
              <w:left w:type="dxa" w:w="90"/>
              <w:bottom w:type="dxa" w:w="60"/>
              <w:right w:type="dxa" w:w="90"/>
            </w:tcMar>
          </w:tcPr>
          <w:p>
            <w:pPr>
              <w:spacing w:after="0"/>
            </w:pPr>
            <w:r>
              <w:t xml:space="preserve">TRECVid [1]</w:t>
            </w:r>
          </w:p>
        </w:tc>
        <w:tc>
          <w:tcPr>
            <w:tcW w:type="dxa" w:w="1560"/>
            <w:tcMar>
              <w:top w:type="dxa" w:w="60"/>
              <w:left w:type="dxa" w:w="90"/>
              <w:bottom w:type="dxa" w:w="60"/>
              <w:right w:type="dxa" w:w="90"/>
            </w:tcMar>
          </w:tcPr>
          <w:p>
            <w:pPr>
              <w:spacing w:after="0"/>
            </w:pPr>
            <w:r>
              <w:t xml:space="preserve">Broadcast video</w:t>
            </w:r>
          </w:p>
        </w:tc>
        <w:tc>
          <w:tcPr>
            <w:tcW w:type="dxa" w:w="1560"/>
            <w:tcMar>
              <w:top w:type="dxa" w:w="60"/>
              <w:left w:type="dxa" w:w="90"/>
              <w:bottom w:type="dxa" w:w="60"/>
              <w:right w:type="dxa" w:w="90"/>
            </w:tcMar>
          </w:tcPr>
          <w:p>
            <w:pPr>
              <w:spacing w:after="0"/>
            </w:pPr>
            <w:r>
              <w:t xml:space="preserve">Human annotation</w:t>
            </w:r>
          </w:p>
        </w:tc>
        <w:tc>
          <w:tcPr>
            <w:tcW w:type="dxa" w:w="1560"/>
            <w:tcMar>
              <w:top w:type="dxa" w:w="60"/>
              <w:left w:type="dxa" w:w="90"/>
              <w:bottom w:type="dxa" w:w="60"/>
              <w:right w:type="dxa" w:w="90"/>
            </w:tcMar>
          </w:tcPr>
          <w:p>
            <w:pPr>
              <w:spacing w:after="0"/>
            </w:pPr>
            <w:r>
              <w:t xml:space="preserve">System scores only</w:t>
            </w:r>
          </w:p>
        </w:tc>
        <w:tc>
          <w:tcPr>
            <w:tcW w:type="dxa" w:w="1560"/>
            <w:tcMar>
              <w:top w:type="dxa" w:w="60"/>
              <w:left w:type="dxa" w:w="90"/>
              <w:bottom w:type="dxa" w:w="60"/>
              <w:right w:type="dxa" w:w="90"/>
            </w:tcMar>
          </w:tcPr>
          <w:p>
            <w:pPr>
              <w:spacing w:after="0"/>
            </w:pPr>
            <w:r>
              <w:t xml:space="preserve">Visual, some ASR</w:t>
            </w:r>
          </w:p>
        </w:tc>
        <w:tc>
          <w:tcPr>
            <w:tcW w:type="dxa" w:w="1560"/>
            <w:tcMar>
              <w:top w:type="dxa" w:w="60"/>
              <w:left w:type="dxa" w:w="90"/>
              <w:bottom w:type="dxa" w:w="60"/>
              <w:right w:type="dxa" w:w="90"/>
            </w:tcMar>
          </w:tcPr>
          <w:p>
            <w:pPr>
              <w:spacing w:after="0"/>
            </w:pPr>
            <w:r>
              <w:t xml:space="preserve">Assumes an annotation budget exists</w:t>
            </w:r>
          </w:p>
        </w:tc>
      </w:tr>
      <w:tr>
        <w:trPr>
          <w:tblHeader w:val="false"/>
        </w:trPr>
        <w:tc>
          <w:tcPr>
            <w:tcW w:type="dxa" w:w="1560"/>
            <w:tcMar>
              <w:top w:type="dxa" w:w="60"/>
              <w:left w:type="dxa" w:w="90"/>
              <w:bottom w:type="dxa" w:w="60"/>
              <w:right w:type="dxa" w:w="90"/>
            </w:tcMar>
          </w:tcPr>
          <w:p>
            <w:pPr>
              <w:spacing w:after="0"/>
            </w:pPr>
            <w:r>
              <w:t xml:space="preserve">CLIP [2]</w:t>
            </w:r>
          </w:p>
        </w:tc>
        <w:tc>
          <w:tcPr>
            <w:tcW w:type="dxa" w:w="1560"/>
            <w:tcMar>
              <w:top w:type="dxa" w:w="60"/>
              <w:left w:type="dxa" w:w="90"/>
              <w:bottom w:type="dxa" w:w="60"/>
              <w:right w:type="dxa" w:w="90"/>
            </w:tcMar>
          </w:tcPr>
          <w:p>
            <w:pPr>
              <w:spacing w:after="0"/>
            </w:pPr>
            <w:r>
              <w:t xml:space="preserve">General images</w:t>
            </w:r>
          </w:p>
        </w:tc>
        <w:tc>
          <w:tcPr>
            <w:tcW w:type="dxa" w:w="1560"/>
            <w:tcMar>
              <w:top w:type="dxa" w:w="60"/>
              <w:left w:type="dxa" w:w="90"/>
              <w:bottom w:type="dxa" w:w="60"/>
              <w:right w:type="dxa" w:w="90"/>
            </w:tcMar>
          </w:tcPr>
          <w:p>
            <w:pPr>
              <w:spacing w:after="0"/>
            </w:pPr>
            <w:r>
              <w:t xml:space="preserve">Zero-shot, benchmark datasets</w:t>
            </w:r>
          </w:p>
        </w:tc>
        <w:tc>
          <w:tcPr>
            <w:tcW w:type="dxa" w:w="1560"/>
            <w:tcMar>
              <w:top w:type="dxa" w:w="60"/>
              <w:left w:type="dxa" w:w="90"/>
              <w:bottom w:type="dxa" w:w="60"/>
              <w:right w:type="dxa" w:w="90"/>
            </w:tcMar>
          </w:tcPr>
          <w:p>
            <w:pPr>
              <w:spacing w:after="0"/>
            </w:pPr>
            <w:r>
              <w:t xml:space="preserve">Softmax ranking scores</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Scores are not calibrated probabilities</w:t>
            </w:r>
          </w:p>
        </w:tc>
      </w:tr>
      <w:tr>
        <w:trPr>
          <w:tblHeader w:val="false"/>
        </w:trPr>
        <w:tc>
          <w:tcPr>
            <w:tcW w:type="dxa" w:w="1560"/>
            <w:tcMar>
              <w:top w:type="dxa" w:w="60"/>
              <w:left w:type="dxa" w:w="90"/>
              <w:bottom w:type="dxa" w:w="60"/>
              <w:right w:type="dxa" w:w="90"/>
            </w:tcMar>
          </w:tcPr>
          <w:p>
            <w:pPr>
              <w:spacing w:after="0"/>
            </w:pPr>
            <w:r>
              <w:t xml:space="preserve">Whisper [3]</w:t>
            </w:r>
          </w:p>
        </w:tc>
        <w:tc>
          <w:tcPr>
            <w:tcW w:type="dxa" w:w="1560"/>
            <w:tcMar>
              <w:top w:type="dxa" w:w="60"/>
              <w:left w:type="dxa" w:w="90"/>
              <w:bottom w:type="dxa" w:w="60"/>
              <w:right w:type="dxa" w:w="90"/>
            </w:tcMar>
          </w:tcPr>
          <w:p>
            <w:pPr>
              <w:spacing w:after="0"/>
            </w:pPr>
            <w:r>
              <w:t xml:space="preserve">Speech</w:t>
            </w:r>
          </w:p>
        </w:tc>
        <w:tc>
          <w:tcPr>
            <w:tcW w:type="dxa" w:w="1560"/>
            <w:tcMar>
              <w:top w:type="dxa" w:w="60"/>
              <w:left w:type="dxa" w:w="90"/>
              <w:bottom w:type="dxa" w:w="60"/>
              <w:right w:type="dxa" w:w="90"/>
            </w:tcMar>
          </w:tcPr>
          <w:p>
            <w:pPr>
              <w:spacing w:after="0"/>
            </w:pPr>
            <w:r>
              <w:t xml:space="preserve">Human transcripts</w:t>
            </w:r>
          </w:p>
        </w:tc>
        <w:tc>
          <w:tcPr>
            <w:tcW w:type="dxa" w:w="1560"/>
            <w:tcMar>
              <w:top w:type="dxa" w:w="60"/>
              <w:left w:type="dxa" w:w="90"/>
              <w:bottom w:type="dxa" w:w="60"/>
              <w:right w:type="dxa" w:w="90"/>
            </w:tcMar>
          </w:tcPr>
          <w:p>
            <w:pPr>
              <w:spacing w:after="0"/>
            </w:pPr>
            <w:r>
              <w:t xml:space="preserve">None per-utterance</w:t>
            </w:r>
          </w:p>
        </w:tc>
        <w:tc>
          <w:tcPr>
            <w:tcW w:type="dxa" w:w="1560"/>
            <w:tcMar>
              <w:top w:type="dxa" w:w="60"/>
              <w:left w:type="dxa" w:w="90"/>
              <w:bottom w:type="dxa" w:w="60"/>
              <w:right w:type="dxa" w:w="90"/>
            </w:tcMar>
          </w:tcPr>
          <w:p>
            <w:pPr>
              <w:spacing w:after="0"/>
            </w:pPr>
            <w:r>
              <w:t xml:space="preserve">Audio</w:t>
            </w:r>
          </w:p>
        </w:tc>
        <w:tc>
          <w:tcPr>
            <w:tcW w:type="dxa" w:w="1560"/>
            <w:tcMar>
              <w:top w:type="dxa" w:w="60"/>
              <w:left w:type="dxa" w:w="90"/>
              <w:bottom w:type="dxa" w:w="60"/>
              <w:right w:type="dxa" w:w="90"/>
            </w:tcMar>
          </w:tcPr>
          <w:p>
            <w:pPr>
              <w:spacing w:after="0"/>
            </w:pPr>
            <w:r>
              <w:t xml:space="preserve">No per-segment reliability estimate</w:t>
            </w:r>
          </w:p>
        </w:tc>
      </w:tr>
      <w:tr>
        <w:trPr>
          <w:tblHeader w:val="false"/>
        </w:trPr>
        <w:tc>
          <w:tcPr>
            <w:tcW w:type="dxa" w:w="1560"/>
            <w:tcMar>
              <w:top w:type="dxa" w:w="60"/>
              <w:left w:type="dxa" w:w="90"/>
              <w:bottom w:type="dxa" w:w="60"/>
              <w:right w:type="dxa" w:w="90"/>
            </w:tcMar>
          </w:tcPr>
          <w:p>
            <w:pPr>
              <w:spacing w:after="0"/>
            </w:pPr>
            <w:r>
              <w:t xml:space="preserve">Snorkel [7]</w:t>
            </w:r>
          </w:p>
        </w:tc>
        <w:tc>
          <w:tcPr>
            <w:tcW w:type="dxa" w:w="1560"/>
            <w:tcMar>
              <w:top w:type="dxa" w:w="60"/>
              <w:left w:type="dxa" w:w="90"/>
              <w:bottom w:type="dxa" w:w="60"/>
              <w:right w:type="dxa" w:w="90"/>
            </w:tcMar>
          </w:tcPr>
          <w:p>
            <w:pPr>
              <w:spacing w:after="0"/>
            </w:pPr>
            <w:r>
              <w:t xml:space="preserve">Text/structured</w:t>
            </w:r>
          </w:p>
        </w:tc>
        <w:tc>
          <w:tcPr>
            <w:tcW w:type="dxa" w:w="1560"/>
            <w:tcMar>
              <w:top w:type="dxa" w:w="60"/>
              <w:left w:type="dxa" w:w="90"/>
              <w:bottom w:type="dxa" w:w="60"/>
              <w:right w:type="dxa" w:w="90"/>
            </w:tcMar>
          </w:tcPr>
          <w:p>
            <w:pPr>
              <w:spacing w:after="0"/>
            </w:pPr>
            <w:r>
              <w:t xml:space="preserve">None required</w:t>
            </w:r>
          </w:p>
        </w:tc>
        <w:tc>
          <w:tcPr>
            <w:tcW w:type="dxa" w:w="1560"/>
            <w:tcMar>
              <w:top w:type="dxa" w:w="60"/>
              <w:left w:type="dxa" w:w="90"/>
              <w:bottom w:type="dxa" w:w="60"/>
              <w:right w:type="dxa" w:w="90"/>
            </w:tcMar>
          </w:tcPr>
          <w:p>
            <w:pPr>
              <w:spacing w:after="0"/>
            </w:pPr>
            <w:r>
              <w:t xml:space="preserve">Learned source accuracies</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Assumes conditional source independence</w:t>
            </w:r>
          </w:p>
        </w:tc>
      </w:tr>
      <w:tr>
        <w:trPr>
          <w:tblHeader w:val="false"/>
        </w:trPr>
        <w:tc>
          <w:tcPr>
            <w:tcW w:type="dxa" w:w="1560"/>
            <w:tcMar>
              <w:top w:type="dxa" w:w="60"/>
              <w:left w:type="dxa" w:w="90"/>
              <w:bottom w:type="dxa" w:w="60"/>
              <w:right w:type="dxa" w:w="90"/>
            </w:tcMar>
          </w:tcPr>
          <w:p>
            <w:pPr>
              <w:spacing w:after="0"/>
            </w:pPr>
            <w:r>
              <w:t xml:space="preserve">Artstein &amp; Poesio [8]</w:t>
            </w:r>
          </w:p>
        </w:tc>
        <w:tc>
          <w:tcPr>
            <w:tcW w:type="dxa" w:w="1560"/>
            <w:tcMar>
              <w:top w:type="dxa" w:w="60"/>
              <w:left w:type="dxa" w:w="90"/>
              <w:bottom w:type="dxa" w:w="60"/>
              <w:right w:type="dxa" w:w="90"/>
            </w:tcMar>
          </w:tcPr>
          <w:p>
            <w:pPr>
              <w:spacing w:after="0"/>
            </w:pPr>
            <w:r>
              <w:t xml:space="preserve">Annotated corpora</w:t>
            </w:r>
          </w:p>
        </w:tc>
        <w:tc>
          <w:tcPr>
            <w:tcW w:type="dxa" w:w="1560"/>
            <w:tcMar>
              <w:top w:type="dxa" w:w="60"/>
              <w:left w:type="dxa" w:w="90"/>
              <w:bottom w:type="dxa" w:w="60"/>
              <w:right w:type="dxa" w:w="90"/>
            </w:tcMar>
          </w:tcPr>
          <w:p>
            <w:pPr>
              <w:spacing w:after="0"/>
            </w:pPr>
            <w:r>
              <w:t xml:space="preserve">Multiple human coders</w:t>
            </w:r>
          </w:p>
        </w:tc>
        <w:tc>
          <w:tcPr>
            <w:tcW w:type="dxa" w:w="1560"/>
            <w:tcMar>
              <w:top w:type="dxa" w:w="60"/>
              <w:left w:type="dxa" w:w="90"/>
              <w:bottom w:type="dxa" w:w="60"/>
              <w:right w:type="dxa" w:w="90"/>
            </w:tcMar>
          </w:tcPr>
          <w:p>
            <w:pPr>
              <w:spacing w:after="0"/>
            </w:pPr>
            <w:r>
              <w:t xml:space="preserve">Chance-corrected agreement</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Human coders, not model families</w:t>
            </w:r>
          </w:p>
        </w:tc>
      </w:tr>
      <w:tr>
        <w:trPr>
          <w:tblHeader w:val="false"/>
        </w:trPr>
        <w:tc>
          <w:tcPr>
            <w:tcW w:type="dxa" w:w="1560"/>
            <w:tcMar>
              <w:top w:type="dxa" w:w="60"/>
              <w:left w:type="dxa" w:w="90"/>
              <w:bottom w:type="dxa" w:w="60"/>
              <w:right w:type="dxa" w:w="90"/>
            </w:tcMar>
          </w:tcPr>
          <w:p>
            <w:pPr>
              <w:spacing w:after="0"/>
            </w:pPr>
            <w:r>
              <w:t xml:space="preserve">Qwen3-VL [9] / InternVL3 [10]</w:t>
            </w:r>
          </w:p>
        </w:tc>
        <w:tc>
          <w:tcPr>
            <w:tcW w:type="dxa" w:w="1560"/>
            <w:tcMar>
              <w:top w:type="dxa" w:w="60"/>
              <w:left w:type="dxa" w:w="90"/>
              <w:bottom w:type="dxa" w:w="60"/>
              <w:right w:type="dxa" w:w="90"/>
            </w:tcMar>
          </w:tcPr>
          <w:p>
            <w:pPr>
              <w:spacing w:after="0"/>
            </w:pPr>
            <w:r>
              <w:t xml:space="preserve">General multimodal</w:t>
            </w:r>
          </w:p>
        </w:tc>
        <w:tc>
          <w:tcPr>
            <w:tcW w:type="dxa" w:w="1560"/>
            <w:tcMar>
              <w:top w:type="dxa" w:w="60"/>
              <w:left w:type="dxa" w:w="90"/>
              <w:bottom w:type="dxa" w:w="60"/>
              <w:right w:type="dxa" w:w="90"/>
            </w:tcMar>
          </w:tcPr>
          <w:p>
            <w:pPr>
              <w:spacing w:after="0"/>
            </w:pPr>
            <w:r>
              <w:t xml:space="preserve">Benchmark suites</w:t>
            </w:r>
          </w:p>
        </w:tc>
        <w:tc>
          <w:tcPr>
            <w:tcW w:type="dxa" w:w="1560"/>
            <w:tcMar>
              <w:top w:type="dxa" w:w="60"/>
              <w:left w:type="dxa" w:w="90"/>
              <w:bottom w:type="dxa" w:w="60"/>
              <w:right w:type="dxa" w:w="90"/>
            </w:tcMar>
          </w:tcPr>
          <w:p>
            <w:pPr>
              <w:spacing w:after="0"/>
            </w:pPr>
            <w:r>
              <w:t xml:space="preserve">None</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60"/>
            <w:tcMar>
              <w:top w:type="dxa" w:w="60"/>
              <w:left w:type="dxa" w:w="90"/>
              <w:bottom w:type="dxa" w:w="60"/>
              <w:right w:type="dxa" w:w="90"/>
            </w:tcMar>
          </w:tcPr>
          <w:p>
            <w:pPr>
              <w:spacing w:after="0"/>
            </w:pPr>
            <w:r>
              <w:rPr>
                <w:b/>
                <w:bCs/>
              </w:rPr>
              <w:t xml:space="preserve">This work</w:t>
            </w:r>
          </w:p>
        </w:tc>
        <w:tc>
          <w:tcPr>
            <w:tcW w:type="dxa" w:w="1560"/>
            <w:tcMar>
              <w:top w:type="dxa" w:w="60"/>
              <w:left w:type="dxa" w:w="90"/>
              <w:bottom w:type="dxa" w:w="60"/>
              <w:right w:type="dxa" w:w="90"/>
            </w:tcMar>
          </w:tcPr>
          <w:p>
            <w:pPr>
              <w:spacing w:after="0"/>
            </w:pPr>
            <w:r>
              <w:t xml:space="preserve">Archival community TV</w:t>
            </w:r>
          </w:p>
        </w:tc>
        <w:tc>
          <w:tcPr>
            <w:tcW w:type="dxa" w:w="1560"/>
            <w:tcMar>
              <w:top w:type="dxa" w:w="60"/>
              <w:left w:type="dxa" w:w="90"/>
              <w:bottom w:type="dxa" w:w="60"/>
              <w:right w:type="dxa" w:w="90"/>
            </w:tcMar>
          </w:tcPr>
          <w:p>
            <w:pPr>
              <w:spacing w:after="0"/>
            </w:pPr>
            <w:r>
              <w:rPr>
                <w:b/>
                <w:bCs/>
              </w:rPr>
              <w:t xml:space="preserve">None available</w:t>
            </w:r>
          </w:p>
        </w:tc>
        <w:tc>
          <w:tcPr>
            <w:tcW w:type="dxa" w:w="1560"/>
            <w:tcMar>
              <w:top w:type="dxa" w:w="60"/>
              <w:left w:type="dxa" w:w="90"/>
              <w:bottom w:type="dxa" w:w="60"/>
              <w:right w:type="dxa" w:w="90"/>
            </w:tcMar>
          </w:tcPr>
          <w:p>
            <w:pPr>
              <w:spacing w:after="0"/>
            </w:pPr>
            <w:r>
              <w:rPr>
                <w:b/>
                <w:bCs/>
              </w:rPr>
              <w:t xml:space="preserve">Per-field status + agreement + support set</w:t>
            </w:r>
          </w:p>
        </w:tc>
        <w:tc>
          <w:tcPr>
            <w:tcW w:type="dxa" w:w="1560"/>
            <w:tcMar>
              <w:top w:type="dxa" w:w="60"/>
              <w:left w:type="dxa" w:w="90"/>
              <w:bottom w:type="dxa" w:w="60"/>
              <w:right w:type="dxa" w:w="90"/>
            </w:tcMar>
          </w:tcPr>
          <w:p>
            <w:pPr>
              <w:spacing w:after="0"/>
            </w:pPr>
            <w:r>
              <w:t xml:space="preserve">Audio, visual, OCR, text</w:t>
            </w:r>
          </w:p>
        </w:tc>
        <w:tc>
          <w:tcPr>
            <w:tcW w:type="dxa" w:w="1560"/>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(123 clips) to calibration, 38 (503 clips) to evaluation — a 19.6% calibration share against the configured </w:t>
      </w:r>
      <w:r>
        <w:rPr>
          <w:rFonts w:ascii="Consolas" w:cs="Consolas" w:eastAsia="Consolas" w:hAnsi="Consolas"/>
          <w:sz w:val="18"/>
          <w:szCs w:val="18"/>
        </w:rPr>
        <w:t xml:space="preserve">calibration_fraction</w:t>
      </w:r>
      <w:r>
        <w:t xml:space="preserve"> of 0.20, since </w:t>
      </w:r>
      <w:r>
        <w:rPr>
          <w:rFonts w:ascii="Consolas" w:cs="Consolas" w:eastAsia="Consolas" w:hAnsi="Consolas"/>
          <w:sz w:val="18"/>
          <w:szCs w:val="18"/>
        </w:rPr>
        <w:t xml:space="preserve">round(47 × 0.20) = 9</w:t>
      </w:r>
      <w:r>
        <w:t xml:space="preserve">.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Notebook</w:t>
            </w:r>
          </w:p>
        </w:tc>
        <w:tc>
          <w:tcPr>
            <w:tcW w:type="dxa" w:w="468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468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4680"/>
            <w:tcMar>
              <w:top w:type="dxa" w:w="60"/>
              <w:left w:type="dxa" w:w="90"/>
              <w:bottom w:type="dxa" w:w="60"/>
              <w:right w:type="dxa" w:w="90"/>
            </w:tcMar>
          </w:tcPr>
          <w:p>
            <w:pPr>
              <w:spacing w:after="0"/>
            </w:pPr>
            <w:r>
              <w:t xml:space="preserve">Runs seven VLMs over all 626 clips, one at a time, checkpointed and resumable; also scores them, builds the comparison and coverage tables, the per-model agreement-tier charts and the qualitative spot-checks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468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626, 21,489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(626/626 for five of seven models on the free-text and tag fields, 625 and 624 for the two that lost clips to JSON parse failure, and 566–568/626 on people count)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highlight w:val="yellow"/>
          <w:highlightCs w:val="yellow"/>
        </w:rPr>
        <w:t xml:space="preserve">`[TO FILL: boundary check.]`</w:t>
      </w:r>
      <w:r>
        <w:t xml:space="preserve"> Sample 10 clips, confirm that clip </w:t>
      </w:r>
      <w:r>
        <w:rPr>
          <w:i/>
          <w:iCs/>
        </w:rPr>
        <w:t xml:space="preserve">n</w:t>
      </w:r>
      <w:r>
        <w:t xml:space="preserve"> starts exactly where clip </w:t>
      </w:r>
      <w:r>
        <w:rPr>
          <w:i/>
          <w:iCs/>
        </w:rPr>
        <w:t xml:space="preserve">n</w:t>
      </w:r>
      <w:r>
        <w:t xml:space="preserve">−1 ends and that the reported </w:t>
      </w:r>
      <w:r>
        <w:rPr>
          <w:rFonts w:ascii="Consolas" w:cs="Consolas" w:eastAsia="Consolas" w:hAnsi="Consolas"/>
          <w:sz w:val="18"/>
          <w:szCs w:val="18"/>
        </w:rPr>
        <w:t xml:space="preserve">start_sec</w:t>
      </w:r>
      <w:r>
        <w:t xml:space="preserve"> matches the source timecode. Report the maximum observed drift. This is the check that catches a timestamp-reset bug, and it has not been run.</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t xml:space="preserve">Clip counts per split: calibration 123, evaluation 503, summing to 626. The split is assigned by </w:t>
      </w:r>
      <w:r>
        <w:rPr>
          <w:rFonts w:ascii="Consolas" w:cs="Consolas" w:eastAsia="Consolas" w:hAnsi="Consolas"/>
          <w:sz w:val="18"/>
          <w:szCs w:val="18"/>
        </w:rPr>
        <w:t xml:space="preserve">assign_source_splits</w:t>
      </w:r>
      <w:r>
        <w:t xml:space="preserve">, which seeds </w:t>
      </w:r>
      <w:r>
        <w:rPr>
          <w:rFonts w:ascii="Consolas" w:cs="Consolas" w:eastAsia="Consolas" w:hAnsi="Consolas"/>
          <w:sz w:val="18"/>
          <w:szCs w:val="18"/>
        </w:rPr>
        <w:t xml:space="preserve">np.random.default_rng(SEED)</w:t>
      </w:r>
      <w:r>
        <w:t xml:space="preserve"> and permutes a </w:t>
      </w:r>
      <w:r>
        <w:rPr>
          <w:b/>
          <w:bCs/>
        </w:rPr>
        <w:t xml:space="preserve">sorted</w:t>
      </w:r>
      <w:r>
        <w:t xml:space="preserve"> unique-identifier list, so it is deterministic across runs and independent of file discovery order.</w:t>
      </w:r>
    </w:p>
    <w:p>
      <w:pPr>
        <w:pStyle w:val="ListParagraph"/>
        <w:numPr>
          <w:ilvl w:val="0"/>
          <w:numId w:val="1"/>
        </w:numPr>
        <w:spacing w:after="90" w:line="276"/>
      </w:pPr>
      <w:r>
        <w:rPr>
          <w:b/>
          <w:bCs/>
          <w:highlight w:val="yellow"/>
          <w:highlightCs w:val="yellow"/>
        </w:rPr>
        <w:t xml:space="preserve">`[TO FILL]`</w:t>
      </w:r>
      <w:r>
        <w:t xml:space="preserve"> Confirm programmatically that the intersection of source IDs across splits is empty. The assignment builds one label per source so this should hold by construction, but it is a one-line assertion and worth having in the record.</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 because it is one — a specified safety property, tested at corpus scale and confirmed.</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Pair</w:t>
            </w:r>
          </w:p>
        </w:tc>
        <w:tc>
          <w:tcPr>
            <w:tcW w:type="dxa" w:w="3120"/>
            <w:shd w:fill="EFEFEF" w:color="auto" w:val="clear"/>
            <w:tcMar>
              <w:top w:type="dxa" w:w="60"/>
              <w:left w:type="dxa" w:w="90"/>
              <w:bottom w:type="dxa" w:w="60"/>
              <w:right w:type="dxa" w:w="90"/>
            </w:tcMar>
          </w:tcPr>
          <w:p>
            <w:pPr>
              <w:spacing w:after="0"/>
            </w:pPr>
            <w:r>
              <w:rPr>
                <w:b/>
                <w:bCs/>
              </w:rPr>
              <w:t xml:space="preserve">Shared</w:t>
            </w:r>
          </w:p>
        </w:tc>
        <w:tc>
          <w:tcPr>
            <w:tcW w:type="dxa" w:w="312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3120"/>
            <w:tcMar>
              <w:top w:type="dxa" w:w="60"/>
              <w:left w:type="dxa" w:w="90"/>
              <w:bottom w:type="dxa" w:w="60"/>
              <w:right w:type="dxa" w:w="90"/>
            </w:tcMar>
          </w:tcPr>
          <w:p>
            <w:pPr>
              <w:spacing w:after="0"/>
            </w:pPr>
            <w:r>
              <w:t xml:space="preserve">CLIP ViT-B/32 / ViT-L/14</w:t>
            </w:r>
          </w:p>
        </w:tc>
        <w:tc>
          <w:tcPr>
            <w:tcW w:type="dxa" w:w="3120"/>
            <w:tcMar>
              <w:top w:type="dxa" w:w="60"/>
              <w:left w:type="dxa" w:w="90"/>
              <w:bottom w:type="dxa" w:w="60"/>
              <w:right w:type="dxa" w:w="90"/>
            </w:tcMar>
          </w:tcPr>
          <w:p>
            <w:pPr>
              <w:spacing w:after="0"/>
            </w:pPr>
            <w:r>
              <w:t xml:space="preserve">Architecture, training objective, data distribution</w:t>
            </w:r>
          </w:p>
        </w:tc>
        <w:tc>
          <w:tcPr>
            <w:tcW w:type="dxa" w:w="3120"/>
            <w:tcMar>
              <w:top w:type="dxa" w:w="60"/>
              <w:left w:type="dxa" w:w="90"/>
              <w:bottom w:type="dxa" w:w="60"/>
              <w:right w:type="dxa" w:w="90"/>
            </w:tcMar>
          </w:tcPr>
          <w:p>
            <w:pPr>
              <w:spacing w:after="0"/>
            </w:pPr>
            <w:r>
              <w:t xml:space="preserve">Visual-tag agreement overstated</w:t>
            </w:r>
          </w:p>
        </w:tc>
      </w:tr>
      <w:tr>
        <w:trPr>
          <w:tblHeader w:val="false"/>
        </w:trPr>
        <w:tc>
          <w:tcPr>
            <w:tcW w:type="dxa" w:w="3120"/>
            <w:tcMar>
              <w:top w:type="dxa" w:w="60"/>
              <w:left w:type="dxa" w:w="90"/>
              <w:bottom w:type="dxa" w:w="60"/>
              <w:right w:type="dxa" w:w="90"/>
            </w:tcMar>
          </w:tcPr>
          <w:p>
            <w:pPr>
              <w:spacing w:after="0"/>
            </w:pPr>
            <w:r>
              <w:t xml:space="preserve">Whisper-small / -turbo</w:t>
            </w:r>
          </w:p>
        </w:tc>
        <w:tc>
          <w:tcPr>
            <w:tcW w:type="dxa" w:w="3120"/>
            <w:tcMar>
              <w:top w:type="dxa" w:w="60"/>
              <w:left w:type="dxa" w:w="90"/>
              <w:bottom w:type="dxa" w:w="60"/>
              <w:right w:type="dxa" w:w="90"/>
            </w:tcMar>
          </w:tcPr>
          <w:p>
            <w:pPr>
              <w:spacing w:after="0"/>
            </w:pPr>
            <w:r>
              <w:t xml:space="preserve">Architecture, training data</w:t>
            </w:r>
          </w:p>
        </w:tc>
        <w:tc>
          <w:tcPr>
            <w:tcW w:type="dxa" w:w="312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highlight w:val="yellow"/>
          <w:highlightCs w:val="yellow"/>
        </w:rPr>
        <w:t xml:space="preserve">`[TO FILL]`</w:t>
      </w:r>
      <w:r>
        <w:t xml:space="preserve"> Quantify this: report mean agreement within the correlated pair against mean agreement between an unrelated pair (e.g. Tesseract/EasyOCR, or BLIP-VQA/DETR). If the correlated pairs score systematically higher, the size of that gap is the inflation factor, and it belongs in the paper's limitations with a number attached rather than as a qualitative caveat.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rPr>
        <w:t xml:space="preserve">Resolved.</w:t>
      </w:r>
      <w:r>
        <w:t xml:space="preserve"> The benchmark's final run reads a 626-clip ground truth and reports 626 clips total, 626 usable and 626 with a video file on disk — a three-way match between the ground truth, the clips on disk and the manifest. The earlier 615-clip file is superseded; no result in either document now depends on it.</w:t>
      </w:r>
    </w:p>
    <w:p>
      <w:pPr>
        <w:pStyle w:val="ListParagraph"/>
        <w:numPr>
          <w:ilvl w:val="0"/>
          <w:numId w:val="1"/>
        </w:numPr>
        <w:spacing w:after="90" w:line="276"/>
      </w:pPr>
      <w:r>
        <w:t xml:space="preserve">The prediction cache for Qwen3-VL-4B-Thinking carries four </w:t>
      </w:r>
      <w:r>
        <w:rPr>
          <w:rFonts w:ascii="Consolas" w:cs="Consolas" w:eastAsia="Consolas" w:hAnsi="Consolas"/>
          <w:sz w:val="18"/>
          <w:szCs w:val="18"/>
        </w:rPr>
        <w:t xml:space="preserve">backup_before_repair_*</w:t>
      </w:r>
      <w:r>
        <w:t xml:space="preserve"> snapshots (2026-09-11 through 2026-09-14). </w:t>
      </w:r>
      <w:r>
        <w:rPr>
          <w:b/>
          <w:bCs/>
          <w:highlight w:val="yellow"/>
          <w:highlightCs w:val="yellow"/>
        </w:rPr>
        <w:t xml:space="preserve">`[TO FILL: state what the repair corrected and confirm the reported scores come from the post-repair cache.]`</w:t>
      </w:r>
      <w:r>
        <w:t xml:space="preserve"> A results file with an undocumented repair history is the kind of thing an examiner asks about.</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t xml:space="preserve"/>
            </w:r>
          </w:p>
        </w:tc>
        <w:tc>
          <w:tcPr>
            <w:tcW w:type="dxa" w:w="3120"/>
            <w:shd w:fill="EFEFEF" w:color="auto" w:val="clear"/>
            <w:tcMar>
              <w:top w:type="dxa" w:w="60"/>
              <w:left w:type="dxa" w:w="90"/>
              <w:bottom w:type="dxa" w:w="60"/>
              <w:right w:type="dxa" w:w="90"/>
            </w:tcMar>
          </w:tcPr>
          <w:p>
            <w:pPr>
              <w:spacing w:after="0"/>
            </w:pPr>
            <w:r>
              <w:rPr>
                <w:b/>
                <w:bCs/>
              </w:rPr>
              <w:t xml:space="preserve">Pipeline</w:t>
            </w:r>
          </w:p>
        </w:tc>
        <w:tc>
          <w:tcPr>
            <w:tcW w:type="dxa" w:w="3120"/>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3120"/>
            <w:tcMar>
              <w:top w:type="dxa" w:w="60"/>
              <w:left w:type="dxa" w:w="90"/>
              <w:bottom w:type="dxa" w:w="60"/>
              <w:right w:type="dxa" w:w="90"/>
            </w:tcMar>
          </w:tcPr>
          <w:p>
            <w:pPr>
              <w:spacing w:after="0"/>
            </w:pPr>
            <w:r>
              <w:t xml:space="preserve">Platform</w:t>
            </w:r>
          </w:p>
        </w:tc>
        <w:tc>
          <w:tcPr>
            <w:tcW w:type="dxa" w:w="3120"/>
            <w:tcMar>
              <w:top w:type="dxa" w:w="60"/>
              <w:left w:type="dxa" w:w="90"/>
              <w:bottom w:type="dxa" w:w="60"/>
              <w:right w:type="dxa" w:w="90"/>
            </w:tcMar>
          </w:tcPr>
          <w:p>
            <w:pPr>
              <w:spacing w:after="0"/>
            </w:pPr>
            <w:r>
              <w:t xml:space="preserve">Google Colab</w:t>
            </w:r>
          </w:p>
        </w:tc>
        <w:tc>
          <w:tcPr>
            <w:tcW w:type="dxa" w:w="3120"/>
            <w:tcMar>
              <w:top w:type="dxa" w:w="60"/>
              <w:left w:type="dxa" w:w="90"/>
              <w:bottom w:type="dxa" w:w="60"/>
              <w:right w:type="dxa" w:w="90"/>
            </w:tcMar>
          </w:tcPr>
          <w:p>
            <w:pPr>
              <w:spacing w:after="0"/>
            </w:pPr>
            <w:r>
              <w:t xml:space="preserve">Kelvin2 HPC (QUB)</w:t>
            </w:r>
          </w:p>
        </w:tc>
      </w:tr>
      <w:tr>
        <w:trPr>
          <w:tblHeader w:val="false"/>
        </w:trPr>
        <w:tc>
          <w:tcPr>
            <w:tcW w:type="dxa" w:w="3120"/>
            <w:tcMar>
              <w:top w:type="dxa" w:w="60"/>
              <w:left w:type="dxa" w:w="90"/>
              <w:bottom w:type="dxa" w:w="60"/>
              <w:right w:type="dxa" w:w="90"/>
            </w:tcMar>
          </w:tcPr>
          <w:p>
            <w:pPr>
              <w:spacing w:after="0"/>
            </w:pPr>
            <w:r>
              <w:t xml:space="preserve">GPU</w:t>
            </w:r>
          </w:p>
        </w:tc>
        <w:tc>
          <w:tcPr>
            <w:tcW w:type="dxa" w:w="3120"/>
            <w:tcMar>
              <w:top w:type="dxa" w:w="60"/>
              <w:left w:type="dxa" w:w="90"/>
              <w:bottom w:type="dxa" w:w="60"/>
              <w:right w:type="dxa" w:w="90"/>
            </w:tcMar>
          </w:tcPr>
          <w:p>
            <w:pPr>
              <w:spacing w:after="0"/>
            </w:pPr>
            <w:r>
              <w:t xml:space="preserve">NVIDIA A100-SXM4-40GB</w:t>
            </w:r>
          </w:p>
        </w:tc>
        <w:tc>
          <w:tcPr>
            <w:tcW w:type="dxa" w:w="3120"/>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3120"/>
            <w:tcMar>
              <w:top w:type="dxa" w:w="60"/>
              <w:left w:type="dxa" w:w="90"/>
              <w:bottom w:type="dxa" w:w="60"/>
              <w:right w:type="dxa" w:w="90"/>
            </w:tcMar>
          </w:tcPr>
          <w:p>
            <w:pPr>
              <w:spacing w:after="0"/>
            </w:pPr>
            <w:r>
              <w:t xml:space="preserve">CPUs</w:t>
            </w:r>
          </w:p>
        </w:tc>
        <w:tc>
          <w:tcPr>
            <w:tcW w:type="dxa" w:w="3120"/>
            <w:tcMar>
              <w:top w:type="dxa" w:w="60"/>
              <w:left w:type="dxa" w:w="90"/>
              <w:bottom w:type="dxa" w:w="60"/>
              <w:right w:type="dxa" w:w="90"/>
            </w:tcMar>
          </w:tcPr>
          <w:p>
            <w:pPr>
              <w:spacing w:after="0"/>
            </w:pPr>
            <w:r>
              <w:t xml:space="preserve">12</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Python</w:t>
            </w:r>
          </w:p>
        </w:tc>
        <w:tc>
          <w:tcPr>
            <w:tcW w:type="dxa" w:w="3120"/>
            <w:tcMar>
              <w:top w:type="dxa" w:w="60"/>
              <w:left w:type="dxa" w:w="90"/>
              <w:bottom w:type="dxa" w:w="60"/>
              <w:right w:type="dxa" w:w="90"/>
            </w:tcMar>
          </w:tcPr>
          <w:p>
            <w:pPr>
              <w:spacing w:after="0"/>
            </w:pPr>
            <w:r>
              <w:t xml:space="preserve">3.13.15</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PyTorch</w:t>
            </w:r>
          </w:p>
        </w:tc>
        <w:tc>
          <w:tcPr>
            <w:tcW w:type="dxa" w:w="3120"/>
            <w:tcMar>
              <w:top w:type="dxa" w:w="60"/>
              <w:left w:type="dxa" w:w="90"/>
              <w:bottom w:type="dxa" w:w="60"/>
              <w:right w:type="dxa" w:w="90"/>
            </w:tcMar>
          </w:tcPr>
          <w:p>
            <w:pPr>
              <w:spacing w:after="0"/>
            </w:pPr>
            <w:r>
              <w:t xml:space="preserve">2.11.0+cu128</w:t>
            </w:r>
          </w:p>
        </w:tc>
        <w:tc>
          <w:tcPr>
            <w:tcW w:type="dxa" w:w="3120"/>
            <w:tcMar>
              <w:top w:type="dxa" w:w="60"/>
              <w:left w:type="dxa" w:w="90"/>
              <w:bottom w:type="dxa" w:w="60"/>
              <w:right w:type="dxa" w:w="90"/>
            </w:tcMar>
          </w:tcPr>
          <w:p>
            <w:pPr>
              <w:spacing w:after="0"/>
            </w:pPr>
            <w:r>
              <w:t xml:space="preserve">2.7.1+cu118</w:t>
            </w:r>
          </w:p>
        </w:tc>
      </w:tr>
      <w:tr>
        <w:trPr>
          <w:tblHeader w:val="false"/>
        </w:trPr>
        <w:tc>
          <w:tcPr>
            <w:tcW w:type="dxa" w:w="3120"/>
            <w:tcMar>
              <w:top w:type="dxa" w:w="60"/>
              <w:left w:type="dxa" w:w="90"/>
              <w:bottom w:type="dxa" w:w="60"/>
              <w:right w:type="dxa" w:w="90"/>
            </w:tcMar>
          </w:tcPr>
          <w:p>
            <w:pPr>
              <w:spacing w:after="0"/>
            </w:pPr>
            <w:r>
              <w:t xml:space="preserve">Persistence</w:t>
            </w:r>
          </w:p>
        </w:tc>
        <w:tc>
          <w:tcPr>
            <w:tcW w:type="dxa" w:w="3120"/>
            <w:tcMar>
              <w:top w:type="dxa" w:w="60"/>
              <w:left w:type="dxa" w:w="90"/>
              <w:bottom w:type="dxa" w:w="60"/>
              <w:right w:type="dxa" w:w="90"/>
            </w:tcMar>
          </w:tcPr>
          <w:p>
            <w:pPr>
              <w:spacing w:after="0"/>
            </w:pPr>
            <w:r>
              <w:t xml:space="preserve">Google Drive</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w:t>
      </w:r>
    </w:p>
    <w:p>
      <w:pPr>
        <w:spacing w:after="140" w:line="276"/>
        <w:jc w:val="both"/>
      </w:pPr>
      <w:r>
        <w:rPr>
          <w:rFonts w:ascii="Consolas" w:cs="Consolas" w:eastAsia="Consolas" w:hAnsi="Consolas"/>
          <w:sz w:val="18"/>
          <w:szCs w:val="18"/>
        </w:rPr>
        <w:t xml:space="preserve">transformers==4.50.3</w:t>
      </w:r>
      <w:r>
        <w:t xml:space="preserve">, </w:t>
      </w:r>
      <w:r>
        <w:rPr>
          <w:rFonts w:ascii="Consolas" w:cs="Consolas" w:eastAsia="Consolas" w:hAnsi="Consolas"/>
          <w:sz w:val="18"/>
          <w:szCs w:val="18"/>
        </w:rPr>
        <w:t xml:space="preserve">openai-whisper==20250625</w:t>
      </w:r>
      <w:r>
        <w:t xml:space="preserve">, </w:t>
      </w:r>
      <w:r>
        <w:rPr>
          <w:rFonts w:ascii="Consolas" w:cs="Consolas" w:eastAsia="Consolas" w:hAnsi="Consolas"/>
          <w:sz w:val="18"/>
          <w:szCs w:val="18"/>
        </w:rPr>
        <w:t xml:space="preserve">sentence-transformers==3.4.1</w:t>
      </w:r>
      <w:r>
        <w:t xml:space="preserve">, </w:t>
      </w:r>
      <w:r>
        <w:rPr>
          <w:rFonts w:ascii="Consolas" w:cs="Consolas" w:eastAsia="Consolas" w:hAnsi="Consolas"/>
          <w:sz w:val="18"/>
          <w:szCs w:val="18"/>
        </w:rPr>
        <w:t xml:space="preserve">keybert==0.9.0</w:t>
      </w:r>
      <w:r>
        <w:t xml:space="preserve">, </w:t>
      </w:r>
      <w:r>
        <w:rPr>
          <w:rFonts w:ascii="Consolas" w:cs="Consolas" w:eastAsia="Consolas" w:hAnsi="Consolas"/>
          <w:sz w:val="18"/>
          <w:szCs w:val="18"/>
        </w:rPr>
        <w:t xml:space="preserve">jiwer==4.0.0</w:t>
      </w:r>
      <w:r>
        <w:t xml:space="preserve">, </w:t>
      </w:r>
      <w:r>
        <w:rPr>
          <w:rFonts w:ascii="Consolas" w:cs="Consolas" w:eastAsia="Consolas" w:hAnsi="Consolas"/>
          <w:sz w:val="18"/>
          <w:szCs w:val="18"/>
        </w:rPr>
        <w:t xml:space="preserve">pytesseract==0.3.13</w:t>
      </w:r>
      <w:r>
        <w:t xml:space="preserve">, </w:t>
      </w:r>
      <w:r>
        <w:rPr>
          <w:rFonts w:ascii="Consolas" w:cs="Consolas" w:eastAsia="Consolas" w:hAnsi="Consolas"/>
          <w:sz w:val="18"/>
          <w:szCs w:val="18"/>
        </w:rPr>
        <w:t xml:space="preserve">easyocr==1.7.2</w:t>
      </w:r>
      <w:r>
        <w:t xml:space="preserve">, </w:t>
      </w:r>
      <w:r>
        <w:rPr>
          <w:rFonts w:ascii="Consolas" w:cs="Consolas" w:eastAsia="Consolas" w:hAnsi="Consolas"/>
          <w:sz w:val="18"/>
          <w:szCs w:val="18"/>
        </w:rPr>
        <w:t xml:space="preserve">yake==0.6.0</w:t>
      </w:r>
      <w:r>
        <w:t xml:space="preserve">, </w:t>
      </w:r>
      <w:r>
        <w:rPr>
          <w:rFonts w:ascii="Consolas" w:cs="Consolas" w:eastAsia="Consolas" w:hAnsi="Consolas"/>
          <w:sz w:val="18"/>
          <w:szCs w:val="18"/>
        </w:rPr>
        <w:t xml:space="preserve">scenedetect==0.7.1</w:t>
      </w:r>
      <w:r>
        <w:t xml:space="preserve">, </w:t>
      </w:r>
      <w:r>
        <w:rPr>
          <w:rFonts w:ascii="Consolas" w:cs="Consolas" w:eastAsia="Consolas" w:hAnsi="Consolas"/>
          <w:sz w:val="18"/>
          <w:szCs w:val="18"/>
        </w:rPr>
        <w:t xml:space="preserve">jsonschema==4.26.0</w:t>
      </w:r>
      <w:r>
        <w:t xml:space="preserve">, </w:t>
      </w:r>
      <w:r>
        <w:rPr>
          <w:rFonts w:ascii="Consolas" w:cs="Consolas" w:eastAsia="Consolas" w:hAnsi="Consolas"/>
          <w:sz w:val="18"/>
          <w:szCs w:val="18"/>
        </w:rPr>
        <w:t xml:space="preserve">flask==3.1.3</w:t>
      </w:r>
      <w:r>
        <w:t xml:space="preserve">, </w:t>
      </w:r>
      <w:r>
        <w:rPr>
          <w:rFonts w:ascii="Consolas" w:cs="Consolas" w:eastAsia="Consolas" w:hAnsi="Consolas"/>
          <w:sz w:val="18"/>
          <w:szCs w:val="18"/>
        </w:rPr>
        <w:t xml:space="preserve">pydantic==2.12.5</w:t>
      </w:r>
      <w:r>
        <w:t xml:space="preserve">, </w:t>
      </w:r>
      <w:r>
        <w:rPr>
          <w:rFonts w:ascii="Consolas" w:cs="Consolas" w:eastAsia="Consolas" w:hAnsi="Consolas"/>
          <w:sz w:val="18"/>
          <w:szCs w:val="18"/>
        </w:rPr>
        <w:t xml:space="preserve">google-genai==2.17.0</w:t>
      </w:r>
      <w:r>
        <w:t xml:space="preserve">, </w:t>
      </w:r>
      <w:r>
        <w:rPr>
          <w:rFonts w:ascii="Consolas" w:cs="Consolas" w:eastAsia="Consolas" w:hAnsi="Consolas"/>
          <w:sz w:val="18"/>
          <w:szCs w:val="18"/>
        </w:rPr>
        <w:t xml:space="preserve">seaborn==0.13.2</w:t>
      </w:r>
      <w:r>
        <w:t xml:space="preserve">, </w:t>
      </w:r>
      <w:r>
        <w:rPr>
          <w:rFonts w:ascii="Consolas" w:cs="Consolas" w:eastAsia="Consolas" w:hAnsi="Consolas"/>
          <w:sz w:val="18"/>
          <w:szCs w:val="18"/>
        </w:rPr>
        <w:t xml:space="preserve">rouge-score==0.1.2</w:t>
      </w:r>
      <w:r>
        <w:t xml:space="preserve">. System: FFmpeg, Tesseract via </w:t>
      </w:r>
      <w:r>
        <w:rPr>
          <w:rFonts w:ascii="Consolas" w:cs="Consolas" w:eastAsia="Consolas" w:hAnsi="Consolas"/>
          <w:sz w:val="18"/>
          <w:szCs w:val="18"/>
        </w:rPr>
        <w:t xml:space="preserve">apt</w:t>
      </w:r>
      <w:r>
        <w:t xml:space="preserve">.</w:t>
      </w:r>
    </w:p>
    <w:p>
      <w:pPr>
        <w:pStyle w:val="Heading2"/>
        <w:spacing w:after="140" w:before="260"/>
      </w:pPr>
      <w:r>
        <w:rPr>
          <w:b/>
          <w:bCs/>
          <w:sz w:val="24"/>
          <w:szCs w:val="24"/>
        </w:rPr>
        <w:t xml:space="preserve">4.3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Role</w:t>
            </w:r>
          </w:p>
        </w:tc>
        <w:tc>
          <w:tcPr>
            <w:tcW w:type="dxa" w:w="3120"/>
            <w:shd w:fill="EFEFEF" w:color="auto" w:val="clear"/>
            <w:tcMar>
              <w:top w:type="dxa" w:w="60"/>
              <w:left w:type="dxa" w:w="90"/>
              <w:bottom w:type="dxa" w:w="60"/>
              <w:right w:type="dxa" w:w="90"/>
            </w:tcMar>
          </w:tcPr>
          <w:p>
            <w:pPr>
              <w:spacing w:after="0"/>
            </w:pPr>
            <w:r>
              <w:rPr>
                <w:b/>
                <w:bCs/>
              </w:rPr>
              <w:t xml:space="preserve">Model</w:t>
            </w:r>
          </w:p>
        </w:tc>
        <w:tc>
          <w:tcPr>
            <w:tcW w:type="dxa" w:w="3120"/>
            <w:shd w:fill="EFEFEF" w:color="auto" w:val="clear"/>
            <w:tcMar>
              <w:top w:type="dxa" w:w="60"/>
              <w:left w:type="dxa" w:w="90"/>
              <w:bottom w:type="dxa" w:w="60"/>
              <w:right w:type="dxa" w:w="90"/>
            </w:tcMar>
          </w:tcPr>
          <w:p>
            <w:pPr>
              <w:spacing w:after="0"/>
            </w:pPr>
            <w:r>
              <w:rPr>
                <w:b/>
                <w:bCs/>
              </w:rPr>
              <w:t xml:space="preserve">Notes</w:t>
            </w:r>
          </w:p>
        </w:tc>
      </w:tr>
      <w:tr>
        <w:trPr>
          <w:tblHeader w:val="false"/>
        </w:trPr>
        <w:tc>
          <w:tcPr>
            <w:tcW w:type="dxa" w:w="3120"/>
            <w:tcMar>
              <w:top w:type="dxa" w:w="60"/>
              <w:left w:type="dxa" w:w="90"/>
              <w:bottom w:type="dxa" w:w="60"/>
              <w:right w:type="dxa" w:w="90"/>
            </w:tcMar>
          </w:tcPr>
          <w:p>
            <w:pPr>
              <w:spacing w:after="0"/>
            </w:pPr>
            <w:r>
              <w:t xml:space="preserve">ASR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whisper-small</w:t>
            </w:r>
          </w:p>
        </w:tc>
        <w:tc>
          <w:tcPr>
            <w:tcW w:type="dxa" w:w="3120"/>
            <w:tcMar>
              <w:top w:type="dxa" w:w="60"/>
              <w:left w:type="dxa" w:w="90"/>
              <w:bottom w:type="dxa" w:w="60"/>
              <w:right w:type="dxa" w:w="90"/>
            </w:tcMar>
          </w:tcPr>
          <w:p>
            <w:pPr>
              <w:spacing w:after="0"/>
            </w:pPr>
            <w:r>
              <w:t xml:space="preserve">Also performs language ID</w:t>
            </w:r>
          </w:p>
        </w:tc>
      </w:tr>
      <w:tr>
        <w:trPr>
          <w:tblHeader w:val="false"/>
        </w:trPr>
        <w:tc>
          <w:tcPr>
            <w:tcW w:type="dxa" w:w="3120"/>
            <w:tcMar>
              <w:top w:type="dxa" w:w="60"/>
              <w:left w:type="dxa" w:w="90"/>
              <w:bottom w:type="dxa" w:w="60"/>
              <w:right w:type="dxa" w:w="90"/>
            </w:tcMar>
          </w:tcPr>
          <w:p>
            <w:pPr>
              <w:spacing w:after="0"/>
            </w:pPr>
            <w:r>
              <w:t xml:space="preserve">ASR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whisper-turbo</w:t>
            </w:r>
          </w:p>
        </w:tc>
        <w:tc>
          <w:tcPr>
            <w:tcW w:type="dxa" w:w="3120"/>
            <w:tcMar>
              <w:top w:type="dxa" w:w="60"/>
              <w:left w:type="dxa" w:w="90"/>
              <w:bottom w:type="dxa" w:w="60"/>
              <w:right w:type="dxa" w:w="90"/>
            </w:tcMar>
          </w:tcPr>
          <w:p>
            <w:pPr>
              <w:spacing w:after="0"/>
            </w:pPr>
            <w:r>
              <w:t xml:space="preserve">Deterministic output published</w:t>
            </w:r>
          </w:p>
        </w:tc>
      </w:tr>
      <w:tr>
        <w:trPr>
          <w:tblHeader w:val="false"/>
        </w:trPr>
        <w:tc>
          <w:tcPr>
            <w:tcW w:type="dxa" w:w="3120"/>
            <w:tcMar>
              <w:top w:type="dxa" w:w="60"/>
              <w:left w:type="dxa" w:w="90"/>
              <w:bottom w:type="dxa" w:w="60"/>
              <w:right w:type="dxa" w:w="90"/>
            </w:tcMar>
          </w:tcPr>
          <w:p>
            <w:pPr>
              <w:spacing w:after="0"/>
            </w:pPr>
            <w:r>
              <w:t xml:space="preserve">OCR</w:t>
            </w:r>
          </w:p>
        </w:tc>
        <w:tc>
          <w:tcPr>
            <w:tcW w:type="dxa" w:w="3120"/>
            <w:tcMar>
              <w:top w:type="dxa" w:w="60"/>
              <w:left w:type="dxa" w:w="90"/>
              <w:bottom w:type="dxa" w:w="60"/>
              <w:right w:type="dxa" w:w="90"/>
            </w:tcMar>
          </w:tcPr>
          <w:p>
            <w:pPr>
              <w:spacing w:after="0"/>
            </w:pPr>
            <w:r>
              <w:t xml:space="preserve">Tesseract; EasyOCR</w:t>
            </w:r>
          </w:p>
        </w:tc>
        <w:tc>
          <w:tcPr>
            <w:tcW w:type="dxa" w:w="3120"/>
            <w:tcMar>
              <w:top w:type="dxa" w:w="60"/>
              <w:left w:type="dxa" w:w="90"/>
              <w:bottom w:type="dxa" w:w="60"/>
              <w:right w:type="dxa" w:w="90"/>
            </w:tcMar>
          </w:tcPr>
          <w:p>
            <w:pPr>
              <w:spacing w:after="0"/>
            </w:pPr>
            <w:r>
              <w:t xml:space="preserve">Both required for publication</w:t>
            </w:r>
          </w:p>
        </w:tc>
      </w:tr>
      <w:tr>
        <w:trPr>
          <w:tblHeader w:val="false"/>
        </w:trPr>
        <w:tc>
          <w:tcPr>
            <w:tcW w:type="dxa" w:w="3120"/>
            <w:tcMar>
              <w:top w:type="dxa" w:w="60"/>
              <w:left w:type="dxa" w:w="90"/>
              <w:bottom w:type="dxa" w:w="60"/>
              <w:right w:type="dxa" w:w="90"/>
            </w:tcMar>
          </w:tcPr>
          <w:p>
            <w:pPr>
              <w:spacing w:after="0"/>
            </w:pPr>
            <w:r>
              <w:t xml:space="preserve">Visual tags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openai/clip-vit-base-patch32</w:t>
            </w:r>
          </w:p>
        </w:tc>
        <w:tc>
          <w:tcPr>
            <w:tcW w:type="dxa" w:w="3120"/>
            <w:tcMar>
              <w:top w:type="dxa" w:w="60"/>
              <w:left w:type="dxa" w:w="90"/>
              <w:bottom w:type="dxa" w:w="60"/>
              <w:right w:type="dxa" w:w="90"/>
            </w:tcMar>
          </w:tcPr>
          <w:p>
            <w:pPr>
              <w:spacing w:after="0"/>
            </w:pPr>
            <w:r>
              <w:t xml:space="preserve">34-label vocabulary</w:t>
            </w:r>
          </w:p>
        </w:tc>
      </w:tr>
      <w:tr>
        <w:trPr>
          <w:tblHeader w:val="false"/>
        </w:trPr>
        <w:tc>
          <w:tcPr>
            <w:tcW w:type="dxa" w:w="3120"/>
            <w:tcMar>
              <w:top w:type="dxa" w:w="60"/>
              <w:left w:type="dxa" w:w="90"/>
              <w:bottom w:type="dxa" w:w="60"/>
              <w:right w:type="dxa" w:w="90"/>
            </w:tcMar>
          </w:tcPr>
          <w:p>
            <w:pPr>
              <w:spacing w:after="0"/>
            </w:pPr>
            <w:r>
              <w:t xml:space="preserve">Visual tags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openai/clip-vit-large-patch14</w:t>
            </w:r>
          </w:p>
        </w:tc>
        <w:tc>
          <w:tcPr>
            <w:tcW w:type="dxa" w:w="3120"/>
            <w:tcMar>
              <w:top w:type="dxa" w:w="60"/>
              <w:left w:type="dxa" w:w="90"/>
              <w:bottom w:type="dxa" w:w="60"/>
              <w:right w:type="dxa" w:w="90"/>
            </w:tcMar>
          </w:tcPr>
          <w:p>
            <w:pPr>
              <w:spacing w:after="0"/>
            </w:pPr>
            <w:r>
              <w:t xml:space="preserve">Prompt: "a photograph of {label}"</w:t>
            </w:r>
          </w:p>
        </w:tc>
      </w:tr>
      <w:tr>
        <w:trPr>
          <w:tblHeader w:val="false"/>
        </w:trPr>
        <w:tc>
          <w:tcPr>
            <w:tcW w:type="dxa" w:w="3120"/>
            <w:tcMar>
              <w:top w:type="dxa" w:w="60"/>
              <w:left w:type="dxa" w:w="90"/>
              <w:bottom w:type="dxa" w:w="60"/>
              <w:right w:type="dxa" w:w="90"/>
            </w:tcMar>
          </w:tcPr>
          <w:p>
            <w:pPr>
              <w:spacing w:after="0"/>
            </w:pPr>
            <w:r>
              <w:t xml:space="preserve">People count</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Salesforce/blip-vqa-base</w:t>
            </w:r>
            <w:r>
              <w:t xml:space="preserve">; </w:t>
            </w:r>
            <w:r>
              <w:rPr>
                <w:rFonts w:ascii="Consolas" w:cs="Consolas" w:eastAsia="Consolas" w:hAnsi="Consolas"/>
                <w:sz w:val="18"/>
                <w:szCs w:val="18"/>
              </w:rPr>
              <w:t xml:space="preserve">dandelin/vilt-b32-finetuned-vqa</w:t>
            </w:r>
            <w:r>
              <w:t xml:space="preserve">; </w:t>
            </w:r>
            <w:r>
              <w:rPr>
                <w:rFonts w:ascii="Consolas" w:cs="Consolas" w:eastAsia="Consolas" w:hAnsi="Consolas"/>
                <w:sz w:val="18"/>
                <w:szCs w:val="18"/>
              </w:rPr>
              <w:t xml:space="preserve">facebook/detr-resnet-50</w:t>
            </w:r>
          </w:p>
        </w:tc>
        <w:tc>
          <w:tcPr>
            <w:tcW w:type="dxa" w:w="3120"/>
            <w:tcMar>
              <w:top w:type="dxa" w:w="60"/>
              <w:left w:type="dxa" w:w="90"/>
              <w:bottom w:type="dxa" w:w="60"/>
              <w:right w:type="dxa" w:w="90"/>
            </w:tcMar>
          </w:tcPr>
          <w:p>
            <w:pPr>
              <w:spacing w:after="0"/>
            </w:pPr>
            <w:r>
              <w:t xml:space="preserve">Three families</w:t>
            </w:r>
          </w:p>
        </w:tc>
      </w:tr>
      <w:tr>
        <w:trPr>
          <w:tblHeader w:val="false"/>
        </w:trPr>
        <w:tc>
          <w:tcPr>
            <w:tcW w:type="dxa" w:w="3120"/>
            <w:tcMar>
              <w:top w:type="dxa" w:w="60"/>
              <w:left w:type="dxa" w:w="90"/>
              <w:bottom w:type="dxa" w:w="60"/>
              <w:right w:type="dxa" w:w="90"/>
            </w:tcMar>
          </w:tcPr>
          <w:p>
            <w:pPr>
              <w:spacing w:after="0"/>
            </w:pPr>
            <w:r>
              <w:t xml:space="preserve">Keywords</w:t>
            </w:r>
          </w:p>
        </w:tc>
        <w:tc>
          <w:tcPr>
            <w:tcW w:type="dxa" w:w="3120"/>
            <w:tcMar>
              <w:top w:type="dxa" w:w="60"/>
              <w:left w:type="dxa" w:w="90"/>
              <w:bottom w:type="dxa" w:w="60"/>
              <w:right w:type="dxa" w:w="90"/>
            </w:tcMar>
          </w:tcPr>
          <w:p>
            <w:pPr>
              <w:spacing w:after="0"/>
            </w:pPr>
            <w:r>
              <w:t xml:space="preserve">KeyBERT (</w:t>
            </w:r>
            <w:r>
              <w:rPr>
                <w:rFonts w:ascii="Consolas" w:cs="Consolas" w:eastAsia="Consolas" w:hAnsi="Consolas"/>
                <w:sz w:val="18"/>
                <w:szCs w:val="18"/>
              </w:rPr>
              <w:t xml:space="preserve">all-MiniLM-L6-v2</w:t>
            </w:r>
            <w:r>
              <w:t xml:space="preserve">); YAKE; TF-IDF</w:t>
            </w:r>
          </w:p>
        </w:tc>
        <w:tc>
          <w:tcPr>
            <w:tcW w:type="dxa" w:w="3120"/>
            <w:tcMar>
              <w:top w:type="dxa" w:w="60"/>
              <w:left w:type="dxa" w:w="90"/>
              <w:bottom w:type="dxa" w:w="60"/>
              <w:right w:type="dxa" w:w="90"/>
            </w:tcMar>
          </w:tcPr>
          <w:p>
            <w:pPr>
              <w:spacing w:after="0"/>
            </w:pPr>
            <w:r>
              <w:t xml:space="preserve">Top </w:t>
            </w:r>
            <w:r>
              <w:rPr>
                <w:i/>
                <w:iCs/>
              </w:rPr>
              <w:t xml:space="preserve">k</w:t>
            </w:r>
            <w:r>
              <w:t xml:space="preserve"> = 5</w:t>
            </w:r>
          </w:p>
        </w:tc>
      </w:tr>
      <w:tr>
        <w:trPr>
          <w:tblHeader w:val="false"/>
        </w:trPr>
        <w:tc>
          <w:tcPr>
            <w:tcW w:type="dxa" w:w="3120"/>
            <w:tcMar>
              <w:top w:type="dxa" w:w="60"/>
              <w:left w:type="dxa" w:w="90"/>
              <w:bottom w:type="dxa" w:w="60"/>
              <w:right w:type="dxa" w:w="90"/>
            </w:tcMar>
          </w:tcPr>
          <w:p>
            <w:pPr>
              <w:spacing w:after="0"/>
            </w:pPr>
            <w:r>
              <w:t xml:space="preserve">Hosted annotator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3120"/>
            <w:tcMar>
              <w:top w:type="dxa" w:w="60"/>
              <w:left w:type="dxa" w:w="90"/>
              <w:bottom w:type="dxa" w:w="60"/>
              <w:right w:type="dxa" w:w="90"/>
            </w:tcMar>
          </w:tcPr>
          <w:p>
            <w:pPr>
              <w:spacing w:after="0"/>
            </w:pPr>
            <w:r>
              <w:t xml:space="preserve">Optional; ≤ 5 frames; one family vote</w:t>
            </w:r>
          </w:p>
        </w:tc>
      </w:tr>
      <w:tr>
        <w:trPr>
          <w:tblHeader w:val="false"/>
        </w:trPr>
        <w:tc>
          <w:tcPr>
            <w:tcW w:type="dxa" w:w="3120"/>
            <w:tcMar>
              <w:top w:type="dxa" w:w="60"/>
              <w:left w:type="dxa" w:w="90"/>
              <w:bottom w:type="dxa" w:w="60"/>
              <w:right w:type="dxa" w:w="90"/>
            </w:tcMar>
          </w:tcPr>
          <w:p>
            <w:pPr>
              <w:spacing w:after="0"/>
            </w:pPr>
            <w:r>
              <w:t xml:space="preserve">Benchmark</w:t>
            </w:r>
          </w:p>
        </w:tc>
        <w:tc>
          <w:tcPr>
            <w:tcW w:type="dxa" w:w="3120"/>
            <w:tcMar>
              <w:top w:type="dxa" w:w="60"/>
              <w:left w:type="dxa" w:w="90"/>
              <w:bottom w:type="dxa" w:w="60"/>
              <w:right w:type="dxa" w:w="90"/>
            </w:tcMar>
          </w:tcPr>
          <w:p>
            <w:pPr>
              <w:spacing w:after="0"/>
            </w:pPr>
            <w:r>
              <w:t xml:space="preserve">Qwen3-VL 2B/4B/8B (Instruct, Thinking); InternVL3-2B/-8B</w:t>
            </w:r>
          </w:p>
        </w:tc>
        <w:tc>
          <w:tcPr>
            <w:tcW w:type="dxa" w:w="3120"/>
            <w:tcMar>
              <w:top w:type="dxa" w:w="60"/>
              <w:left w:type="dxa" w:w="90"/>
              <w:bottom w:type="dxa" w:w="60"/>
              <w:right w:type="dxa" w:w="90"/>
            </w:tcMar>
          </w:tcPr>
          <w:p>
            <w:pPr>
              <w:spacing w:after="0"/>
            </w:pPr>
            <w:r>
              <w:t xml:space="preserve">8B models int4</w:t>
            </w:r>
          </w:p>
        </w:tc>
      </w:tr>
    </w:tbl>
    <w:p>
      <w:pPr>
        <w:spacing w:after="160"/>
      </w:pPr>
    </w:p>
    <w:p>
      <w:pPr>
        <w:pStyle w:val="Heading2"/>
        <w:spacing w:after="140" w:before="260"/>
      </w:pPr>
      <w:r>
        <w:rPr>
          <w:b/>
          <w:bCs/>
          <w:sz w:val="24"/>
          <w:szCs w:val="24"/>
        </w:rPr>
        <w:t xml:space="preserve">4.4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 resolved.</w:t>
      </w:r>
      <w:r>
        <w:t xml:space="preserve"> An earlier benchmark run scored 615 clips against </w:t>
      </w:r>
      <w:r>
        <w:rPr>
          <w:rFonts w:ascii="Consolas" w:cs="Consolas" w:eastAsia="Consolas" w:hAnsi="Consolas"/>
          <w:sz w:val="18"/>
          <w:szCs w:val="18"/>
        </w:rPr>
        <w:t xml:space="preserve">ground_truth_metadata_615.json</w:t>
      </w:r>
      <w:r>
        <w:t xml:space="preserve"> while the pipeline had generated 626. The final run rebuilt the benchmark against the full 626-clip ground truth, and both documents now report 626 throughout. The earlier numbers differ only in the third decimal place and no conclusion changed, but the superseded run should not be cited.</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21,489-score benchmark; a read-only browser exposing the evidence.</w:t>
      </w:r>
    </w:p>
    <w:p>
      <w:pPr>
        <w:spacing w:after="140" w:line="276"/>
        <w:jc w:val="both"/>
      </w:pPr>
      <w:r>
        <w:rPr>
          <w:b/>
          <w:bCs/>
        </w:rPr>
        <w:t xml:space="preserve">Not delivered.</w:t>
      </w:r>
      <w:r>
        <w:t xml:space="preserve"> Any validity measurement (structurally impossible without a human reference); RQ2's agreement distribution </w:t>
      </w:r>
      <w:r>
        <w:rPr>
          <w:b/>
          <w:bCs/>
          <w:highlight w:val="yellow"/>
          <w:highlightCs w:val="yellow"/>
        </w:rPr>
        <w:t xml:space="preserve">`[TO FILL]`</w:t>
      </w:r>
      <w:r>
        <w:t xml:space="preserve">; adequately powered ablations; speaker attribution; the fine-tuning the notebook's rules cell describes.</w:t>
      </w:r>
    </w:p>
    <w:p>
      <w:pPr>
        <w:spacing w:after="140" w:line="276"/>
        <w:jc w:val="both"/>
      </w:pPr>
      <w:r>
        <w:t xml:space="preserve">Sub-clip temporal localisation belongs on a separate line, because it is nearer than it looks. </w:t>
      </w:r>
      <w:r>
        <w:rPr>
          <w:rFonts w:ascii="Consolas" w:cs="Consolas" w:eastAsia="Consolas" w:hAnsi="Consolas"/>
          <w:sz w:val="18"/>
          <w:szCs w:val="18"/>
        </w:rPr>
        <w:t xml:space="preserve">transcribe_clip</w:t>
      </w:r>
      <w:r>
        <w:t xml:space="preserve"> stores every Whisper segment with </w:t>
      </w:r>
      <w:r>
        <w:rPr>
          <w:rFonts w:ascii="Consolas" w:cs="Consolas" w:eastAsia="Consolas" w:hAnsi="Consolas"/>
          <w:sz w:val="18"/>
          <w:szCs w:val="18"/>
        </w:rPr>
        <w:t xml:space="preserve">start</w:t>
      </w:r>
      <w:r>
        <w:t xml:space="preserve"> and </w:t>
      </w:r>
      <w:r>
        <w:rPr>
          <w:rFonts w:ascii="Consolas" w:cs="Consolas" w:eastAsia="Consolas" w:hAnsi="Consolas"/>
          <w:sz w:val="18"/>
          <w:szCs w:val="18"/>
        </w:rPr>
        <w:t xml:space="preserve">end</w:t>
      </w:r>
      <w:r>
        <w:t xml:space="preserve"> times, and the OCR consensus stores </w:t>
      </w:r>
      <w:r>
        <w:rPr>
          <w:rFonts w:ascii="Consolas" w:cs="Consolas" w:eastAsia="Consolas" w:hAnsi="Consolas"/>
          <w:sz w:val="18"/>
          <w:szCs w:val="18"/>
        </w:rPr>
        <w:t xml:space="preserve">frames_detected</w:t>
      </w:r>
      <w:r>
        <w:t xml:space="preserve"> for each accepted string. Both survive into the per-clip prediction records; only the focused five-field export drops them. Publishing them is a change to </w:t>
      </w:r>
      <w:r>
        <w:rPr>
          <w:rFonts w:ascii="Consolas" w:cs="Consolas" w:eastAsia="Consolas" w:hAnsi="Consolas"/>
          <w:sz w:val="18"/>
          <w:szCs w:val="18"/>
        </w:rPr>
        <w:t xml:space="preserve">build_automatic_ground_truth</w:t>
      </w:r>
      <w:r>
        <w:t xml:space="preserve">, not new inference — the cheapest unclaimed capability in the project.</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 </w:t>
      </w:r>
      <w:r>
        <w:rPr>
          <w:b/>
          <w:bCs/>
          <w:highlight w:val="yellow"/>
          <w:highlightCs w:val="yellow"/>
        </w:rPr>
        <w:t xml:space="preserve">`[TO FILL: report tag frequency across the corpus. A label that never fires, or one that fires on most clips, is evidence about the vocabulary rather than about the footage.]`</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for broadcast.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w:t>
      </w:r>
      <w:r>
        <w:rPr>
          <w:b/>
          <w:bCs/>
          <w:highlight w:val="yellow"/>
          <w:highlightCs w:val="yellow"/>
        </w:rPr>
        <w:t xml:space="preserve">`[TO FILL: NVTV licence terms; QUB ethics/data-governance reference; whether the reported run used the hosted API.]`</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systematically, which is a real gap rather than a formality.</w:t>
      </w:r>
    </w:p>
    <w:p>
      <w:pPr>
        <w:spacing w:after="140" w:line="276"/>
        <w:jc w:val="both"/>
      </w:pPr>
      <w:r>
        <w:t xml:space="preserve">The benchmark spot-checks contain direct evidence that the problem is live. On a Belfast arts clip the pipeline's own reference keywords, derived from the Whisper transcript, include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and </w:t>
      </w:r>
      <w:r>
        <w:rPr>
          <w:rFonts w:ascii="Consolas" w:cs="Consolas" w:eastAsia="Consolas" w:hAnsi="Consolas"/>
          <w:sz w:val="18"/>
          <w:szCs w:val="18"/>
        </w:rPr>
        <w:t xml:space="preserve">custinia rheidd</w:t>
      </w:r>
      <w:r>
        <w:t xml:space="preserve"> — Welsh-looking strings with no Welsh in the audio. Whisper has mis-identified the language on accented English and produced fluent nonsense, and because keywords are extracted downstream of the transcript, that nonsense propagated into the published catalogue field. It is not flagged, because the keyword sources (KeyBERT, YAKE, TF-IDF) agree with each other about the text they were given: </w:t>
      </w:r>
      <w:r>
        <w:rPr>
          <w:b/>
          <w:bCs/>
        </w:rPr>
        <w:t xml:space="preserve">three sources corroborating one another cannot detect an error introduced upstream of all three.</w:t>
      </w:r>
      <w:r>
        <w:t xml:space="preserve"> This is the clearest demonstration in the project of what the agreement score does not measure. </w:t>
      </w:r>
      <w:r>
        <w:rPr>
          <w:b/>
          <w:bCs/>
          <w:highlight w:val="yellow"/>
          <w:highlightCs w:val="yellow"/>
        </w:rPr>
        <w:t xml:space="preserve">`[TO FILL: count how many clips contain non-English tokens in the transcript or keyword fields, and report it — this converts an anecdote into a measurement.]`</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highlight w:val="yellow"/>
          <w:highlightCs w:val="yellow"/>
        </w:rPr>
        <w:t xml:space="preserve">`[TO FILL: state which AI tools were used, for what — code scaffolding, debugging, drafting — and confirm that all experimental design, execution, interpretation and the claims made are the author's own and have been verified. Both exemplars carry this section; QUB requires it.]`</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Parameter</w:t>
            </w:r>
          </w:p>
        </w:tc>
        <w:tc>
          <w:tcPr>
            <w:tcW w:type="dxa" w:w="4680"/>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680"/>
            <w:tcMar>
              <w:top w:type="dxa" w:w="60"/>
              <w:left w:type="dxa" w:w="90"/>
              <w:bottom w:type="dxa" w:w="60"/>
              <w:right w:type="dxa" w:w="90"/>
            </w:tcMar>
          </w:tcPr>
          <w:p>
            <w:pPr>
              <w:spacing w:after="0"/>
            </w:pPr>
            <w:r>
              <w:t xml:space="preserve">30.0 / 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680"/>
            <w:tcMar>
              <w:top w:type="dxa" w:w="60"/>
              <w:left w:type="dxa" w:w="90"/>
              <w:bottom w:type="dxa" w:w="60"/>
              <w:right w:type="dxa" w:w="90"/>
            </w:tcMar>
          </w:tcPr>
          <w:p>
            <w:pPr>
              <w:spacing w:after="0"/>
            </w:pPr>
            <w:r>
              <w:t xml:space="preserve">2 × 1</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680"/>
            <w:tcMar>
              <w:top w:type="dxa" w:w="60"/>
              <w:left w:type="dxa" w:w="90"/>
              <w:bottom w:type="dxa" w:w="60"/>
              <w:right w:type="dxa" w:w="90"/>
            </w:tcMar>
          </w:tcPr>
          <w:p>
            <w:pPr>
              <w:spacing w:after="0"/>
            </w:pPr>
            <w:r>
              <w:t xml:space="preserve">0.20, 0.50, 0.80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680"/>
            <w:tcMar>
              <w:top w:type="dxa" w:w="60"/>
              <w:left w:type="dxa" w:w="90"/>
              <w:bottom w:type="dxa" w:w="60"/>
              <w:right w:type="dxa" w:w="90"/>
            </w:tcMar>
          </w:tcPr>
          <w:p>
            <w:pPr>
              <w:spacing w:after="0"/>
            </w:pPr>
            <w:r>
              <w:t xml:space="preserve">3.0 / 0.6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680"/>
            <w:tcMar>
              <w:top w:type="dxa" w:w="60"/>
              <w:left w:type="dxa" w:w="90"/>
              <w:bottom w:type="dxa" w:w="60"/>
              <w:right w:type="dxa" w:w="90"/>
            </w:tcMar>
          </w:tcPr>
          <w:p>
            <w:pPr>
              <w:spacing w:after="0"/>
            </w:pPr>
            <w:r>
              <w:t xml:space="preserve">60.0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680"/>
            <w:tcMar>
              <w:top w:type="dxa" w:w="60"/>
              <w:left w:type="dxa" w:w="90"/>
              <w:bottom w:type="dxa" w:w="60"/>
              <w:right w:type="dxa" w:w="90"/>
            </w:tcMar>
          </w:tcPr>
          <w:p>
            <w:pPr>
              <w:spacing w:after="0"/>
            </w:pPr>
            <w:r>
              <w:t xml:space="preserve">0.50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680"/>
            <w:tcMar>
              <w:top w:type="dxa" w:w="60"/>
              <w:left w:type="dxa" w:w="90"/>
              <w:bottom w:type="dxa" w:w="60"/>
              <w:right w:type="dxa" w:w="90"/>
            </w:tcMar>
          </w:tcPr>
          <w:p>
            <w:pPr>
              <w:spacing w:after="0"/>
            </w:pPr>
            <w:r>
              <w:t xml:space="preserve">0.88</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680"/>
            <w:tcMar>
              <w:top w:type="dxa" w:w="60"/>
              <w:left w:type="dxa" w:w="90"/>
              <w:bottom w:type="dxa" w:w="60"/>
              <w:right w:type="dxa" w:w="90"/>
            </w:tcMar>
          </w:tcPr>
          <w:p>
            <w:pPr>
              <w:spacing w:after="0"/>
            </w:pPr>
            <w:r>
              <w:t xml:space="preserve">0.82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680"/>
            <w:tcMar>
              <w:top w:type="dxa" w:w="60"/>
              <w:left w:type="dxa" w:w="90"/>
              <w:bottom w:type="dxa" w:w="60"/>
              <w:right w:type="dxa" w:w="90"/>
            </w:tcMar>
          </w:tcPr>
          <w:p>
            <w:pPr>
              <w:spacing w:after="0"/>
            </w:pPr>
            <w:r>
              <w:t xml:space="preserve">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680"/>
            <w:tcMar>
              <w:top w:type="dxa" w:w="60"/>
              <w:left w:type="dxa" w:w="90"/>
              <w:bottom w:type="dxa" w:w="60"/>
              <w:right w:type="dxa" w:w="90"/>
            </w:tcMar>
          </w:tcPr>
          <w:p>
            <w:pPr>
              <w:spacing w:after="0"/>
            </w:pPr>
            <w:r>
              <w:t xml:space="preserve">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680"/>
            <w:tcMar>
              <w:top w:type="dxa" w:w="60"/>
              <w:left w:type="dxa" w:w="90"/>
              <w:bottom w:type="dxa" w:w="60"/>
              <w:right w:type="dxa" w:w="90"/>
            </w:tcMar>
          </w:tcPr>
          <w:p>
            <w:pPr>
              <w:spacing w:after="0"/>
            </w:pPr>
            <w:r>
              <w:t xml:space="preserve">2.5 s / 12 / 0.5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680"/>
            <w:tcMar>
              <w:top w:type="dxa" w:w="60"/>
              <w:left w:type="dxa" w:w="90"/>
              <w:bottom w:type="dxa" w:w="60"/>
              <w:right w:type="dxa" w:w="90"/>
            </w:tcMar>
          </w:tcPr>
          <w:p>
            <w:pPr>
              <w:spacing w:after="0"/>
            </w:pPr>
            <w:r>
              <w:t xml:space="preserve">0.20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680"/>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680"/>
            <w:tcMar>
              <w:top w:type="dxa" w:w="60"/>
              <w:left w:type="dxa" w:w="90"/>
              <w:bottom w:type="dxa" w:w="60"/>
              <w:right w:type="dxa" w:w="90"/>
            </w:tcMar>
          </w:tcPr>
          <w:p>
            <w:pPr>
              <w:spacing w:after="0"/>
            </w:pPr>
            <w:r>
              <w:t xml:space="preserve">8 / 5</w:t>
            </w:r>
          </w:p>
        </w:tc>
      </w:tr>
      <w:tr>
        <w:trPr>
          <w:tblHeader w:val="false"/>
        </w:trPr>
        <w:tc>
          <w:tcPr>
            <w:tcW w:type="dxa" w:w="4680"/>
            <w:tcMar>
              <w:top w:type="dxa" w:w="60"/>
              <w:left w:type="dxa" w:w="90"/>
              <w:bottom w:type="dxa" w:w="60"/>
              <w:right w:type="dxa" w:w="90"/>
            </w:tcMar>
          </w:tcPr>
          <w:p>
            <w:pPr>
              <w:spacing w:after="0"/>
            </w:pPr>
            <w:r>
              <w:t xml:space="preserve">Agreement tiers</w:t>
            </w:r>
          </w:p>
        </w:tc>
        <w:tc>
          <w:tcPr>
            <w:tcW w:type="dxa" w:w="4680"/>
            <w:tcMar>
              <w:top w:type="dxa" w:w="60"/>
              <w:left w:type="dxa" w:w="90"/>
              <w:bottom w:type="dxa" w:w="60"/>
              <w:right w:type="dxa" w:w="90"/>
            </w:tcMar>
          </w:tcPr>
          <w:p>
            <w:pPr>
              <w:spacing w:after="0"/>
            </w:pPr>
            <w:r>
              <w:t xml:space="preserve">high ≥ 0.75, moderate ≥ 0.50, low &lt; 0.50</w:t>
            </w:r>
          </w:p>
        </w:tc>
      </w:tr>
      <w:tr>
        <w:trPr>
          <w:tblHeader w:val="false"/>
        </w:trPr>
        <w:tc>
          <w:tcPr>
            <w:tcW w:type="dxa" w:w="4680"/>
            <w:tcMar>
              <w:top w:type="dxa" w:w="60"/>
              <w:left w:type="dxa" w:w="90"/>
              <w:bottom w:type="dxa" w:w="60"/>
              <w:right w:type="dxa" w:w="90"/>
            </w:tcMar>
          </w:tcPr>
          <w:p>
            <w:pPr>
              <w:spacing w:after="0"/>
            </w:pPr>
            <w:r>
              <w:t xml:space="preserve">Benchmark frames / decoding</w:t>
            </w:r>
          </w:p>
        </w:tc>
        <w:tc>
          <w:tcPr>
            <w:tcW w:type="dxa" w:w="4680"/>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4680"/>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680"/>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w:t>
      </w:r>
    </w:p>
    <w:p>
      <w:pPr>
        <w:spacing w:after="140" w:line="276"/>
        <w:jc w:val="both"/>
      </w:pPr>
      <w:r>
        <w:t xml:space="preserve">The corpus totals </w:t>
      </w:r>
      <w:r>
        <w:rPr>
          <w:b/>
          <w:bCs/>
        </w:rPr>
        <w:t xml:space="preserve">5.09 h</w:t>
      </w:r>
      <w:r>
        <w:t xml:space="preserve"> (18,312 s) across 626 clips, at a mean clip length of 29.25 s — 579 clips run the full 30 s, and the 47 trailing fragments average 20.0 s, which accounts for the 468 s shortfall against a nominal 626 × 30 s.</w:t>
      </w:r>
    </w:p>
    <w:p>
      <w:pPr>
        <w:spacing w:after="140" w:line="276"/>
        <w:jc w:val="both"/>
      </w:pPr>
      <w:r>
        <w:t xml:space="preserve">Clips per programme range 8–22 (mean 13.3, median 12, SD 3.1), with most programmes at 11–13. The shortest are </w:t>
      </w:r>
      <w:r>
        <w:rPr>
          <w:i/>
          <w:iCs/>
        </w:rPr>
        <w:t xml:space="preserve">REFRESH – PSNI Young Digital Team</w:t>
      </w:r>
      <w:r>
        <w:t xml:space="preserve"> (8) and </w:t>
      </w:r>
      <w:r>
        <w:rPr>
          <w:i/>
          <w:iCs/>
        </w:rPr>
        <w:t xml:space="preserve">Adrian Ismay Vigil</w:t>
      </w:r>
      <w:r>
        <w:t xml:space="preserve"> (9); the longest are </w:t>
      </w:r>
      <w:r>
        <w:rPr>
          <w:i/>
          <w:iCs/>
        </w:rPr>
        <w:t xml:space="preserve">Political Special</w:t>
      </w:r>
      <w:r>
        <w:t xml:space="preserve"> (22) and </w:t>
      </w:r>
      <w:r>
        <w:rPr>
          <w:i/>
          <w:iCs/>
        </w:rPr>
        <w:t xml:space="preserve">Tourette Alliance First Annual Conference</w:t>
      </w:r>
      <w:r>
        <w:t xml:space="preserve"> (21). Because clips are a fixed 30 s, this distribution is a direct proxy for programme length: the corpus is short-form, and no single programme dominates it. </w:t>
      </w:r>
      <w:r>
        <w:rPr>
          <w:b/>
          <w:bCs/>
          <w:highlight w:val="yellow"/>
          <w:highlightCs w:val="yellow"/>
        </w:rPr>
        <w:t xml:space="preserve">`[TO FILL: full table — title, duration, clip count, split.]`</w:t>
      </w: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III (</w:t>
      </w:r>
      <w:r>
        <w:rPr>
          <w:i/>
          <w:iCs/>
        </w:rPr>
        <w:t xml:space="preserve">n</w:t>
      </w:r>
      <w:r>
        <w:t xml:space="preserve"> = 8). Note when citing the OCR column that </w:t>
      </w:r>
      <w:r>
        <w:rPr>
          <w:rFonts w:ascii="Consolas" w:cs="Consolas" w:eastAsia="Consolas" w:hAnsi="Consolas"/>
          <w:sz w:val="18"/>
          <w:szCs w:val="18"/>
        </w:rPr>
        <w:t xml:space="preserve">aggregate_temporal_ocr</w:t>
      </w:r>
      <w:r>
        <w:t xml:space="preserve"> derives its persistence threshold from the frame count (</w:t>
      </w:r>
      <w:r>
        <w:rPr>
          <w:rFonts w:ascii="Consolas" w:cs="Consolas" w:eastAsia="Consolas" w:hAnsi="Consolas"/>
          <w:sz w:val="18"/>
          <w:szCs w:val="18"/>
        </w:rPr>
        <w:t xml:space="preserve">required_frames = 1 if len(frame_outputs) == 1 else min(ocr_min_frame_occurrences, n)</w:t>
      </w:r>
      <w:r>
        <w:t xml:space="preserve">), so the centre-frame count is unfiltered and the other two are filtered at two occurrences. Only the fixed-three and scene-aware figures are directly comparable.</w:t>
      </w:r>
    </w:p>
    <w:p>
      <w:pPr>
        <w:pStyle w:val="ListParagraph"/>
        <w:numPr>
          <w:ilvl w:val="0"/>
          <w:numId w:val="1"/>
        </w:numPr>
        <w:spacing w:after="90" w:line="276"/>
      </w:pPr>
      <w:r>
        <w:rPr>
          <w:b/>
          <w:bCs/>
        </w:rPr>
        <w:t xml:space="preserve">D.2</w:t>
      </w:r>
      <w:r>
        <w:t xml:space="preserve"> Perturbation robustness — paper Table IV (</w:t>
      </w:r>
      <w:r>
        <w:rPr>
          <w:i/>
          <w:iCs/>
        </w:rPr>
        <w:t xml:space="preserve">n</w:t>
      </w:r>
      <w:r>
        <w:t xml:space="preserve"> = 5).</w:t>
      </w:r>
    </w:p>
    <w:p>
      <w:pPr>
        <w:pStyle w:val="ListParagraph"/>
        <w:numPr>
          <w:ilvl w:val="0"/>
          <w:numId w:val="1"/>
        </w:numPr>
        <w:spacing w:after="90" w:line="276"/>
      </w:pPr>
      <w:r>
        <w:rPr>
          <w:b/>
          <w:bCs/>
        </w:rPr>
        <w:t xml:space="preserve">D.3</w:t>
      </w:r>
      <w:r>
        <w:t xml:space="preserve"> Hosted-annotator ablation — paper Table V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 (</w:t>
      </w:r>
      <w:r>
        <w:rPr>
          <w:i/>
          <w:iCs/>
        </w:rPr>
        <w:t xml:space="preserve">n</w:t>
      </w:r>
      <w:r>
        <w:t xml:space="preserve"> = 626, 21,489 scores).</w:t>
      </w:r>
    </w:p>
    <w:p>
      <w:pPr>
        <w:pStyle w:val="ListParagraph"/>
        <w:numPr>
          <w:ilvl w:val="0"/>
          <w:numId w:val="1"/>
        </w:numPr>
        <w:spacing w:after="90" w:line="276"/>
      </w:pPr>
      <w:r>
        <w:rPr>
          <w:b/>
          <w:bCs/>
        </w:rPr>
        <w:t xml:space="preserve">D.5</w:t>
      </w:r>
      <w:r>
        <w:t xml:space="preserve"> Per-field agreement distribution — </w:t>
      </w:r>
      <w:r>
        <w:rPr>
          <w:b/>
          <w:bCs/>
          <w:highlight w:val="yellow"/>
          <w:highlightCs w:val="yellow"/>
        </w:rPr>
        <w:t xml:space="preserve">`[TO FILL]`</w:t>
      </w:r>
      <w:r>
        <w:t xml:space="preserve">.</w:t>
      </w:r>
    </w:p>
    <w:p>
      <w:pPr>
        <w:pStyle w:val="ListParagraph"/>
        <w:numPr>
          <w:ilvl w:val="0"/>
          <w:numId w:val="1"/>
        </w:numPr>
        <w:spacing w:after="90" w:line="276"/>
      </w:pPr>
      <w:r>
        <w:rPr>
          <w:b/>
          <w:bCs/>
        </w:rPr>
        <w:t xml:space="preserve">D.6</w:t>
      </w:r>
      <w:r>
        <w:t xml:space="preserve"> Benchmark coverage — 626/626 on free-text and tag fields for five models; 625 (Qwen3-VL-2B-Instruct) and 624 (-2B-Thinking); people count 566–568/626.</w:t>
      </w:r>
    </w:p>
    <w:p>
      <w:pPr>
        <w:pStyle w:val="ListParagraph"/>
        <w:numPr>
          <w:ilvl w:val="0"/>
          <w:numId w:val="1"/>
        </w:numPr>
        <w:spacing w:after="90" w:line="276"/>
      </w:pPr>
      <w:r>
        <w:rPr>
          <w:b/>
          <w:bCs/>
        </w:rPr>
        <w:t xml:space="preserve">D.7</w:t>
      </w:r>
      <w:r>
        <w:t xml:space="preserve"> Transcript field — exactly 0.000 for InternVL3-2B, Qwen3-VL-4B-Instruct and Qwen3-VL-8B-Instruct; 0.013–0.034 for the rest.</w:t>
      </w:r>
    </w:p>
    <w:p>
      <w:pPr>
        <w:pStyle w:val="ListParagraph"/>
        <w:numPr>
          <w:ilvl w:val="0"/>
          <w:numId w:val="1"/>
        </w:numPr>
        <w:spacing w:after="90" w:line="276"/>
      </w:pPr>
      <w:r>
        <w:rPr>
          <w:b/>
          <w:bCs/>
        </w:rPr>
        <w:t xml:space="preserve">D.8</w:t>
      </w:r>
      <w:r>
        <w:t xml:space="preserve"> Per-model agreement-tier charts — Section 11 of </w:t>
      </w:r>
      <w:r>
        <w:rPr>
          <w:rFonts w:ascii="Consolas" w:cs="Consolas" w:eastAsia="Consolas" w:hAnsi="Consolas"/>
          <w:sz w:val="18"/>
          <w:szCs w:val="18"/>
        </w:rPr>
        <w:t xml:space="preserve">02_vlm_benchmark_run.ipynb</w:t>
      </w:r>
      <w:r>
        <w:t xml:space="preserve"> writes one PNG per model (</w:t>
      </w:r>
      <w:r>
        <w:rPr>
          <w:rFonts w:ascii="Consolas" w:cs="Consolas" w:eastAsia="Consolas" w:hAnsi="Consolas"/>
          <w:sz w:val="18"/>
          <w:szCs w:val="18"/>
        </w:rPr>
        <w:t xml:space="preserve">&lt;model&gt;_vs_agreement_tier.png</w:t>
      </w:r>
      <w:r>
        <w:t xml:space="preserve">). </w:t>
      </w:r>
      <w:r>
        <w:rPr>
          <w:b/>
          <w:bCs/>
          <w:highlight w:val="yellow"/>
          <w:highlightCs w:val="yellow"/>
        </w:rPr>
        <w:t xml:space="preserve">`[TO FILL: the sampled rows carry `agreement_tier = not_scored`. Check whether enough fields are tiered for these charts to say anything; if most rows are `not_scored`, report that as the finding and drop the charts.]`</w:t>
      </w:r>
    </w:p>
    <w:p>
      <w:pPr>
        <w:pStyle w:val="Heading2"/>
        <w:spacing w:after="140" w:before="260"/>
      </w:pPr>
      <w:r>
        <w:rPr>
          <w:b/>
          <w:bCs/>
          <w:sz w:val="24"/>
          <w:szCs w:val="24"/>
        </w:rPr>
        <w:t xml:space="preserve">Appendix E — Qualitative Spot-Checks</w:t>
      </w:r>
    </w:p>
    <w:p>
      <w:pPr>
        <w:spacing w:after="140" w:line="276"/>
        <w:jc w:val="both"/>
      </w:pPr>
      <w:r>
        <w:t xml:space="preserve">From Section 12 of </w:t>
      </w:r>
      <w:r>
        <w:rPr>
          <w:rFonts w:ascii="Consolas" w:cs="Consolas" w:eastAsia="Consolas" w:hAnsi="Consolas"/>
          <w:sz w:val="18"/>
          <w:szCs w:val="18"/>
        </w:rPr>
        <w:t xml:space="preserve">02_vlm_benchmark_run.ipynb</w:t>
      </w:r>
      <w:r>
        <w:t xml:space="preserve">, which prints the reference metadata beside every model's prediction. Two clips are reproduced here because each shows something the aggregate tables cannot.</w:t>
      </w:r>
    </w:p>
    <w:p>
      <w:pPr>
        <w:spacing w:after="140" w:line="276"/>
        <w:jc w:val="both"/>
      </w:pPr>
      <w:r>
        <w:rPr>
          <w:b/>
          <w:bCs/>
        </w:rPr>
        <w:t xml:space="preserve">E.1 — `11_Poor_Mental_Health_on_Peace_Lines_150416…clip0003`: the OCR veto's false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Source</w:t>
            </w:r>
          </w:p>
        </w:tc>
        <w:tc>
          <w:tcPr>
            <w:tcW w:type="dxa" w:w="4680"/>
            <w:shd w:fill="EFEFEF" w:color="auto" w:val="clear"/>
            <w:tcMar>
              <w:top w:type="dxa" w:w="60"/>
              <w:left w:type="dxa" w:w="90"/>
              <w:bottom w:type="dxa" w:w="60"/>
              <w:right w:type="dxa" w:w="90"/>
            </w:tcMar>
          </w:tcPr>
          <w:p>
            <w:pPr>
              <w:spacing w:after="0"/>
            </w:pPr>
            <w:r>
              <w:rPr>
                <w:b/>
                <w:bCs/>
              </w:rPr>
              <w:t xml:space="preserve">On-screen text</w:t>
            </w:r>
          </w:p>
        </w:tc>
      </w:tr>
      <w:tr>
        <w:trPr>
          <w:tblHeader w:val="false"/>
        </w:trPr>
        <w:tc>
          <w:tcPr>
            <w:tcW w:type="dxa" w:w="4680"/>
            <w:tcMar>
              <w:top w:type="dxa" w:w="60"/>
              <w:left w:type="dxa" w:w="90"/>
              <w:bottom w:type="dxa" w:w="60"/>
              <w:right w:type="dxa" w:w="90"/>
            </w:tcMar>
          </w:tcPr>
          <w:p>
            <w:pPr>
              <w:spacing w:after="0"/>
            </w:pPr>
            <w:r>
              <w:t xml:space="preserve">Reference (pipeline)</w:t>
            </w:r>
          </w:p>
        </w:tc>
        <w:tc>
          <w:tcPr>
            <w:tcW w:type="dxa" w:w="4680"/>
            <w:tcMar>
              <w:top w:type="dxa" w:w="60"/>
              <w:left w:type="dxa" w:w="90"/>
              <w:bottom w:type="dxa" w:w="60"/>
              <w:right w:type="dxa" w:w="90"/>
            </w:tcMar>
          </w:tcPr>
          <w:p>
            <w:pPr>
              <w:spacing w:after="0"/>
            </w:pPr>
            <w:r>
              <w:rPr>
                <w:i/>
                <w:iCs/>
              </w:rPr>
              <w:t xml:space="preserve">(empty)</w:t>
            </w:r>
          </w:p>
        </w:tc>
      </w:tr>
      <w:tr>
        <w:trPr>
          <w:tblHeader w:val="false"/>
        </w:trPr>
        <w:tc>
          <w:tcPr>
            <w:tcW w:type="dxa" w:w="4680"/>
            <w:tcMar>
              <w:top w:type="dxa" w:w="60"/>
              <w:left w:type="dxa" w:w="90"/>
              <w:bottom w:type="dxa" w:w="60"/>
              <w:right w:type="dxa" w:w="90"/>
            </w:tcMar>
          </w:tcPr>
          <w:p>
            <w:pPr>
              <w:spacing w:after="0"/>
            </w:pPr>
            <w:r>
              <w:t xml:space="preserve">InternVL3-2B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InternVL3-8B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NVTW BELFAST LOCAL TELEVISION</w:t>
            </w:r>
          </w:p>
        </w:tc>
      </w:tr>
      <w:tr>
        <w:trPr>
          <w:tblHeader w:val="false"/>
        </w:trPr>
        <w:tc>
          <w:tcPr>
            <w:tcW w:type="dxa" w:w="4680"/>
            <w:tcMar>
              <w:top w:type="dxa" w:w="60"/>
              <w:left w:type="dxa" w:w="90"/>
              <w:bottom w:type="dxa" w:w="60"/>
              <w:right w:type="dxa" w:w="90"/>
            </w:tcMar>
          </w:tcPr>
          <w:p>
            <w:pPr>
              <w:spacing w:after="0"/>
            </w:pPr>
            <w:r>
              <w:t xml:space="preserve">Qwen3-VL-2B-Instruct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Qwen3-VL-2B-Thinking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Qwen3-VL-8B-Instruct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NVTY</w:t>
            </w:r>
            <w:r>
              <w:t xml:space="preserve">, </w:t>
            </w:r>
            <w:r>
              <w:rPr>
                <w:rFonts w:ascii="Consolas" w:cs="Consolas" w:eastAsia="Consolas" w:hAnsi="Consolas"/>
                <w:sz w:val="18"/>
                <w:szCs w:val="18"/>
              </w:rPr>
              <w:t xml:space="preserve">BELFAST LOCAL TELEVISION</w:t>
            </w:r>
          </w:p>
        </w:tc>
      </w:tr>
    </w:tbl>
    <w:p>
      <w:pPr>
        <w:spacing w:after="160"/>
      </w:pPr>
    </w:p>
    <w:p>
      <w:pPr>
        <w:spacing w:after="140" w:line="276"/>
        <w:jc w:val="both"/>
      </w:pPr>
      <w:r>
        <w:t xml:space="preserve">All seven models read the station ident; the published reference is empty. Disagreement between them is confined to one character of the call sign. The text was on screen and the strict dual-engine rule rejected it — the clearest available illustration of what the veto costs, and a case where every model is penalised by ROUGE-L for being more accurate than the reference.</w:t>
      </w:r>
    </w:p>
    <w:p>
      <w:pPr>
        <w:spacing w:after="140" w:line="276"/>
        <w:jc w:val="both"/>
      </w:pPr>
      <w:r>
        <w:t xml:space="preserve">The same clip also shows the keyword modality mismatch. Reference (from the transcript): </w:t>
      </w:r>
      <w:r>
        <w:rPr>
          <w:rFonts w:ascii="Consolas" w:cs="Consolas" w:eastAsia="Consolas" w:hAnsi="Consolas"/>
          <w:sz w:val="18"/>
          <w:szCs w:val="18"/>
        </w:rPr>
        <w:t xml:space="preserve">medication</w:t>
      </w:r>
      <w:r>
        <w:t xml:space="preserve">, </w:t>
      </w:r>
      <w:r>
        <w:rPr>
          <w:rFonts w:ascii="Consolas" w:cs="Consolas" w:eastAsia="Consolas" w:hAnsi="Consolas"/>
          <w:sz w:val="18"/>
          <w:szCs w:val="18"/>
        </w:rPr>
        <w:t xml:space="preserve">population</w:t>
      </w:r>
      <w:r>
        <w:t xml:space="preserve">, </w:t>
      </w:r>
      <w:r>
        <w:rPr>
          <w:rFonts w:ascii="Consolas" w:cs="Consolas" w:eastAsia="Consolas" w:hAnsi="Consolas"/>
          <w:sz w:val="18"/>
          <w:szCs w:val="18"/>
        </w:rPr>
        <w:t xml:space="preserve">Northern Ireland</w:t>
      </w:r>
      <w:r>
        <w:t xml:space="preserve">, </w:t>
      </w:r>
      <w:r>
        <w:rPr>
          <w:rFonts w:ascii="Consolas" w:cs="Consolas" w:eastAsia="Consolas" w:hAnsi="Consolas"/>
          <w:sz w:val="18"/>
          <w:szCs w:val="18"/>
        </w:rPr>
        <w:t xml:space="preserve">peaceline areas</w:t>
      </w:r>
      <w:r>
        <w:t xml:space="preserve">. Models (from frames):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talk show format</w:t>
      </w:r>
      <w:r>
        <w:t xml:space="preserve">, </w:t>
      </w:r>
      <w:r>
        <w:rPr>
          <w:rFonts w:ascii="Consolas" w:cs="Consolas" w:eastAsia="Consolas" w:hAnsi="Consolas"/>
          <w:sz w:val="18"/>
          <w:szCs w:val="18"/>
        </w:rPr>
        <w:t xml:space="preserve">studio audience</w:t>
      </w:r>
      <w:r>
        <w:t xml:space="preserve">, </w:t>
      </w:r>
      <w:r>
        <w:rPr>
          <w:rFonts w:ascii="Consolas" w:cs="Consolas" w:eastAsia="Consolas" w:hAnsi="Consolas"/>
          <w:sz w:val="18"/>
          <w:szCs w:val="18"/>
        </w:rPr>
        <w:t xml:space="preserve">Belfast cityscape</w:t>
      </w:r>
      <w:r>
        <w:t xml:space="preserve">. Both are correct descriptions of different modalities of the same 30 seconds.</w:t>
      </w:r>
    </w:p>
    <w:p>
      <w:pPr>
        <w:spacing w:after="140" w:line="276"/>
        <w:jc w:val="both"/>
      </w:pPr>
      <w:r>
        <w:t xml:space="preserve">And the transcript field: against a 90-word reference on a population-wide medication study, InternVL3-2B, InternVL3-8B, Qwen3-VL-4B-Instruct and Qwen3-VL-8B-Instruct returned an empty string, while the three Qwen variants that did answer produced generic visual paraphrase — </w:t>
      </w:r>
      <w:r>
        <w:rPr>
          <w:i/>
          <w:iCs/>
        </w:rPr>
        <w:t xml:space="preserve">"The interviewer is asking a question about local issues."</w:t>
      </w:r>
      <w:r>
        <w:t xml:space="preserve"> Neither behaviour recovers the content; only the first is honest about it.</w:t>
      </w:r>
    </w:p>
    <w:p>
      <w:pPr>
        <w:spacing w:after="140" w:line="276"/>
        <w:jc w:val="both"/>
      </w:pPr>
      <w:r>
        <w:rPr>
          <w:b/>
          <w:bCs/>
        </w:rPr>
        <w:t xml:space="preserve">E.2 — `20_Writers_on_Writers_Festival_100516…clip0004`: reference fragmentation, and a Whisper failure.</w:t>
      </w:r>
    </w:p>
    <w:p>
      <w:pPr>
        <w:spacing w:after="140" w:line="276"/>
        <w:jc w:val="both"/>
      </w:pPr>
      <w:r>
        <w:t xml:space="preserve">The reference on-screen text is the single fragment </w:t>
      </w:r>
      <w:r>
        <w:rPr>
          <w:rFonts w:ascii="Consolas" w:cs="Consolas" w:eastAsia="Consolas" w:hAnsi="Consolas"/>
          <w:sz w:val="18"/>
          <w:szCs w:val="18"/>
        </w:rPr>
        <w:t xml:space="preserve">TIVAL</w:t>
      </w:r>
      <w:r>
        <w:t xml:space="preserve"> — the tail of "FESTIVAL" caught by the dual-engine rule. The models returned the theatre poster in the frame: </w:t>
      </w:r>
      <w:r>
        <w:rPr>
          <w:i/>
          <w:iCs/>
        </w:rPr>
        <w:t xml:space="preserve">THE BELLE OF THE BELFAST CITY</w:t>
      </w:r>
      <w:r>
        <w:t xml:space="preserve">, </w:t>
      </w:r>
      <w:r>
        <w:rPr>
          <w:i/>
          <w:iCs/>
        </w:rPr>
        <w:t xml:space="preserve">BY CHRISTINA REID</w:t>
      </w:r>
      <w:r>
        <w:t xml:space="preserve">, director, designer, ticket prices, run dates and the box-office number. Qwen3-VL-8B-Instruct additionally recovered a pull-quote. Recall against </w:t>
      </w:r>
      <w:r>
        <w:rPr>
          <w:rFonts w:ascii="Consolas" w:cs="Consolas" w:eastAsia="Consolas" w:hAnsi="Consolas"/>
          <w:sz w:val="18"/>
          <w:szCs w:val="18"/>
        </w:rPr>
        <w:t xml:space="preserve">TIVAL</w:t>
      </w:r>
      <w:r>
        <w:t xml:space="preserve"> cannot express any of this.</w:t>
      </w:r>
    </w:p>
    <w:p>
      <w:pPr>
        <w:spacing w:after="140" w:line="276"/>
        <w:jc w:val="both"/>
      </w:pPr>
      <w:r>
        <w:t xml:space="preserve">This clip also contains the fairness evidence discussed in §6.3. The reference keywords are </w:t>
      </w:r>
      <w:r>
        <w:rPr>
          <w:rFonts w:ascii="Consolas" w:cs="Consolas" w:eastAsia="Consolas" w:hAnsi="Consolas"/>
          <w:sz w:val="18"/>
          <w:szCs w:val="18"/>
        </w:rPr>
        <w:t xml:space="preserve">Reid</w:t>
      </w:r>
      <w:r>
        <w:t xml:space="preserve">, </w:t>
      </w:r>
      <w:r>
        <w:rPr>
          <w:rFonts w:ascii="Consolas" w:cs="Consolas" w:eastAsia="Consolas" w:hAnsi="Consolas"/>
          <w:sz w:val="18"/>
          <w:szCs w:val="18"/>
        </w:rPr>
        <w:t xml:space="preserve">Christina Reid</w:t>
      </w:r>
      <w:r>
        <w:t xml:space="preserve">, </w:t>
      </w:r>
      <w:r>
        <w:rPr>
          <w:rFonts w:ascii="Consolas" w:cs="Consolas" w:eastAsia="Consolas" w:hAnsi="Consolas"/>
          <w:sz w:val="18"/>
          <w:szCs w:val="18"/>
        </w:rPr>
        <w:t xml:space="preserve">Belfast Street</w:t>
      </w:r>
      <w:r>
        <w:t xml:space="preserv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w:t>
      </w:r>
      <w:r>
        <w:rPr>
          <w:rFonts w:ascii="Consolas" w:cs="Consolas" w:eastAsia="Consolas" w:hAnsi="Consolas"/>
          <w:sz w:val="18"/>
          <w:szCs w:val="18"/>
        </w:rPr>
        <w:t xml:space="preserve">custinia rheidd</w:t>
      </w:r>
      <w:r>
        <w:t xml:space="preserve"> — the last three Welsh-looking strings produced by Whisper on Northern Irish accented English, then carried into the published keyword field by all three keyword extractors without any source disagreeing.</w:t>
      </w:r>
    </w:p>
    <w:p>
      <w:pPr>
        <w:spacing w:after="140" w:line="276"/>
        <w:jc w:val="both"/>
      </w:pPr>
      <w:r>
        <w:t xml:space="preserve">People count on this clip is the opposite case: reference 1, and all seven models 1. Where the evidence is unambiguous, independent systems converge exactly — which is the premise the whole agreement design rests on.</w:t>
      </w:r>
    </w:p>
    <w:p>
      <w:pPr>
        <w:spacing w:after="140" w:line="276"/>
        <w:jc w:val="both"/>
      </w:pPr>
      <w:r>
        <w:rPr>
          <w:b/>
          <w:bCs/>
          <w:highlight w:val="yellow"/>
          <w:highlightCs w:val="yellow"/>
        </w:rPr>
        <w:t xml:space="preserve">`[TO FILL: add 3–4 more clips, chosen to include at least one where the hosted annotator changed the published visual tags (paper §IV-F), since that is the most consequential unresolved result and the aggregate numbers cannot settle it.]`</w:t>
      </w:r>
    </w:p>
    <w:p>
      <w:pPr>
        <w:pStyle w:val="Heading2"/>
        <w:spacing w:after="140" w:before="260"/>
      </w:pPr>
      <w:r>
        <w:rPr>
          <w:b/>
          <w:bCs/>
          <w:sz w:val="24"/>
          <w:szCs w:val="24"/>
        </w:rPr>
        <w:t xml:space="preserve">Appendix F — Reproduction</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2026-09-17T18:32:39.138Z</dcterms:created>
  <dcterms:modified xsi:type="dcterms:W3CDTF">2026-09-17T18:32:39.138Z</dcterms:modified>
</cp:coreProperties>
</file>

<file path=docProps/custom.xml><?xml version="1.0" encoding="utf-8"?>
<Properties xmlns="http://schemas.openxmlformats.org/officeDocument/2006/custom-properties" xmlns:vt="http://schemas.openxmlformats.org/officeDocument/2006/docPropsVTypes"/>
</file>