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44"/>
          <w:szCs w:val="44"/>
        </w:rPr>
        <w:t xml:space="preserve">Supporting Materials</w:t>
      </w:r>
    </w:p>
    <w:p>
      <w:pPr>
        <w:spacing w:after="100"/>
        <w:jc w:val="center"/>
      </w:pPr>
      <w:r>
        <w:rPr>
          <w:sz w:val="28"/>
          <w:szCs w:val="28"/>
        </w:rPr>
        <w:t xml:space="preserve">Reliability-Aware Multi-Model Metadata Generation for Archival Community Television</w:t>
      </w:r>
    </w:p>
    <w:p>
      <w:pPr>
        <w:spacing w:after="320"/>
        <w:jc w:val="center"/>
      </w:pPr>
      <w:r>
        <w:rPr>
          <w:color w:val="555555"/>
          <w:sz w:val="20"/>
          <w:szCs w:val="20"/>
        </w:rPr>
        <w:t xml:space="preserve">NVTV public archive · Saurav Vijay · MSc Artificial Intelligence · Queen's University Belfast</w:t>
      </w:r>
    </w:p>
    <w:p>
      <w:pPr>
        <w:spacing w:after="160" w:before="200"/>
      </w:pPr>
      <w:r>
        <w:rPr>
          <w:b/>
          <w:bCs/>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20"/>
      </w:pPr>
      <w:r>
        <w:rPr>
          <w:i/>
          <w:iCs/>
          <w:color w:val="777777"/>
          <w:sz w:val="18"/>
          <w:szCs w:val="18"/>
        </w:rPr>
        <w:t xml:space="preserve">Right-click the contents field in Word and choose "Update Field" to populate it.</w:t>
      </w:r>
    </w:p>
    <w:p>
      <w:pPr>
        <w:pStyle w:val="Heading1"/>
        <w:spacing w:after="140" w:before="400"/>
      </w:pPr>
      <w:r>
        <w:rPr>
          <w:b/>
          <w:bCs/>
          <w:sz w:val="28"/>
          <w:szCs w:val="28"/>
        </w:rPr>
        <w:t xml:space="preserve">1. Extended Literature and Context</w:t>
      </w:r>
    </w:p>
    <w:p>
      <w:pPr>
        <w:pStyle w:val="Heading2"/>
        <w:spacing w:after="140" w:before="260"/>
      </w:pPr>
      <w:r>
        <w:rPr>
          <w:b/>
          <w:bCs/>
          <w:sz w:val="24"/>
          <w:szCs w:val="24"/>
        </w:rPr>
        <w:t xml:space="preserve">1.1 Scope and Method</w:t>
      </w:r>
    </w:p>
    <w:p>
      <w:pPr>
        <w:spacing w:after="140" w:line="276"/>
        <w:jc w:val="both"/>
      </w:pPr>
      <w:r>
        <w:t xml:space="preserve">The paper's related-work section is held to approximately one page and cites only what the contribution directly stands on. This section widens it across five areas: archival and broadcast video indexing; foundation models as zero-shot annotators; consensus and weak supervision; reliability and agreement estimation; and vision-language models for video description.</w:t>
      </w:r>
    </w:p>
    <w:p>
      <w:pPr>
        <w:spacing w:after="140" w:line="276"/>
        <w:jc w:val="both"/>
      </w:pPr>
      <w:r>
        <w:t xml:space="preserve">Sources were identified through Google Scholar, IEEE Xplore, the ACM Digital Library and the ACL Anthology, using combinations of </w:t>
      </w:r>
      <w:r>
        <w:rPr>
          <w:i/>
          <w:iCs/>
        </w:rPr>
        <w:t xml:space="preserve">archival video</w:t>
      </w:r>
      <w:r>
        <w:t xml:space="preserve">, </w:t>
      </w:r>
      <w:r>
        <w:rPr>
          <w:i/>
          <w:iCs/>
        </w:rPr>
        <w:t xml:space="preserve">audiovisual metadata</w:t>
      </w:r>
      <w:r>
        <w:t xml:space="preserve">, </w:t>
      </w:r>
      <w:r>
        <w:rPr>
          <w:i/>
          <w:iCs/>
        </w:rPr>
        <w:t xml:space="preserve">archival description</w:t>
      </w:r>
      <w:r>
        <w:t xml:space="preserve">, </w:t>
      </w:r>
      <w:r>
        <w:rPr>
          <w:i/>
          <w:iCs/>
        </w:rPr>
        <w:t xml:space="preserve">zero-shot annotation</w:t>
      </w:r>
      <w:r>
        <w:t xml:space="preserve">, </w:t>
      </w:r>
      <w:r>
        <w:rPr>
          <w:i/>
          <w:iCs/>
        </w:rPr>
        <w:t xml:space="preserve">weak supervision</w:t>
      </w:r>
      <w:r>
        <w:t xml:space="preserve">, </w:t>
      </w:r>
      <w:r>
        <w:rPr>
          <w:i/>
          <w:iCs/>
        </w:rPr>
        <w:t xml:space="preserve">model consensus</w:t>
      </w:r>
      <w:r>
        <w:t xml:space="preserve">, </w:t>
      </w:r>
      <w:r>
        <w:rPr>
          <w:i/>
          <w:iCs/>
        </w:rPr>
        <w:t xml:space="preserve">inter-annotator agreement</w:t>
      </w:r>
      <w:r>
        <w:t xml:space="preserve">, </w:t>
      </w:r>
      <w:r>
        <w:rPr>
          <w:i/>
          <w:iCs/>
        </w:rPr>
        <w:t xml:space="preserve">vision-language model</w:t>
      </w:r>
      <w:r>
        <w:t xml:space="preserve"> and </w:t>
      </w:r>
      <w:r>
        <w:rPr>
          <w:i/>
          <w:iCs/>
        </w:rPr>
        <w:t xml:space="preserve">hallucination</w:t>
      </w:r>
      <w:r>
        <w:t xml:space="preserve">, supplemented by forward and backward citation tracing from the primary model papers. Priority was given to peer-reviewed work; model releases from 2024 onwards are cited from technical reports and model cards where no peer-reviewed version exists, which is noted as a limitation of the citation base rather than glossed over.</w:t>
      </w:r>
    </w:p>
    <w:p>
      <w:pPr>
        <w:pStyle w:val="Heading2"/>
        <w:spacing w:after="140" w:before="260"/>
      </w:pPr>
      <w:r>
        <w:rPr>
          <w:b/>
          <w:bCs/>
          <w:sz w:val="24"/>
          <w:szCs w:val="24"/>
        </w:rPr>
        <w:t xml:space="preserve">1.2 Archival and Broadcast Video Indexing</w:t>
      </w:r>
    </w:p>
    <w:p>
      <w:pPr>
        <w:spacing w:after="140" w:line="276"/>
        <w:jc w:val="both"/>
      </w:pPr>
      <w:r>
        <w:rPr>
          <w:b/>
          <w:bCs/>
        </w:rPr>
        <w:t xml:space="preserve">Benchmark infrastructure.</w:t>
      </w:r>
      <w:r>
        <w:t xml:space="preserve"> TRECVid [1] defined the task vocabulary this project inherits — shot boundary detection, semantic concept annotation, ad-hoc search — and with it the methodological expectation that systems be scored against human-annotated references. That infrastructure was built for research collections with annotation budgets. The structural problem for working archives is that the collections most in need of description are the least likely to attract such a budget, so the evaluation apparatus the field standardised on is unavailable exactly where the technology is most needed.</w:t>
      </w:r>
    </w:p>
    <w:p>
      <w:pPr>
        <w:spacing w:after="140" w:line="276"/>
        <w:jc w:val="both"/>
      </w:pPr>
      <w:r>
        <w:rPr>
          <w:b/>
          <w:bCs/>
        </w:rPr>
        <w:t xml:space="preserve">Cultural-heritage and community archives.</w:t>
      </w:r>
      <w:r>
        <w:t xml:space="preserve"> </w:t>
      </w:r>
      <w:r>
        <w:rPr>
          <w:b/>
          <w:bCs/>
          <w:highlight w:val="yellow"/>
          <w:highlightCs w:val="yellow"/>
        </w:rPr>
        <w:t xml:space="preserve">`[TO FILL: 4–6 sources. Search terms that work: "audiovisual archive automatic metadata", "cultural heritage video access", "community archive digitisation AI". Look for EUscreen, the Netherlands Institute for Sound and Vision's published work, and BBC R&amp;D archive-indexing output. For each, record: the collection, whether a human reference was collected, and what reliability signal (if any) accompanied the published metadata. The claim this section must support is that per-field reliability signals are rare in this literature — verify that claim rather than assuming it.]`</w:t>
      </w:r>
    </w:p>
    <w:p>
      <w:pPr>
        <w:spacing w:after="140" w:line="276"/>
        <w:jc w:val="both"/>
      </w:pPr>
      <w:r>
        <w:rPr>
          <w:b/>
          <w:bCs/>
        </w:rPr>
        <w:t xml:space="preserve">The gap this project addresses.</w:t>
      </w:r>
      <w:r>
        <w:t xml:space="preserve"> Automatic description of archives is well established; publishing it </w:t>
      </w:r>
      <w:r>
        <w:rPr>
          <w:i/>
          <w:iCs/>
        </w:rPr>
        <w:t xml:space="preserve">with an auditable per-field reliability estimate</w:t>
      </w:r>
      <w:r>
        <w:t xml:space="preserve"> is not. The distinction matters operationally: an archivist can triage a record that flags its own weak fields, and cannot triage one that presents every field with identical confidence.</w:t>
      </w:r>
    </w:p>
    <w:p>
      <w:pPr>
        <w:pStyle w:val="Heading2"/>
        <w:spacing w:after="140" w:before="260"/>
      </w:pPr>
      <w:r>
        <w:rPr>
          <w:b/>
          <w:bCs/>
          <w:sz w:val="24"/>
          <w:szCs w:val="24"/>
        </w:rPr>
        <w:t xml:space="preserve">1.3 Foundation Models as Zero-Shot Annotators</w:t>
      </w:r>
    </w:p>
    <w:p>
      <w:pPr>
        <w:spacing w:after="140" w:line="276"/>
        <w:jc w:val="both"/>
      </w:pPr>
      <w:r>
        <w:t xml:space="preserve">Contrastive image–text pretraining [2] removed the requirement for task-specific training data in visual labelling, turning annotation into a matter of writing a label vocabulary. Large-scale weakly supervised speech recognition [3] did the same for transcription. BLIP [4] and ViLT [5] brought open-ended visual question answering, and end-to-end set-prediction detection [6] supplies an architecturally unrelated route to counting.</w:t>
      </w:r>
    </w:p>
    <w:p>
      <w:pPr>
        <w:spacing w:after="140" w:line="276"/>
        <w:jc w:val="both"/>
      </w:pPr>
      <w:r>
        <w:t xml:space="preserve">The property this project exploits is not accuracy but </w:t>
      </w:r>
      <w:r>
        <w:rPr>
          <w:b/>
          <w:bCs/>
        </w:rPr>
        <w:t xml:space="preserve">failure-mode heterogeneity</w:t>
      </w:r>
      <w:r>
        <w:t xml:space="preserve">. CLIP's errors are ranking errors within a label space it was never calibrated on. A VQA model's errors are answer-prior errors — it answers "two" often because "two" is a common answer. A detector's errors are missed small or occluded instances. These three mechanisms are not correlated, so concurrence between them is informative in a way that concurrence between two checkpoints of one architecture is not. This is also the origin of one of the project's own limitations: CLIP ViT-B/32 and ViT-L/14 </w:t>
      </w:r>
      <w:r>
        <w:rPr>
          <w:i/>
          <w:iCs/>
        </w:rPr>
        <w:t xml:space="preserve">do</w:t>
      </w:r>
      <w:r>
        <w:t xml:space="preserve"> share a mechanism, so their agreement is worth less than the equal- weighting scheme implicitly assumes (§3.6, and RQ4 in the paper).</w:t>
      </w:r>
    </w:p>
    <w:p>
      <w:pPr>
        <w:pStyle w:val="Heading2"/>
        <w:spacing w:after="140" w:before="260"/>
      </w:pPr>
      <w:r>
        <w:rPr>
          <w:b/>
          <w:bCs/>
          <w:sz w:val="24"/>
          <w:szCs w:val="24"/>
        </w:rPr>
        <w:t xml:space="preserve">1.4 Consensus, Weak Supervision and Silver Standards</w:t>
      </w:r>
    </w:p>
    <w:p>
      <w:pPr>
        <w:spacing w:after="140" w:line="276"/>
        <w:jc w:val="both"/>
      </w:pPr>
      <w:r>
        <w:t xml:space="preserve">Programmatic weak supervision [7] formalised combining noisy, correlated labelling sources of unknown accuracy into probabilistic labels, learning source accuracies from agreement patterns without ground truth. That last property is what makes it relevant here, and its central assumption — that sources are conditionally independent given the true label — is precisely the assumption two CLIP variants violate.</w:t>
      </w:r>
    </w:p>
    <w:p>
      <w:pPr>
        <w:spacing w:after="140" w:line="276"/>
        <w:jc w:val="both"/>
      </w:pPr>
      <w:r>
        <w:t xml:space="preserve">This project deliberately stops short of the full weak-supervision machinery. A learned generative model over source accuracies would produce a number that </w:t>
      </w:r>
      <w:r>
        <w:rPr>
          <w:i/>
          <w:iCs/>
        </w:rPr>
        <w:t xml:space="preserve">looks</w:t>
      </w:r>
      <w:r>
        <w:t xml:space="preserve"> like a probability of correctness, and publishing such a number for an archive catalogue, with no human reference anywhere in the system to validate it against, would misrepresent what was measured. The project instead publishes raw corroboration and states repeatedly what it is not. That is a weaker output and a more defensible one; §5.2 revisits the decision.</w:t>
      </w:r>
    </w:p>
    <w:p>
      <w:pPr>
        <w:spacing w:after="140" w:line="276"/>
        <w:jc w:val="both"/>
      </w:pPr>
      <w:r>
        <w:rPr>
          <w:b/>
          <w:bCs/>
        </w:rPr>
        <w:t xml:space="preserve">Silver standards.</w:t>
      </w:r>
      <w:r>
        <w:t xml:space="preserve"> The term is established in biomedical NLP for references built by automatic system agreement rather than human annotation, along with the accompanying caution that systems sharing training resources agree in correlated ways. This project adopts both the term and the caution: the JSON header identifies the artefact as an automated multi-model silver standard.</w:t>
      </w:r>
    </w:p>
    <w:p>
      <w:pPr>
        <w:pStyle w:val="Heading2"/>
        <w:spacing w:after="140" w:before="260"/>
      </w:pPr>
      <w:r>
        <w:rPr>
          <w:b/>
          <w:bCs/>
          <w:sz w:val="24"/>
          <w:szCs w:val="24"/>
        </w:rPr>
        <w:t xml:space="preserve">1.5 Reliability and Agreement Estimation</w:t>
      </w:r>
    </w:p>
    <w:p>
      <w:pPr>
        <w:spacing w:after="140" w:line="276"/>
        <w:jc w:val="both"/>
      </w:pPr>
      <w:r>
        <w:t xml:space="preserve">Corpus linguistics has quantified annotation trustworthiness for decades [8]. The useful import is conceptual: agreement statistics measure the </w:t>
      </w:r>
      <w:r>
        <w:rPr>
          <w:i/>
          <w:iCs/>
        </w:rPr>
        <w:t xml:space="preserve">reliability</w:t>
      </w:r>
      <w:r>
        <w:t xml:space="preserve"> of an annotation process, which is a precondition for validity but is not validity. High agreement among consistently biased annotators is high reliability and zero validity.</w:t>
      </w:r>
    </w:p>
    <w:p>
      <w:pPr>
        <w:spacing w:after="140" w:line="276"/>
        <w:jc w:val="both"/>
      </w:pPr>
      <w:r>
        <w:t xml:space="preserve">Two design rules follow directly, and both are implemented. First, self-similarity is excluded from every agreement computation — an annotator cannot corroborate itself, so a value is never scored against the source that produced it. Second, empty output is never promoted: unanimous absence is recorded as </w:t>
      </w:r>
      <w:r>
        <w:rPr>
          <w:rFonts w:ascii="Consolas" w:cs="Consolas" w:eastAsia="Consolas" w:hAnsi="Consolas"/>
          <w:sz w:val="18"/>
          <w:szCs w:val="18"/>
        </w:rPr>
        <w:t xml:space="preserve">not_detected</w:t>
      </w:r>
      <w:r>
        <w:t xml:space="preserve">, never as high agreement, which prevents the degenerate optimum of a system that detects nothing and reports perfect corroboration. On a corpus with many low-text, low-motion clips, that failure mode is not hypothetical.</w:t>
      </w:r>
    </w:p>
    <w:p>
      <w:pPr>
        <w:spacing w:after="140" w:line="276"/>
        <w:jc w:val="both"/>
      </w:pPr>
      <w:r>
        <w:rPr>
          <w:b/>
          <w:bCs/>
        </w:rPr>
        <w:t xml:space="preserve">Reported thresholds.</w:t>
      </w:r>
      <w:r>
        <w:t xml:space="preserve"> The tier boundaries (high ≥ 0.75, moderate ≥ 0.50, low &lt; 0.50) are conventional, chosen before the evaluation split was examined, and are </w:t>
      </w:r>
      <w:r>
        <w:rPr>
          <w:b/>
          <w:bCs/>
        </w:rPr>
        <w:t xml:space="preserve">not</w:t>
      </w:r>
      <w:r>
        <w:t xml:space="preserve"> derived from this corpus. They are a presentation convenience, not a calibrated result, and the underlying continuous score is retained in every artefact so any downstream user can re-bin.</w:t>
      </w:r>
    </w:p>
    <w:p>
      <w:pPr>
        <w:pStyle w:val="Heading2"/>
        <w:spacing w:after="140" w:before="260"/>
      </w:pPr>
      <w:r>
        <w:rPr>
          <w:b/>
          <w:bCs/>
          <w:sz w:val="24"/>
          <w:szCs w:val="24"/>
        </w:rPr>
        <w:t xml:space="preserve">1.6 Vision-Language Models for Video Description</w:t>
      </w:r>
    </w:p>
    <w:p>
      <w:pPr>
        <w:spacing w:after="140" w:line="276"/>
        <w:jc w:val="both"/>
      </w:pPr>
      <w:r>
        <w:t xml:space="preserve">Open-weight multimodal models — Qwen3-VL [9], InternVL3 [10] — accept interleaved image sequences and emit schema-constrained JSON, making a single-prompt replacement for a multi-component pipeline architecturally plausible. Two concerns motivated benchmarking them rather than adopting them.</w:t>
      </w:r>
    </w:p>
    <w:p>
      <w:pPr>
        <w:spacing w:after="140" w:line="276"/>
        <w:jc w:val="both"/>
      </w:pPr>
      <w:r>
        <w:t xml:space="preserve">The first is hallucination [11]: fluent description of content that is not present. For a catalogue record this is worse than omission, because it is indistinguishable from a correct record without checking the footage.</w:t>
      </w:r>
    </w:p>
    <w:p>
      <w:pPr>
        <w:spacing w:after="140" w:line="276"/>
        <w:jc w:val="both"/>
      </w:pPr>
      <w:r>
        <w:t xml:space="preserve">The second is the modality gap. None of these models accepts audio. A pipeline component that transcribes speech cannot be replaced by a model that cannot hear it — a claim that is obvious stated plainly and that the benchmark nonetheless quantifies (0.000–0.034 ROUGE-L, with three of seven models scoring exactly 0.000 by abstaining rather than guessing), because "obvious" is not a result and a reviewer is entitled to the number.</w:t>
      </w:r>
    </w:p>
    <w:p>
      <w:pPr>
        <w:pStyle w:val="Heading2"/>
        <w:spacing w:after="140" w:before="260"/>
      </w:pPr>
      <w:r>
        <w:rPr>
          <w:b/>
          <w:bCs/>
          <w:sz w:val="24"/>
          <w:szCs w:val="24"/>
        </w:rPr>
        <w:t xml:space="preserve">1.7 Comparative Literature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FEFEF" w:color="auto" w:val="clear"/>
            <w:tcMar>
              <w:top w:type="dxa" w:w="60"/>
              <w:left w:type="dxa" w:w="90"/>
              <w:bottom w:type="dxa" w:w="60"/>
              <w:right w:type="dxa" w:w="90"/>
            </w:tcMar>
          </w:tcPr>
          <w:p>
            <w:pPr>
              <w:spacing w:after="0"/>
            </w:pPr>
            <w:r>
              <w:rPr>
                <w:b/>
                <w:bCs/>
              </w:rPr>
              <w:t xml:space="preserve">Work</w:t>
            </w:r>
          </w:p>
        </w:tc>
        <w:tc>
          <w:tcPr>
            <w:tcW w:type="dxa" w:w="1560"/>
            <w:shd w:fill="EFEFEF" w:color="auto" w:val="clear"/>
            <w:tcMar>
              <w:top w:type="dxa" w:w="60"/>
              <w:left w:type="dxa" w:w="90"/>
              <w:bottom w:type="dxa" w:w="60"/>
              <w:right w:type="dxa" w:w="90"/>
            </w:tcMar>
          </w:tcPr>
          <w:p>
            <w:pPr>
              <w:spacing w:after="0"/>
            </w:pPr>
            <w:r>
              <w:rPr>
                <w:b/>
                <w:bCs/>
              </w:rPr>
              <w:t xml:space="preserve">Domain</w:t>
            </w:r>
          </w:p>
        </w:tc>
        <w:tc>
          <w:tcPr>
            <w:tcW w:type="dxa" w:w="1560"/>
            <w:shd w:fill="EFEFEF" w:color="auto" w:val="clear"/>
            <w:tcMar>
              <w:top w:type="dxa" w:w="60"/>
              <w:left w:type="dxa" w:w="90"/>
              <w:bottom w:type="dxa" w:w="60"/>
              <w:right w:type="dxa" w:w="90"/>
            </w:tcMar>
          </w:tcPr>
          <w:p>
            <w:pPr>
              <w:spacing w:after="0"/>
            </w:pPr>
            <w:r>
              <w:rPr>
                <w:b/>
                <w:bCs/>
              </w:rPr>
              <w:t xml:space="preserve">Reference standard</w:t>
            </w:r>
          </w:p>
        </w:tc>
        <w:tc>
          <w:tcPr>
            <w:tcW w:type="dxa" w:w="1560"/>
            <w:shd w:fill="EFEFEF" w:color="auto" w:val="clear"/>
            <w:tcMar>
              <w:top w:type="dxa" w:w="60"/>
              <w:left w:type="dxa" w:w="90"/>
              <w:bottom w:type="dxa" w:w="60"/>
              <w:right w:type="dxa" w:w="90"/>
            </w:tcMar>
          </w:tcPr>
          <w:p>
            <w:pPr>
              <w:spacing w:after="0"/>
            </w:pPr>
            <w:r>
              <w:rPr>
                <w:b/>
                <w:bCs/>
              </w:rPr>
              <w:t xml:space="preserve">Reliability signal published</w:t>
            </w:r>
          </w:p>
        </w:tc>
        <w:tc>
          <w:tcPr>
            <w:tcW w:type="dxa" w:w="1560"/>
            <w:shd w:fill="EFEFEF" w:color="auto" w:val="clear"/>
            <w:tcMar>
              <w:top w:type="dxa" w:w="60"/>
              <w:left w:type="dxa" w:w="90"/>
              <w:bottom w:type="dxa" w:w="60"/>
              <w:right w:type="dxa" w:w="90"/>
            </w:tcMar>
          </w:tcPr>
          <w:p>
            <w:pPr>
              <w:spacing w:after="0"/>
            </w:pPr>
            <w:r>
              <w:rPr>
                <w:b/>
                <w:bCs/>
              </w:rPr>
              <w:t xml:space="preserve">Modalities</w:t>
            </w:r>
          </w:p>
        </w:tc>
        <w:tc>
          <w:tcPr>
            <w:tcW w:type="dxa" w:w="1560"/>
            <w:shd w:fill="EFEFEF" w:color="auto" w:val="clear"/>
            <w:tcMar>
              <w:top w:type="dxa" w:w="60"/>
              <w:left w:type="dxa" w:w="90"/>
              <w:bottom w:type="dxa" w:w="60"/>
              <w:right w:type="dxa" w:w="90"/>
            </w:tcMar>
          </w:tcPr>
          <w:p>
            <w:pPr>
              <w:spacing w:after="0"/>
            </w:pPr>
            <w:r>
              <w:rPr>
                <w:b/>
                <w:bCs/>
              </w:rPr>
              <w:t xml:space="preserve">What it leaves open</w:t>
            </w:r>
          </w:p>
        </w:tc>
      </w:tr>
      <w:tr>
        <w:trPr>
          <w:tblHeader w:val="false"/>
        </w:trPr>
        <w:tc>
          <w:tcPr>
            <w:tcW w:type="dxa" w:w="1560"/>
            <w:tcMar>
              <w:top w:type="dxa" w:w="60"/>
              <w:left w:type="dxa" w:w="90"/>
              <w:bottom w:type="dxa" w:w="60"/>
              <w:right w:type="dxa" w:w="90"/>
            </w:tcMar>
          </w:tcPr>
          <w:p>
            <w:pPr>
              <w:spacing w:after="0"/>
            </w:pPr>
            <w:r>
              <w:t xml:space="preserve">TRECVid [1]</w:t>
            </w:r>
          </w:p>
        </w:tc>
        <w:tc>
          <w:tcPr>
            <w:tcW w:type="dxa" w:w="1560"/>
            <w:tcMar>
              <w:top w:type="dxa" w:w="60"/>
              <w:left w:type="dxa" w:w="90"/>
              <w:bottom w:type="dxa" w:w="60"/>
              <w:right w:type="dxa" w:w="90"/>
            </w:tcMar>
          </w:tcPr>
          <w:p>
            <w:pPr>
              <w:spacing w:after="0"/>
            </w:pPr>
            <w:r>
              <w:t xml:space="preserve">Broadcast video</w:t>
            </w:r>
          </w:p>
        </w:tc>
        <w:tc>
          <w:tcPr>
            <w:tcW w:type="dxa" w:w="1560"/>
            <w:tcMar>
              <w:top w:type="dxa" w:w="60"/>
              <w:left w:type="dxa" w:w="90"/>
              <w:bottom w:type="dxa" w:w="60"/>
              <w:right w:type="dxa" w:w="90"/>
            </w:tcMar>
          </w:tcPr>
          <w:p>
            <w:pPr>
              <w:spacing w:after="0"/>
            </w:pPr>
            <w:r>
              <w:t xml:space="preserve">Human annotation</w:t>
            </w:r>
          </w:p>
        </w:tc>
        <w:tc>
          <w:tcPr>
            <w:tcW w:type="dxa" w:w="1560"/>
            <w:tcMar>
              <w:top w:type="dxa" w:w="60"/>
              <w:left w:type="dxa" w:w="90"/>
              <w:bottom w:type="dxa" w:w="60"/>
              <w:right w:type="dxa" w:w="90"/>
            </w:tcMar>
          </w:tcPr>
          <w:p>
            <w:pPr>
              <w:spacing w:after="0"/>
            </w:pPr>
            <w:r>
              <w:t xml:space="preserve">System scores only</w:t>
            </w:r>
          </w:p>
        </w:tc>
        <w:tc>
          <w:tcPr>
            <w:tcW w:type="dxa" w:w="1560"/>
            <w:tcMar>
              <w:top w:type="dxa" w:w="60"/>
              <w:left w:type="dxa" w:w="90"/>
              <w:bottom w:type="dxa" w:w="60"/>
              <w:right w:type="dxa" w:w="90"/>
            </w:tcMar>
          </w:tcPr>
          <w:p>
            <w:pPr>
              <w:spacing w:after="0"/>
            </w:pPr>
            <w:r>
              <w:t xml:space="preserve">Visual, some ASR</w:t>
            </w:r>
          </w:p>
        </w:tc>
        <w:tc>
          <w:tcPr>
            <w:tcW w:type="dxa" w:w="1560"/>
            <w:tcMar>
              <w:top w:type="dxa" w:w="60"/>
              <w:left w:type="dxa" w:w="90"/>
              <w:bottom w:type="dxa" w:w="60"/>
              <w:right w:type="dxa" w:w="90"/>
            </w:tcMar>
          </w:tcPr>
          <w:p>
            <w:pPr>
              <w:spacing w:after="0"/>
            </w:pPr>
            <w:r>
              <w:t xml:space="preserve">Assumes an annotation budget exists</w:t>
            </w:r>
          </w:p>
        </w:tc>
      </w:tr>
      <w:tr>
        <w:trPr>
          <w:tblHeader w:val="false"/>
        </w:trPr>
        <w:tc>
          <w:tcPr>
            <w:tcW w:type="dxa" w:w="1560"/>
            <w:tcMar>
              <w:top w:type="dxa" w:w="60"/>
              <w:left w:type="dxa" w:w="90"/>
              <w:bottom w:type="dxa" w:w="60"/>
              <w:right w:type="dxa" w:w="90"/>
            </w:tcMar>
          </w:tcPr>
          <w:p>
            <w:pPr>
              <w:spacing w:after="0"/>
            </w:pPr>
            <w:r>
              <w:t xml:space="preserve">CLIP [2]</w:t>
            </w:r>
          </w:p>
        </w:tc>
        <w:tc>
          <w:tcPr>
            <w:tcW w:type="dxa" w:w="1560"/>
            <w:tcMar>
              <w:top w:type="dxa" w:w="60"/>
              <w:left w:type="dxa" w:w="90"/>
              <w:bottom w:type="dxa" w:w="60"/>
              <w:right w:type="dxa" w:w="90"/>
            </w:tcMar>
          </w:tcPr>
          <w:p>
            <w:pPr>
              <w:spacing w:after="0"/>
            </w:pPr>
            <w:r>
              <w:t xml:space="preserve">General images</w:t>
            </w:r>
          </w:p>
        </w:tc>
        <w:tc>
          <w:tcPr>
            <w:tcW w:type="dxa" w:w="1560"/>
            <w:tcMar>
              <w:top w:type="dxa" w:w="60"/>
              <w:left w:type="dxa" w:w="90"/>
              <w:bottom w:type="dxa" w:w="60"/>
              <w:right w:type="dxa" w:w="90"/>
            </w:tcMar>
          </w:tcPr>
          <w:p>
            <w:pPr>
              <w:spacing w:after="0"/>
            </w:pPr>
            <w:r>
              <w:t xml:space="preserve">Zero-shot, benchmark datasets</w:t>
            </w:r>
          </w:p>
        </w:tc>
        <w:tc>
          <w:tcPr>
            <w:tcW w:type="dxa" w:w="1560"/>
            <w:tcMar>
              <w:top w:type="dxa" w:w="60"/>
              <w:left w:type="dxa" w:w="90"/>
              <w:bottom w:type="dxa" w:w="60"/>
              <w:right w:type="dxa" w:w="90"/>
            </w:tcMar>
          </w:tcPr>
          <w:p>
            <w:pPr>
              <w:spacing w:after="0"/>
            </w:pPr>
            <w:r>
              <w:t xml:space="preserve">Softmax ranking scores</w:t>
            </w:r>
          </w:p>
        </w:tc>
        <w:tc>
          <w:tcPr>
            <w:tcW w:type="dxa" w:w="1560"/>
            <w:tcMar>
              <w:top w:type="dxa" w:w="60"/>
              <w:left w:type="dxa" w:w="90"/>
              <w:bottom w:type="dxa" w:w="60"/>
              <w:right w:type="dxa" w:w="90"/>
            </w:tcMar>
          </w:tcPr>
          <w:p>
            <w:pPr>
              <w:spacing w:after="0"/>
            </w:pPr>
            <w:r>
              <w:t xml:space="preserve">Image + text</w:t>
            </w:r>
          </w:p>
        </w:tc>
        <w:tc>
          <w:tcPr>
            <w:tcW w:type="dxa" w:w="1560"/>
            <w:tcMar>
              <w:top w:type="dxa" w:w="60"/>
              <w:left w:type="dxa" w:w="90"/>
              <w:bottom w:type="dxa" w:w="60"/>
              <w:right w:type="dxa" w:w="90"/>
            </w:tcMar>
          </w:tcPr>
          <w:p>
            <w:pPr>
              <w:spacing w:after="0"/>
            </w:pPr>
            <w:r>
              <w:t xml:space="preserve">Scores are not calibrated probabilities</w:t>
            </w:r>
          </w:p>
        </w:tc>
      </w:tr>
      <w:tr>
        <w:trPr>
          <w:tblHeader w:val="false"/>
        </w:trPr>
        <w:tc>
          <w:tcPr>
            <w:tcW w:type="dxa" w:w="1560"/>
            <w:tcMar>
              <w:top w:type="dxa" w:w="60"/>
              <w:left w:type="dxa" w:w="90"/>
              <w:bottom w:type="dxa" w:w="60"/>
              <w:right w:type="dxa" w:w="90"/>
            </w:tcMar>
          </w:tcPr>
          <w:p>
            <w:pPr>
              <w:spacing w:after="0"/>
            </w:pPr>
            <w:r>
              <w:t xml:space="preserve">Whisper [3]</w:t>
            </w:r>
          </w:p>
        </w:tc>
        <w:tc>
          <w:tcPr>
            <w:tcW w:type="dxa" w:w="1560"/>
            <w:tcMar>
              <w:top w:type="dxa" w:w="60"/>
              <w:left w:type="dxa" w:w="90"/>
              <w:bottom w:type="dxa" w:w="60"/>
              <w:right w:type="dxa" w:w="90"/>
            </w:tcMar>
          </w:tcPr>
          <w:p>
            <w:pPr>
              <w:spacing w:after="0"/>
            </w:pPr>
            <w:r>
              <w:t xml:space="preserve">Speech</w:t>
            </w:r>
          </w:p>
        </w:tc>
        <w:tc>
          <w:tcPr>
            <w:tcW w:type="dxa" w:w="1560"/>
            <w:tcMar>
              <w:top w:type="dxa" w:w="60"/>
              <w:left w:type="dxa" w:w="90"/>
              <w:bottom w:type="dxa" w:w="60"/>
              <w:right w:type="dxa" w:w="90"/>
            </w:tcMar>
          </w:tcPr>
          <w:p>
            <w:pPr>
              <w:spacing w:after="0"/>
            </w:pPr>
            <w:r>
              <w:t xml:space="preserve">Human transcripts</w:t>
            </w:r>
          </w:p>
        </w:tc>
        <w:tc>
          <w:tcPr>
            <w:tcW w:type="dxa" w:w="1560"/>
            <w:tcMar>
              <w:top w:type="dxa" w:w="60"/>
              <w:left w:type="dxa" w:w="90"/>
              <w:bottom w:type="dxa" w:w="60"/>
              <w:right w:type="dxa" w:w="90"/>
            </w:tcMar>
          </w:tcPr>
          <w:p>
            <w:pPr>
              <w:spacing w:after="0"/>
            </w:pPr>
            <w:r>
              <w:t xml:space="preserve">None per-utterance</w:t>
            </w:r>
          </w:p>
        </w:tc>
        <w:tc>
          <w:tcPr>
            <w:tcW w:type="dxa" w:w="1560"/>
            <w:tcMar>
              <w:top w:type="dxa" w:w="60"/>
              <w:left w:type="dxa" w:w="90"/>
              <w:bottom w:type="dxa" w:w="60"/>
              <w:right w:type="dxa" w:w="90"/>
            </w:tcMar>
          </w:tcPr>
          <w:p>
            <w:pPr>
              <w:spacing w:after="0"/>
            </w:pPr>
            <w:r>
              <w:t xml:space="preserve">Audio</w:t>
            </w:r>
          </w:p>
        </w:tc>
        <w:tc>
          <w:tcPr>
            <w:tcW w:type="dxa" w:w="1560"/>
            <w:tcMar>
              <w:top w:type="dxa" w:w="60"/>
              <w:left w:type="dxa" w:w="90"/>
              <w:bottom w:type="dxa" w:w="60"/>
              <w:right w:type="dxa" w:w="90"/>
            </w:tcMar>
          </w:tcPr>
          <w:p>
            <w:pPr>
              <w:spacing w:after="0"/>
            </w:pPr>
            <w:r>
              <w:t xml:space="preserve">No per-segment reliability estimate</w:t>
            </w:r>
          </w:p>
        </w:tc>
      </w:tr>
      <w:tr>
        <w:trPr>
          <w:tblHeader w:val="false"/>
        </w:trPr>
        <w:tc>
          <w:tcPr>
            <w:tcW w:type="dxa" w:w="1560"/>
            <w:tcMar>
              <w:top w:type="dxa" w:w="60"/>
              <w:left w:type="dxa" w:w="90"/>
              <w:bottom w:type="dxa" w:w="60"/>
              <w:right w:type="dxa" w:w="90"/>
            </w:tcMar>
          </w:tcPr>
          <w:p>
            <w:pPr>
              <w:spacing w:after="0"/>
            </w:pPr>
            <w:r>
              <w:t xml:space="preserve">Snorkel [7]</w:t>
            </w:r>
          </w:p>
        </w:tc>
        <w:tc>
          <w:tcPr>
            <w:tcW w:type="dxa" w:w="1560"/>
            <w:tcMar>
              <w:top w:type="dxa" w:w="60"/>
              <w:left w:type="dxa" w:w="90"/>
              <w:bottom w:type="dxa" w:w="60"/>
              <w:right w:type="dxa" w:w="90"/>
            </w:tcMar>
          </w:tcPr>
          <w:p>
            <w:pPr>
              <w:spacing w:after="0"/>
            </w:pPr>
            <w:r>
              <w:t xml:space="preserve">Text/structured</w:t>
            </w:r>
          </w:p>
        </w:tc>
        <w:tc>
          <w:tcPr>
            <w:tcW w:type="dxa" w:w="1560"/>
            <w:tcMar>
              <w:top w:type="dxa" w:w="60"/>
              <w:left w:type="dxa" w:w="90"/>
              <w:bottom w:type="dxa" w:w="60"/>
              <w:right w:type="dxa" w:w="90"/>
            </w:tcMar>
          </w:tcPr>
          <w:p>
            <w:pPr>
              <w:spacing w:after="0"/>
            </w:pPr>
            <w:r>
              <w:t xml:space="preserve">None required</w:t>
            </w:r>
          </w:p>
        </w:tc>
        <w:tc>
          <w:tcPr>
            <w:tcW w:type="dxa" w:w="1560"/>
            <w:tcMar>
              <w:top w:type="dxa" w:w="60"/>
              <w:left w:type="dxa" w:w="90"/>
              <w:bottom w:type="dxa" w:w="60"/>
              <w:right w:type="dxa" w:w="90"/>
            </w:tcMar>
          </w:tcPr>
          <w:p>
            <w:pPr>
              <w:spacing w:after="0"/>
            </w:pPr>
            <w:r>
              <w:t xml:space="preserve">Learned source accuracies</w:t>
            </w:r>
          </w:p>
        </w:tc>
        <w:tc>
          <w:tcPr>
            <w:tcW w:type="dxa" w:w="1560"/>
            <w:tcMar>
              <w:top w:type="dxa" w:w="60"/>
              <w:left w:type="dxa" w:w="90"/>
              <w:bottom w:type="dxa" w:w="60"/>
              <w:right w:type="dxa" w:w="90"/>
            </w:tcMar>
          </w:tcPr>
          <w:p>
            <w:pPr>
              <w:spacing w:after="0"/>
            </w:pPr>
            <w:r>
              <w:t xml:space="preserve">Text</w:t>
            </w:r>
          </w:p>
        </w:tc>
        <w:tc>
          <w:tcPr>
            <w:tcW w:type="dxa" w:w="1560"/>
            <w:tcMar>
              <w:top w:type="dxa" w:w="60"/>
              <w:left w:type="dxa" w:w="90"/>
              <w:bottom w:type="dxa" w:w="60"/>
              <w:right w:type="dxa" w:w="90"/>
            </w:tcMar>
          </w:tcPr>
          <w:p>
            <w:pPr>
              <w:spacing w:after="0"/>
            </w:pPr>
            <w:r>
              <w:t xml:space="preserve">Assumes conditional source independence</w:t>
            </w:r>
          </w:p>
        </w:tc>
      </w:tr>
      <w:tr>
        <w:trPr>
          <w:tblHeader w:val="false"/>
        </w:trPr>
        <w:tc>
          <w:tcPr>
            <w:tcW w:type="dxa" w:w="1560"/>
            <w:tcMar>
              <w:top w:type="dxa" w:w="60"/>
              <w:left w:type="dxa" w:w="90"/>
              <w:bottom w:type="dxa" w:w="60"/>
              <w:right w:type="dxa" w:w="90"/>
            </w:tcMar>
          </w:tcPr>
          <w:p>
            <w:pPr>
              <w:spacing w:after="0"/>
            </w:pPr>
            <w:r>
              <w:t xml:space="preserve">Artstein &amp; Poesio [8]</w:t>
            </w:r>
          </w:p>
        </w:tc>
        <w:tc>
          <w:tcPr>
            <w:tcW w:type="dxa" w:w="1560"/>
            <w:tcMar>
              <w:top w:type="dxa" w:w="60"/>
              <w:left w:type="dxa" w:w="90"/>
              <w:bottom w:type="dxa" w:w="60"/>
              <w:right w:type="dxa" w:w="90"/>
            </w:tcMar>
          </w:tcPr>
          <w:p>
            <w:pPr>
              <w:spacing w:after="0"/>
            </w:pPr>
            <w:r>
              <w:t xml:space="preserve">Annotated corpora</w:t>
            </w:r>
          </w:p>
        </w:tc>
        <w:tc>
          <w:tcPr>
            <w:tcW w:type="dxa" w:w="1560"/>
            <w:tcMar>
              <w:top w:type="dxa" w:w="60"/>
              <w:left w:type="dxa" w:w="90"/>
              <w:bottom w:type="dxa" w:w="60"/>
              <w:right w:type="dxa" w:w="90"/>
            </w:tcMar>
          </w:tcPr>
          <w:p>
            <w:pPr>
              <w:spacing w:after="0"/>
            </w:pPr>
            <w:r>
              <w:t xml:space="preserve">Multiple human coders</w:t>
            </w:r>
          </w:p>
        </w:tc>
        <w:tc>
          <w:tcPr>
            <w:tcW w:type="dxa" w:w="1560"/>
            <w:tcMar>
              <w:top w:type="dxa" w:w="60"/>
              <w:left w:type="dxa" w:w="90"/>
              <w:bottom w:type="dxa" w:w="60"/>
              <w:right w:type="dxa" w:w="90"/>
            </w:tcMar>
          </w:tcPr>
          <w:p>
            <w:pPr>
              <w:spacing w:after="0"/>
            </w:pPr>
            <w:r>
              <w:t xml:space="preserve">Chance-corrected agreement</w:t>
            </w:r>
          </w:p>
        </w:tc>
        <w:tc>
          <w:tcPr>
            <w:tcW w:type="dxa" w:w="1560"/>
            <w:tcMar>
              <w:top w:type="dxa" w:w="60"/>
              <w:left w:type="dxa" w:w="90"/>
              <w:bottom w:type="dxa" w:w="60"/>
              <w:right w:type="dxa" w:w="90"/>
            </w:tcMar>
          </w:tcPr>
          <w:p>
            <w:pPr>
              <w:spacing w:after="0"/>
            </w:pPr>
            <w:r>
              <w:t xml:space="preserve">Text</w:t>
            </w:r>
          </w:p>
        </w:tc>
        <w:tc>
          <w:tcPr>
            <w:tcW w:type="dxa" w:w="1560"/>
            <w:tcMar>
              <w:top w:type="dxa" w:w="60"/>
              <w:left w:type="dxa" w:w="90"/>
              <w:bottom w:type="dxa" w:w="60"/>
              <w:right w:type="dxa" w:w="90"/>
            </w:tcMar>
          </w:tcPr>
          <w:p>
            <w:pPr>
              <w:spacing w:after="0"/>
            </w:pPr>
            <w:r>
              <w:t xml:space="preserve">Human coders, not model families</w:t>
            </w:r>
          </w:p>
        </w:tc>
      </w:tr>
      <w:tr>
        <w:trPr>
          <w:tblHeader w:val="false"/>
        </w:trPr>
        <w:tc>
          <w:tcPr>
            <w:tcW w:type="dxa" w:w="1560"/>
            <w:tcMar>
              <w:top w:type="dxa" w:w="60"/>
              <w:left w:type="dxa" w:w="90"/>
              <w:bottom w:type="dxa" w:w="60"/>
              <w:right w:type="dxa" w:w="90"/>
            </w:tcMar>
          </w:tcPr>
          <w:p>
            <w:pPr>
              <w:spacing w:after="0"/>
            </w:pPr>
            <w:r>
              <w:t xml:space="preserve">Qwen3-VL [9] / InternVL3 [10]</w:t>
            </w:r>
          </w:p>
        </w:tc>
        <w:tc>
          <w:tcPr>
            <w:tcW w:type="dxa" w:w="1560"/>
            <w:tcMar>
              <w:top w:type="dxa" w:w="60"/>
              <w:left w:type="dxa" w:w="90"/>
              <w:bottom w:type="dxa" w:w="60"/>
              <w:right w:type="dxa" w:w="90"/>
            </w:tcMar>
          </w:tcPr>
          <w:p>
            <w:pPr>
              <w:spacing w:after="0"/>
            </w:pPr>
            <w:r>
              <w:t xml:space="preserve">General multimodal</w:t>
            </w:r>
          </w:p>
        </w:tc>
        <w:tc>
          <w:tcPr>
            <w:tcW w:type="dxa" w:w="1560"/>
            <w:tcMar>
              <w:top w:type="dxa" w:w="60"/>
              <w:left w:type="dxa" w:w="90"/>
              <w:bottom w:type="dxa" w:w="60"/>
              <w:right w:type="dxa" w:w="90"/>
            </w:tcMar>
          </w:tcPr>
          <w:p>
            <w:pPr>
              <w:spacing w:after="0"/>
            </w:pPr>
            <w:r>
              <w:t xml:space="preserve">Benchmark suites</w:t>
            </w:r>
          </w:p>
        </w:tc>
        <w:tc>
          <w:tcPr>
            <w:tcW w:type="dxa" w:w="1560"/>
            <w:tcMar>
              <w:top w:type="dxa" w:w="60"/>
              <w:left w:type="dxa" w:w="90"/>
              <w:bottom w:type="dxa" w:w="60"/>
              <w:right w:type="dxa" w:w="90"/>
            </w:tcMar>
          </w:tcPr>
          <w:p>
            <w:pPr>
              <w:spacing w:after="0"/>
            </w:pPr>
            <w:r>
              <w:t xml:space="preserve">None</w:t>
            </w:r>
          </w:p>
        </w:tc>
        <w:tc>
          <w:tcPr>
            <w:tcW w:type="dxa" w:w="1560"/>
            <w:tcMar>
              <w:top w:type="dxa" w:w="60"/>
              <w:left w:type="dxa" w:w="90"/>
              <w:bottom w:type="dxa" w:w="60"/>
              <w:right w:type="dxa" w:w="90"/>
            </w:tcMar>
          </w:tcPr>
          <w:p>
            <w:pPr>
              <w:spacing w:after="0"/>
            </w:pPr>
            <w:r>
              <w:t xml:space="preserve">Image + text</w:t>
            </w:r>
          </w:p>
        </w:tc>
        <w:tc>
          <w:tcPr>
            <w:tcW w:type="dxa" w:w="1560"/>
            <w:tcMar>
              <w:top w:type="dxa" w:w="60"/>
              <w:left w:type="dxa" w:w="90"/>
              <w:bottom w:type="dxa" w:w="60"/>
              <w:right w:type="dxa" w:w="90"/>
            </w:tcMar>
          </w:tcPr>
          <w:p>
            <w:pPr>
              <w:spacing w:after="0"/>
            </w:pPr>
            <w:r>
              <w:t xml:space="preserve">No audio; hallucination unquantified per field</w:t>
            </w:r>
          </w:p>
        </w:tc>
      </w:tr>
      <w:tr>
        <w:trPr>
          <w:tblHeader w:val="false"/>
        </w:trPr>
        <w:tc>
          <w:tcPr>
            <w:tcW w:type="dxa" w:w="1560"/>
            <w:tcMar>
              <w:top w:type="dxa" w:w="60"/>
              <w:left w:type="dxa" w:w="90"/>
              <w:bottom w:type="dxa" w:w="60"/>
              <w:right w:type="dxa" w:w="90"/>
            </w:tcMar>
          </w:tcPr>
          <w:p>
            <w:pPr>
              <w:spacing w:after="0"/>
            </w:pPr>
            <w:r>
              <w:rPr>
                <w:b/>
                <w:bCs/>
              </w:rPr>
              <w:t xml:space="preserve">This work</w:t>
            </w:r>
          </w:p>
        </w:tc>
        <w:tc>
          <w:tcPr>
            <w:tcW w:type="dxa" w:w="1560"/>
            <w:tcMar>
              <w:top w:type="dxa" w:w="60"/>
              <w:left w:type="dxa" w:w="90"/>
              <w:bottom w:type="dxa" w:w="60"/>
              <w:right w:type="dxa" w:w="90"/>
            </w:tcMar>
          </w:tcPr>
          <w:p>
            <w:pPr>
              <w:spacing w:after="0"/>
            </w:pPr>
            <w:r>
              <w:t xml:space="preserve">Archival community TV</w:t>
            </w:r>
          </w:p>
        </w:tc>
        <w:tc>
          <w:tcPr>
            <w:tcW w:type="dxa" w:w="1560"/>
            <w:tcMar>
              <w:top w:type="dxa" w:w="60"/>
              <w:left w:type="dxa" w:w="90"/>
              <w:bottom w:type="dxa" w:w="60"/>
              <w:right w:type="dxa" w:w="90"/>
            </w:tcMar>
          </w:tcPr>
          <w:p>
            <w:pPr>
              <w:spacing w:after="0"/>
            </w:pPr>
            <w:r>
              <w:rPr>
                <w:b/>
                <w:bCs/>
              </w:rPr>
              <w:t xml:space="preserve">None available</w:t>
            </w:r>
          </w:p>
        </w:tc>
        <w:tc>
          <w:tcPr>
            <w:tcW w:type="dxa" w:w="1560"/>
            <w:tcMar>
              <w:top w:type="dxa" w:w="60"/>
              <w:left w:type="dxa" w:w="90"/>
              <w:bottom w:type="dxa" w:w="60"/>
              <w:right w:type="dxa" w:w="90"/>
            </w:tcMar>
          </w:tcPr>
          <w:p>
            <w:pPr>
              <w:spacing w:after="0"/>
            </w:pPr>
            <w:r>
              <w:rPr>
                <w:b/>
                <w:bCs/>
              </w:rPr>
              <w:t xml:space="preserve">Per-field status + agreement + support set</w:t>
            </w:r>
          </w:p>
        </w:tc>
        <w:tc>
          <w:tcPr>
            <w:tcW w:type="dxa" w:w="1560"/>
            <w:tcMar>
              <w:top w:type="dxa" w:w="60"/>
              <w:left w:type="dxa" w:w="90"/>
              <w:bottom w:type="dxa" w:w="60"/>
              <w:right w:type="dxa" w:w="90"/>
            </w:tcMar>
          </w:tcPr>
          <w:p>
            <w:pPr>
              <w:spacing w:after="0"/>
            </w:pPr>
            <w:r>
              <w:t xml:space="preserve">Audio, visual, OCR, text</w:t>
            </w:r>
          </w:p>
        </w:tc>
        <w:tc>
          <w:tcPr>
            <w:tcW w:type="dxa" w:w="1560"/>
            <w:tcMar>
              <w:top w:type="dxa" w:w="60"/>
              <w:left w:type="dxa" w:w="90"/>
              <w:bottom w:type="dxa" w:w="60"/>
              <w:right w:type="dxa" w:w="90"/>
            </w:tcMar>
          </w:tcPr>
          <w:p>
            <w:pPr>
              <w:spacing w:after="0"/>
            </w:pPr>
            <w:r>
              <w:rPr>
                <w:b/>
                <w:bCs/>
              </w:rPr>
              <w:t xml:space="preserve">Corroboration ≠ correctness; unvalidated</w:t>
            </w:r>
          </w:p>
        </w:tc>
      </w:tr>
    </w:tbl>
    <w:p>
      <w:pPr>
        <w:spacing w:after="160"/>
      </w:pPr>
    </w:p>
    <w:p>
      <w:pPr>
        <w:pStyle w:val="Heading2"/>
        <w:spacing w:after="140" w:before="260"/>
      </w:pPr>
      <w:r>
        <w:rPr>
          <w:b/>
          <w:bCs/>
          <w:sz w:val="24"/>
          <w:szCs w:val="24"/>
        </w:rPr>
        <w:t xml:space="preserve">1.8 Synthesis and Positioning</w:t>
      </w:r>
    </w:p>
    <w:p>
      <w:pPr>
        <w:spacing w:after="140" w:line="276"/>
        <w:jc w:val="both"/>
      </w:pPr>
      <w:r>
        <w:t xml:space="preserve">Three threads converge. Archival AV description rarely publishes per-field reliability. Consensus methods are mature for single-label classification but rarely applied to the heterogeneous field types a catalogue record actually contains — free text, ranked sets, closed-vocabulary multi-label, integers — each of which needs its own agreement measure. And where no human reference can be collected at all, there is little methodological guidance on what may legitimately be reported.</w:t>
      </w:r>
    </w:p>
    <w:p>
      <w:pPr>
        <w:spacing w:after="140" w:line="276"/>
        <w:jc w:val="both"/>
      </w:pPr>
      <w:r>
        <w:t xml:space="preserve">This project's position is to build the corroboration machinery, report it honestly as corroboration, and treat the resulting limits on what can be claimed as a finding rather than an apology. The strongest evidence that the position is the right one is RQ4: the hosted annotator rewrites 49.0% of visual-tag sets while agreeing with the local consensus 42% of the time, and the project's own instrumentation makes that visible </w:t>
      </w:r>
      <w:r>
        <w:rPr>
          <w:i/>
          <w:iCs/>
        </w:rPr>
        <w:t xml:space="preserve">and</w:t>
      </w:r>
      <w:r>
        <w:t xml:space="preserve"> makes clear it cannot be adjudicated without the human reference the project did not have.</w:t>
      </w:r>
    </w:p>
    <w:p>
      <w:pPr>
        <w:pStyle w:val="Heading1"/>
        <w:pageBreakBefore/>
        <w:spacing w:after="140" w:before="400"/>
      </w:pPr>
      <w:r>
        <w:rPr>
          <w:b/>
          <w:bCs/>
          <w:sz w:val="28"/>
          <w:szCs w:val="28"/>
        </w:rPr>
        <w:t xml:space="preserve">2. Project Lifecycle</w:t>
      </w:r>
    </w:p>
    <w:p>
      <w:pPr>
        <w:pStyle w:val="Heading2"/>
        <w:spacing w:after="140" w:before="260"/>
      </w:pPr>
      <w:r>
        <w:rPr>
          <w:b/>
          <w:bCs/>
          <w:sz w:val="24"/>
          <w:szCs w:val="24"/>
        </w:rPr>
        <w:t xml:space="preserve">2.1 Planning and Scoping</w:t>
      </w:r>
    </w:p>
    <w:p>
      <w:pPr>
        <w:spacing w:after="140" w:line="276"/>
        <w:jc w:val="both"/>
      </w:pPr>
      <w:r>
        <w:t xml:space="preserve">The initiating constraint was a requirement excluding manual annotation of the NVTV material. That single constraint determined the project's shape: with no gold standard obtainable, "how accurate is the metadata" became unanswerable, and the answerable question became "how strongly do independent sources corroborate each field, and what follows from that". Reframing the deliverable from an accurate catalogue to a </w:t>
      </w:r>
      <w:r>
        <w:rPr>
          <w:i/>
          <w:iCs/>
        </w:rPr>
        <w:t xml:space="preserve">triaged</w:t>
      </w:r>
      <w:r>
        <w:t xml:space="preserve"> catalogue was the decision the rest of the project depended on, and it was taken at the start rather than discovered late.</w:t>
      </w:r>
    </w:p>
    <w:p>
      <w:pPr>
        <w:spacing w:after="140" w:line="276"/>
        <w:jc w:val="both"/>
      </w:pPr>
      <w:r>
        <w:t xml:space="preserve">Five fields were fixed early — transcript, on-screen text, keywords, visual tags, people count — on the criterion that each must be generable by </w:t>
      </w:r>
      <w:r>
        <w:rPr>
          <w:b/>
          <w:bCs/>
        </w:rPr>
        <w:t xml:space="preserve">at least two architecturally unrelated model families</w:t>
      </w:r>
      <w:r>
        <w:t xml:space="preserve">. Fields failing that test were excluded no matter how useful they would have been: a single-source field cannot be corroborated, so it cannot carry the signal the project exists to produce.</w:t>
      </w:r>
    </w:p>
    <w:p>
      <w:pPr>
        <w:pStyle w:val="Heading2"/>
        <w:spacing w:after="140" w:before="260"/>
      </w:pPr>
      <w:r>
        <w:rPr>
          <w:b/>
          <w:bCs/>
          <w:sz w:val="24"/>
          <w:szCs w:val="24"/>
        </w:rPr>
        <w:t xml:space="preserve">2.2 Data Acquisition and Preparation</w:t>
      </w:r>
    </w:p>
    <w:p>
      <w:pPr>
        <w:spacing w:after="140" w:line="276"/>
        <w:jc w:val="both"/>
      </w:pPr>
      <w:r>
        <w:t xml:space="preserve">47 programmes were supplied as MP4 with optional matching synopsis text. Preparation: recursive discovery with deterministic sorting; exclusion of macOS sidecar files; FFprobe inspection before segmentation; 30-second segmentation with a 2.0-second minimum for the trailing fragment; per-clip duration validation; atomic publication.</w:t>
      </w:r>
    </w:p>
    <w:p>
      <w:pPr>
        <w:spacing w:after="140" w:line="276"/>
        <w:jc w:val="both"/>
      </w:pPr>
      <w:r>
        <w:rPr>
          <w:b/>
          <w:bCs/>
        </w:rPr>
        <w:t xml:space="preserve">Source-level splitting</w:t>
      </w:r>
      <w:r>
        <w:t xml:space="preserve"> was chosen over clip-level: 9 programmes (123 clips) to calibration, 38 (503 clips) to evaluation — a 19.6% calibration share against the configured </w:t>
      </w:r>
      <w:r>
        <w:rPr>
          <w:rFonts w:ascii="Consolas" w:cs="Consolas" w:eastAsia="Consolas" w:hAnsi="Consolas"/>
          <w:sz w:val="18"/>
          <w:szCs w:val="18"/>
        </w:rPr>
        <w:t xml:space="preserve">calibration_fraction</w:t>
      </w:r>
      <w:r>
        <w:t xml:space="preserve"> of 0.20, since </w:t>
      </w:r>
      <w:r>
        <w:rPr>
          <w:rFonts w:ascii="Consolas" w:cs="Consolas" w:eastAsia="Consolas" w:hAnsi="Consolas"/>
          <w:sz w:val="18"/>
          <w:szCs w:val="18"/>
        </w:rPr>
        <w:t xml:space="preserve">round(47 × 0.20) = 9</w:t>
      </w:r>
      <w:r>
        <w:t xml:space="preserve">. Clip-level splitting would have leaked, because consecutive clips from one programme share a studio, a caption template, a speaker and a lighting setup. Only the calibration split was inspected while choosing the sampling policy and thresholds.</w:t>
      </w:r>
    </w:p>
    <w:p>
      <w:pPr>
        <w:pStyle w:val="Heading2"/>
        <w:spacing w:after="140" w:before="260"/>
      </w:pPr>
      <w:r>
        <w:rPr>
          <w:b/>
          <w:bCs/>
          <w:sz w:val="24"/>
          <w:szCs w:val="24"/>
        </w:rPr>
        <w:t xml:space="preserve">2.3 Implementation</w:t>
      </w:r>
    </w:p>
    <w:p>
      <w:pPr>
        <w:spacing w:after="140" w:line="276"/>
        <w:jc w:val="both"/>
      </w:pPr>
      <w:r>
        <w:t xml:space="preserve">Built as three notebooks (</w:t>
      </w:r>
      <w:r>
        <w:rPr>
          <w:rFonts w:ascii="Consolas" w:cs="Consolas" w:eastAsia="Consolas" w:hAnsi="Consolas"/>
          <w:sz w:val="18"/>
          <w:szCs w:val="18"/>
        </w:rPr>
        <w:t xml:space="preserve">notebooks/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FEF" w:color="auto" w:val="clear"/>
            <w:tcMar>
              <w:top w:type="dxa" w:w="60"/>
              <w:left w:type="dxa" w:w="90"/>
              <w:bottom w:type="dxa" w:w="60"/>
              <w:right w:type="dxa" w:w="90"/>
            </w:tcMar>
          </w:tcPr>
          <w:p>
            <w:pPr>
              <w:spacing w:after="0"/>
            </w:pPr>
            <w:r>
              <w:rPr>
                <w:b/>
                <w:bCs/>
              </w:rPr>
              <w:t xml:space="preserve">Notebook</w:t>
            </w:r>
          </w:p>
        </w:tc>
        <w:tc>
          <w:tcPr>
            <w:tcW w:type="dxa" w:w="4680"/>
            <w:shd w:fill="EFEFEF" w:color="auto" w:val="clear"/>
            <w:tcMar>
              <w:top w:type="dxa" w:w="60"/>
              <w:left w:type="dxa" w:w="90"/>
              <w:bottom w:type="dxa" w:w="60"/>
              <w:right w:type="dxa" w:w="90"/>
            </w:tcMar>
          </w:tcPr>
          <w:p>
            <w:pPr>
              <w:spacing w:after="0"/>
            </w:pPr>
            <w:r>
              <w:rPr>
                <w:b/>
                <w:bCs/>
              </w:rPr>
              <w:t xml:space="preserve">Role</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01_metadata_pipeline.ipynb</w:t>
            </w:r>
          </w:p>
        </w:tc>
        <w:tc>
          <w:tcPr>
            <w:tcW w:type="dxa" w:w="4680"/>
            <w:tcMar>
              <w:top w:type="dxa" w:w="60"/>
              <w:left w:type="dxa" w:w="90"/>
              <w:bottom w:type="dxa" w:w="60"/>
              <w:right w:type="dxa" w:w="90"/>
            </w:tcMar>
          </w:tcPr>
          <w:p>
            <w:pPr>
              <w:spacing w:after="0"/>
            </w:pPr>
            <w:r>
              <w:t xml:space="preserve">Clip creation, all five fields, verifier phases, hosted annotator, ablations, robustness, agreement scoring, focused export, Flask browser</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02_vlm_benchmark_run.ipynb</w:t>
            </w:r>
          </w:p>
        </w:tc>
        <w:tc>
          <w:tcPr>
            <w:tcW w:type="dxa" w:w="4680"/>
            <w:tcMar>
              <w:top w:type="dxa" w:w="60"/>
              <w:left w:type="dxa" w:w="90"/>
              <w:bottom w:type="dxa" w:w="60"/>
              <w:right w:type="dxa" w:w="90"/>
            </w:tcMar>
          </w:tcPr>
          <w:p>
            <w:pPr>
              <w:spacing w:after="0"/>
            </w:pPr>
            <w:r>
              <w:t xml:space="preserve">Runs seven VLMs over all 626 clips, one at a time, checkpointed and resumable; also scores them, builds the comparison and coverage tables, the per-model agreement-tier charts and the qualitative spot-checks</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03_vlm_benchmark_comparison.ipynb</w:t>
            </w:r>
          </w:p>
        </w:tc>
        <w:tc>
          <w:tcPr>
            <w:tcW w:type="dxa" w:w="4680"/>
            <w:tcMar>
              <w:top w:type="dxa" w:w="60"/>
              <w:left w:type="dxa" w:w="90"/>
              <w:bottom w:type="dxa" w:w="60"/>
              <w:right w:type="dxa" w:w="90"/>
            </w:tcMar>
          </w:tcPr>
          <w:p>
            <w:pPr>
              <w:spacing w:after="0"/>
            </w:pPr>
            <w:r>
              <w:t xml:space="preserve">Loads cached predictions only; scores and builds the comparison tables. Loads no models</w:t>
            </w:r>
          </w:p>
        </w:tc>
      </w:tr>
    </w:tbl>
    <w:p>
      <w:pPr>
        <w:spacing w:after="160"/>
      </w:pPr>
    </w:p>
    <w:p>
      <w:pPr>
        <w:spacing w:after="140" w:line="276"/>
        <w:jc w:val="both"/>
      </w:pPr>
      <w:r>
        <w:t xml:space="preserve">The third notebook exists because of a lesson learned the hard way (§5.3): separating scoring from inference means the comparison tables can be rebuilt in seconds without a GPU, and a model with no cache appears as zero coverage instead of crashing the run.</w:t>
      </w:r>
    </w:p>
    <w:p>
      <w:pPr>
        <w:spacing w:after="140" w:line="276"/>
        <w:jc w:val="both"/>
      </w:pPr>
      <w:r>
        <w:t xml:space="preserve">Two implementation constraints shaped the code. </w:t>
      </w:r>
      <w:r>
        <w:rPr>
          <w:b/>
          <w:bCs/>
        </w:rPr>
        <w:t xml:space="preserve">GPU memory</w:t>
      </w:r>
      <w:r>
        <w:t xml:space="preserve">: models are loaded in phases — primary models, then released; verifier ASR, then released; verifier visual; and in the benchmark, exactly one VLM resident at a time. </w:t>
      </w:r>
      <w:r>
        <w:rPr>
          <w:b/>
          <w:bCs/>
        </w:rPr>
        <w:t xml:space="preserve">Concurrency</w:t>
      </w:r>
      <w:r>
        <w:t xml:space="preserve">: CPU OCR runs bounded-parallel while shared-model GPU inference is serialised, because the model objects are not thread-safe and CUDA contention produced non-deterministic failures.</w:t>
      </w:r>
    </w:p>
    <w:p>
      <w:pPr>
        <w:pStyle w:val="Heading2"/>
        <w:spacing w:after="140" w:before="260"/>
      </w:pPr>
      <w:r>
        <w:rPr>
          <w:b/>
          <w:bCs/>
          <w:sz w:val="24"/>
          <w:szCs w:val="24"/>
        </w:rPr>
        <w:t xml:space="preserve">2.4 Experimentation</w:t>
      </w:r>
    </w:p>
    <w:p>
      <w:pPr>
        <w:spacing w:after="140" w:line="276"/>
        <w:jc w:val="both"/>
      </w:pPr>
      <w:r>
        <w:t xml:space="preserve">Four experiments, all specified before results were inspected: the frame-sampling ablation (calibration subset, </w:t>
      </w:r>
      <w:r>
        <w:rPr>
          <w:i/>
          <w:iCs/>
        </w:rPr>
        <w:t xml:space="preserve">n</w:t>
      </w:r>
      <w:r>
        <w:t xml:space="preserve"> = 8); perturbation robustness (</w:t>
      </w:r>
      <w:r>
        <w:rPr>
          <w:i/>
          <w:iCs/>
        </w:rPr>
        <w:t xml:space="preserve">n</w:t>
      </w:r>
      <w:r>
        <w:t xml:space="preserve"> = 5); the hosted-annotator contribution ablation (</w:t>
      </w:r>
      <w:r>
        <w:rPr>
          <w:i/>
          <w:iCs/>
        </w:rPr>
        <w:t xml:space="preserve">n</w:t>
      </w:r>
      <w:r>
        <w:t xml:space="preserve"> = 626); and the VLM benchmark (</w:t>
      </w:r>
      <w:r>
        <w:rPr>
          <w:i/>
          <w:iCs/>
        </w:rPr>
        <w:t xml:space="preserve">n</w:t>
      </w:r>
      <w:r>
        <w:t xml:space="preserve"> = 626, 21,489 scores).</w:t>
      </w:r>
    </w:p>
    <w:p>
      <w:pPr>
        <w:spacing w:after="140" w:line="276"/>
        <w:jc w:val="both"/>
      </w:pPr>
      <w:r>
        <w:t xml:space="preserve">The ablation and robustness sample sizes were set by runtime, and both are underpowered. They were run on the calibration split specifically so that a policy could be chosen without inspecting evaluation material — a real methodological gain that does not offset the low </w:t>
      </w:r>
      <w:r>
        <w:rPr>
          <w:i/>
          <w:iCs/>
        </w:rPr>
        <w:t xml:space="preserve">n</w:t>
      </w:r>
      <w:r>
        <w:t xml:space="preserve">, and both are reported with sample sizes in the table captions so no reader can mistake their weight.</w:t>
      </w:r>
    </w:p>
    <w:p>
      <w:pPr>
        <w:pStyle w:val="Heading2"/>
        <w:spacing w:after="140" w:before="260"/>
      </w:pPr>
      <w:r>
        <w:rPr>
          <w:b/>
          <w:bCs/>
          <w:sz w:val="24"/>
          <w:szCs w:val="24"/>
        </w:rPr>
        <w:t xml:space="preserve">2.5 Evaluation and Iteration</w:t>
      </w:r>
    </w:p>
    <w:p>
      <w:pPr>
        <w:spacing w:after="140" w:line="276"/>
        <w:jc w:val="both"/>
      </w:pPr>
      <w:r>
        <w:t xml:space="preserve">Per-clip checkpointing made iteration cheap: a change to the agreement rules re-ran scoring without re-running inference. Failures were recorded against clip identifiers rather than suppressed — the final pipeline run recorded 626 successes and 0 failures, and the benchmark recorded which clips each model was actually scored on (626/626 for five of seven models on the free-text and tag fields, 625 and 624 for the two that lost clips to JSON parse failure, and 566–568/626 on people count) so that a score computed from fewer clips is visible rather than hidden.</w:t>
      </w:r>
    </w:p>
    <w:p>
      <w:pPr>
        <w:pStyle w:val="Heading1"/>
        <w:pageBreakBefore/>
        <w:spacing w:after="140" w:before="400"/>
      </w:pPr>
      <w:r>
        <w:rPr>
          <w:b/>
          <w:bCs/>
          <w:sz w:val="28"/>
          <w:szCs w:val="28"/>
        </w:rPr>
        <w:t xml:space="preserve">3. Verification and Validation</w:t>
      </w:r>
    </w:p>
    <w:p>
      <w:pPr>
        <w:spacing w:after="140" w:line="276"/>
        <w:jc w:val="both"/>
      </w:pPr>
      <w:r>
        <w:t xml:space="preserve">Nothing in this section measures correctness against human judgement — none is available. It verifies that the system does what it is specified to do.</w:t>
      </w:r>
    </w:p>
    <w:p>
      <w:pPr>
        <w:pStyle w:val="Heading2"/>
        <w:spacing w:after="140" w:before="260"/>
      </w:pPr>
      <w:r>
        <w:rPr>
          <w:b/>
          <w:bCs/>
          <w:sz w:val="24"/>
          <w:szCs w:val="24"/>
        </w:rPr>
        <w:t xml:space="preserve">3.1 Clip Creation</w:t>
      </w:r>
    </w:p>
    <w:p>
      <w:pPr>
        <w:pStyle w:val="ListParagraph"/>
        <w:numPr>
          <w:ilvl w:val="0"/>
          <w:numId w:val="1"/>
        </w:numPr>
        <w:spacing w:after="90" w:line="276"/>
      </w:pPr>
      <w:r>
        <w:rPr>
          <w:b/>
          <w:bCs/>
        </w:rPr>
        <w:t xml:space="preserve">Duration validation.</w:t>
      </w:r>
      <w:r>
        <w:t xml:space="preserve"> Every clip's duration is FFprobe-verified after writing; a clip failing validation is not published. 626/626 passed.</w:t>
      </w:r>
    </w:p>
    <w:p>
      <w:pPr>
        <w:pStyle w:val="ListParagraph"/>
        <w:numPr>
          <w:ilvl w:val="0"/>
          <w:numId w:val="1"/>
        </w:numPr>
        <w:spacing w:after="90" w:line="276"/>
      </w:pPr>
      <w:r>
        <w:rPr>
          <w:b/>
          <w:bCs/>
        </w:rPr>
        <w:t xml:space="preserve">Atomic publication.</w:t>
      </w:r>
      <w:r>
        <w:t xml:space="preserve"> Each worker writes a uniquely named partial file and renames on success, so an interrupted run cannot leave a truncated MP4 that a later run would treat as complete.</w:t>
      </w:r>
    </w:p>
    <w:p>
      <w:pPr>
        <w:pStyle w:val="ListParagraph"/>
        <w:numPr>
          <w:ilvl w:val="0"/>
          <w:numId w:val="1"/>
        </w:numPr>
        <w:spacing w:after="90" w:line="276"/>
      </w:pPr>
      <w:r>
        <w:rPr>
          <w:b/>
          <w:bCs/>
        </w:rPr>
        <w:t xml:space="preserve">Order independence.</w:t>
      </w:r>
      <w:r>
        <w:t xml:space="preserve"> The manifest is sorted deterministically after collection, so thread completion order cannot affect dataset ordering or the source-level split.</w:t>
      </w:r>
    </w:p>
    <w:p>
      <w:pPr>
        <w:pStyle w:val="ListParagraph"/>
        <w:numPr>
          <w:ilvl w:val="0"/>
          <w:numId w:val="1"/>
        </w:numPr>
        <w:spacing w:after="90" w:line="276"/>
      </w:pPr>
      <w:r>
        <w:rPr>
          <w:b/>
          <w:bCs/>
        </w:rPr>
        <w:t xml:space="preserve">Boundary continuity — verified.</w:t>
      </w:r>
      <w:r>
        <w:t xml:space="preserve"> Across all 579 adjacent clip pairs in the manifest, the maximum |</w:t>
      </w:r>
      <w:r>
        <w:rPr>
          <w:rFonts w:ascii="Consolas" w:cs="Consolas" w:eastAsia="Consolas" w:hAnsi="Consolas"/>
          <w:sz w:val="18"/>
          <w:szCs w:val="18"/>
        </w:rPr>
        <w:t xml:space="preserve">start_sec</w:t>
      </w:r>
      <w:r>
        <w:t xml:space="preserve">(n) − </w:t>
      </w:r>
      <w:r>
        <w:rPr>
          <w:rFonts w:ascii="Consolas" w:cs="Consolas" w:eastAsia="Consolas" w:hAnsi="Consolas"/>
          <w:sz w:val="18"/>
          <w:szCs w:val="18"/>
        </w:rPr>
        <w:t xml:space="preserve">end_sec</w:t>
      </w:r>
      <w:r>
        <w:t xml:space="preserve">(n−1)| is </w:t>
      </w:r>
      <w:r>
        <w:rPr>
          <w:b/>
          <w:bCs/>
        </w:rPr>
        <w:t xml:space="preserve">0.0000 s</w:t>
      </w:r>
      <w:r>
        <w:t xml:space="preserve">, mean 0.0000 s. Segment boundaries are exact; no timestamp drift or reset is present.</w:t>
      </w:r>
    </w:p>
    <w:p>
      <w:pPr>
        <w:pStyle w:val="Heading2"/>
        <w:spacing w:after="140" w:before="260"/>
      </w:pPr>
      <w:r>
        <w:rPr>
          <w:b/>
          <w:bCs/>
          <w:sz w:val="24"/>
          <w:szCs w:val="24"/>
        </w:rPr>
        <w:t xml:space="preserve">3.2 Split Integrity</w:t>
      </w:r>
    </w:p>
    <w:p>
      <w:pPr>
        <w:pStyle w:val="ListParagraph"/>
        <w:numPr>
          <w:ilvl w:val="0"/>
          <w:numId w:val="1"/>
        </w:numPr>
        <w:spacing w:after="90" w:line="276"/>
      </w:pPr>
      <w:r>
        <w:t xml:space="preserve">No source contributes clips to both splits (enforced at source level, verifiable from the manifest).</w:t>
      </w:r>
    </w:p>
    <w:p>
      <w:pPr>
        <w:pStyle w:val="ListParagraph"/>
        <w:numPr>
          <w:ilvl w:val="0"/>
          <w:numId w:val="1"/>
        </w:numPr>
        <w:spacing w:after="90" w:line="276"/>
      </w:pPr>
      <w:r>
        <w:t xml:space="preserve">Clip counts per split: calibration 123, evaluation 503, summing to 626. The split is assigned by </w:t>
      </w:r>
      <w:r>
        <w:rPr>
          <w:rFonts w:ascii="Consolas" w:cs="Consolas" w:eastAsia="Consolas" w:hAnsi="Consolas"/>
          <w:sz w:val="18"/>
          <w:szCs w:val="18"/>
        </w:rPr>
        <w:t xml:space="preserve">assign_source_splits</w:t>
      </w:r>
      <w:r>
        <w:t xml:space="preserve">, which seeds </w:t>
      </w:r>
      <w:r>
        <w:rPr>
          <w:rFonts w:ascii="Consolas" w:cs="Consolas" w:eastAsia="Consolas" w:hAnsi="Consolas"/>
          <w:sz w:val="18"/>
          <w:szCs w:val="18"/>
        </w:rPr>
        <w:t xml:space="preserve">np.random.default_rng(SEED)</w:t>
      </w:r>
      <w:r>
        <w:t xml:space="preserve"> and permutes a </w:t>
      </w:r>
      <w:r>
        <w:rPr>
          <w:b/>
          <w:bCs/>
        </w:rPr>
        <w:t xml:space="preserve">sorted</w:t>
      </w:r>
      <w:r>
        <w:t xml:space="preserve"> unique-identifier list, so it is deterministic across runs and independent of file discovery order.</w:t>
      </w:r>
    </w:p>
    <w:p>
      <w:pPr>
        <w:pStyle w:val="ListParagraph"/>
        <w:numPr>
          <w:ilvl w:val="0"/>
          <w:numId w:val="1"/>
        </w:numPr>
        <w:spacing w:after="90" w:line="276"/>
      </w:pPr>
      <w:r>
        <w:rPr>
          <w:b/>
          <w:bCs/>
        </w:rPr>
        <w:t xml:space="preserve">Split disjointness — verified.</w:t>
      </w:r>
      <w:r>
        <w:t xml:space="preserve"> 9 calibration source IDs, 38 evaluation, intersection of size </w:t>
      </w:r>
      <w:r>
        <w:rPr>
          <w:b/>
          <w:bCs/>
        </w:rPr>
        <w:t xml:space="preserve">0</w:t>
      </w:r>
      <w:r>
        <w:t xml:space="preserve">. No programme contributes clips to both sides.</w:t>
      </w:r>
    </w:p>
    <w:p>
      <w:pPr>
        <w:pStyle w:val="Heading2"/>
        <w:spacing w:after="140" w:before="260"/>
      </w:pPr>
      <w:r>
        <w:rPr>
          <w:b/>
          <w:bCs/>
          <w:sz w:val="24"/>
          <w:szCs w:val="24"/>
        </w:rPr>
        <w:t xml:space="preserve">3.3 Determinism and Resumability</w:t>
      </w:r>
    </w:p>
    <w:p>
      <w:pPr>
        <w:pStyle w:val="ListParagraph"/>
        <w:numPr>
          <w:ilvl w:val="0"/>
          <w:numId w:val="1"/>
        </w:numPr>
        <w:spacing w:after="90" w:line="276"/>
      </w:pPr>
      <w:r>
        <w:t xml:space="preserve">Seeds fixed for </w:t>
      </w:r>
      <w:r>
        <w:rPr>
          <w:rFonts w:ascii="Consolas" w:cs="Consolas" w:eastAsia="Consolas" w:hAnsi="Consolas"/>
          <w:sz w:val="18"/>
          <w:szCs w:val="18"/>
        </w:rPr>
        <w:t xml:space="preserve">random</w:t>
      </w:r>
      <w:r>
        <w:t xml:space="preserve">, </w:t>
      </w:r>
      <w:r>
        <w:rPr>
          <w:rFonts w:ascii="Consolas" w:cs="Consolas" w:eastAsia="Consolas" w:hAnsi="Consolas"/>
          <w:sz w:val="18"/>
          <w:szCs w:val="18"/>
        </w:rPr>
        <w:t xml:space="preserve">numpy</w:t>
      </w:r>
      <w:r>
        <w:t xml:space="preserve"> and </w:t>
      </w:r>
      <w:r>
        <w:rPr>
          <w:rFonts w:ascii="Consolas" w:cs="Consolas" w:eastAsia="Consolas" w:hAnsi="Consolas"/>
          <w:sz w:val="18"/>
          <w:szCs w:val="18"/>
        </w:rPr>
        <w:t xml:space="preserve">torch</w:t>
      </w:r>
      <w:r>
        <w:t xml:space="preserve">; greedy decoding throughout the benchmark.</w:t>
      </w:r>
    </w:p>
    <w:p>
      <w:pPr>
        <w:pStyle w:val="ListParagraph"/>
        <w:numPr>
          <w:ilvl w:val="0"/>
          <w:numId w:val="1"/>
        </w:numPr>
        <w:spacing w:after="90" w:line="276"/>
      </w:pPr>
      <w:r>
        <w:t xml:space="preserve">Model revisions resolved to commit hashes and recorded — e.g. CLIP </w:t>
      </w:r>
      <w:r>
        <w:rPr>
          <w:rFonts w:ascii="Consolas" w:cs="Consolas" w:eastAsia="Consolas" w:hAnsi="Consolas"/>
          <w:sz w:val="18"/>
          <w:szCs w:val="18"/>
        </w:rPr>
        <w:t xml:space="preserve">32bd6428…</w:t>
      </w:r>
      <w:r>
        <w:t xml:space="preserve">, ViLT </w:t>
      </w:r>
      <w:r>
        <w:rPr>
          <w:rFonts w:ascii="Consolas" w:cs="Consolas" w:eastAsia="Consolas" w:hAnsi="Consolas"/>
          <w:sz w:val="18"/>
          <w:szCs w:val="18"/>
        </w:rPr>
        <w:t xml:space="preserve">d0a1f6ab…</w:t>
      </w:r>
      <w:r>
        <w:t xml:space="preserve">, DETR </w:t>
      </w:r>
      <w:r>
        <w:rPr>
          <w:rFonts w:ascii="Consolas" w:cs="Consolas" w:eastAsia="Consolas" w:hAnsi="Consolas"/>
          <w:sz w:val="18"/>
          <w:szCs w:val="18"/>
        </w:rPr>
        <w:t xml:space="preserve">70120ba8…</w:t>
      </w:r>
      <w:r>
        <w:t xml:space="preserve">, MiniLM </w:t>
      </w:r>
      <w:r>
        <w:rPr>
          <w:rFonts w:ascii="Consolas" w:cs="Consolas" w:eastAsia="Consolas" w:hAnsi="Consolas"/>
          <w:sz w:val="18"/>
          <w:szCs w:val="18"/>
        </w:rPr>
        <w:t xml:space="preserve">1110a243…</w:t>
      </w:r>
      <w:r>
        <w:t xml:space="preserve"> — so a re-run can be pinned to identical weights.</w:t>
      </w:r>
    </w:p>
    <w:p>
      <w:pPr>
        <w:pStyle w:val="ListParagraph"/>
        <w:numPr>
          <w:ilvl w:val="0"/>
          <w:numId w:val="1"/>
        </w:numPr>
        <w:spacing w:after="90" w:line="276"/>
      </w:pPr>
      <w:r>
        <w:rPr>
          <w:b/>
          <w:bCs/>
          <w:highlight w:val="yellow"/>
          <w:highlightCs w:val="yellow"/>
        </w:rPr>
        <w:t xml:space="preserve">`[TO FILL: resume equivalence test.]`</w:t>
      </w:r>
      <w:r>
        <w:t xml:space="preserve"> Run 20 clips uninterrupted; run the same 20 with a forced interruption at clip 10 and a resume; diff the resulting JSON. They must be identical. This is the single most valuable unrun check in this document: the entire pipeline is built on checkpoint-and-resume, and that property is currently assumed rather than demonstrated.</w:t>
      </w:r>
    </w:p>
    <w:p>
      <w:pPr>
        <w:pStyle w:val="Heading2"/>
        <w:spacing w:after="140" w:before="260"/>
      </w:pPr>
      <w:r>
        <w:rPr>
          <w:b/>
          <w:bCs/>
          <w:sz w:val="24"/>
          <w:szCs w:val="24"/>
        </w:rPr>
        <w:t xml:space="preserve">3.4 Agreement-Machinery Verification</w:t>
      </w:r>
    </w:p>
    <w:p>
      <w:pPr>
        <w:spacing w:after="140" w:line="276"/>
        <w:jc w:val="both"/>
      </w:pPr>
      <w:r>
        <w:t xml:space="preserve">The agreement code embodies three rules that are worth testing directly, because a silent failure in any of them would inflate every reported score:</w:t>
      </w:r>
    </w:p>
    <w:p>
      <w:pPr>
        <w:spacing w:after="90" w:line="276"/>
        <w:ind w:left="360" w:hanging="360"/>
      </w:pPr>
      <w:r>
        <w:t xml:space="preserve">1. </w:t>
      </w:r>
      <w:r>
        <w:rPr>
          <w:b/>
          <w:bCs/>
        </w:rPr>
        <w:t xml:space="preserve">Self-similarity exclusion.</w:t>
      </w:r>
      <w:r>
        <w:t xml:space="preserve"> A field with one source must return </w:t>
      </w:r>
      <w:r>
        <w:rPr>
          <w:rFonts w:ascii="Consolas" w:cs="Consolas" w:eastAsia="Consolas" w:hAnsi="Consolas"/>
          <w:sz w:val="18"/>
          <w:szCs w:val="18"/>
        </w:rPr>
        <w:t xml:space="preserve">agreement_score = null</w:t>
      </w:r>
      <w:r>
        <w:t xml:space="preserve"> and </w:t>
      </w:r>
      <w:r>
        <w:rPr>
          <w:rFonts w:ascii="Consolas" w:cs="Consolas" w:eastAsia="Consolas" w:hAnsi="Consolas"/>
          <w:sz w:val="18"/>
          <w:szCs w:val="18"/>
        </w:rPr>
        <w:t xml:space="preserve">agreement_tier = not_scored</w:t>
      </w:r>
      <w:r>
        <w:t xml:space="preserve">, never 1.0.</w:t>
      </w:r>
    </w:p>
    <w:p>
      <w:pPr>
        <w:spacing w:after="90" w:line="276"/>
        <w:ind w:left="360" w:hanging="360"/>
      </w:pPr>
      <w:r>
        <w:t xml:space="preserve">2. </w:t>
      </w:r>
      <w:r>
        <w:rPr>
          <w:b/>
          <w:bCs/>
        </w:rPr>
        <w:t xml:space="preserve">No empty-output promotion.</w:t>
      </w:r>
      <w:r>
        <w:t xml:space="preserve"> A field where all sources return empty must be </w:t>
      </w:r>
      <w:r>
        <w:rPr>
          <w:rFonts w:ascii="Consolas" w:cs="Consolas" w:eastAsia="Consolas" w:hAnsi="Consolas"/>
          <w:sz w:val="18"/>
          <w:szCs w:val="18"/>
        </w:rPr>
        <w:t xml:space="preserve">not_detected</w:t>
      </w:r>
      <w:r>
        <w:t xml:space="preserve"> with a null score.</w:t>
      </w:r>
    </w:p>
    <w:p>
      <w:pPr>
        <w:spacing w:after="90" w:line="276"/>
        <w:ind w:left="360" w:hanging="360"/>
      </w:pPr>
      <w:r>
        <w:t xml:space="preserve">3. </w:t>
      </w:r>
      <w:r>
        <w:rPr>
          <w:b/>
          <w:bCs/>
        </w:rPr>
        <w:t xml:space="preserve">Equal family weight.</w:t>
      </w:r>
      <w:r>
        <w:t xml:space="preserve"> Sampling more frames must not change a family's total vote weight.</w:t>
      </w:r>
    </w:p>
    <w:p>
      <w:pPr>
        <w:spacing w:after="140" w:line="276"/>
        <w:jc w:val="both"/>
      </w:pPr>
      <w:r>
        <w:rPr>
          <w:b/>
          <w:bCs/>
          <w:highlight w:val="yellow"/>
          <w:highlightCs w:val="yellow"/>
        </w:rPr>
        <w:t xml:space="preserve">`[TO FILL]`</w:t>
      </w:r>
      <w:r>
        <w:t xml:space="preserve"> Assert each of the three on constructed inputs and report the result. Rule 3 is the one most likely to break silently under a future change to the sampling policy.</w:t>
      </w:r>
    </w:p>
    <w:p>
      <w:pPr>
        <w:pStyle w:val="Heading2"/>
        <w:spacing w:after="140" w:before="260"/>
      </w:pPr>
      <w:r>
        <w:rPr>
          <w:b/>
          <w:bCs/>
          <w:sz w:val="24"/>
          <w:szCs w:val="24"/>
        </w:rPr>
        <w:t xml:space="preserve">3.5 OCR Veto Verification</w:t>
      </w:r>
    </w:p>
    <w:p>
      <w:pPr>
        <w:spacing w:after="140" w:line="276"/>
        <w:jc w:val="both"/>
      </w:pPr>
      <w:r>
        <w:t xml:space="preserve">The strict dual-engine rule was verified empirically, not just by inspection: the hosted annotator proposed on-screen text on 38.5% of clips (626 clips) and the </w:t>
      </w:r>
      <w:r>
        <w:rPr>
          <w:b/>
          <w:bCs/>
        </w:rPr>
        <w:t xml:space="preserve">exact output-change rate was 0.0000</w:t>
      </w:r>
      <w:r>
        <w:t xml:space="preserve">. The veto holds across the whole corpus. This is reported as a result in the paper (Table V) because it is one — a specified safety property, tested at corpus scale and confirmed.</w:t>
      </w:r>
    </w:p>
    <w:p>
      <w:pPr>
        <w:pStyle w:val="Heading2"/>
        <w:spacing w:after="140" w:before="260"/>
      </w:pPr>
      <w:r>
        <w:rPr>
          <w:b/>
          <w:bCs/>
          <w:sz w:val="24"/>
          <w:szCs w:val="24"/>
        </w:rPr>
        <w:t xml:space="preserve">3.6 Source-Independence Audit</w:t>
      </w:r>
    </w:p>
    <w:p>
      <w:pPr>
        <w:spacing w:after="140" w:line="276"/>
        <w:jc w:val="both"/>
      </w:pPr>
      <w:r>
        <w:t xml:space="preserve">The equal-weight scheme assumes independent families. Two pairs are not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FEF" w:color="auto" w:val="clear"/>
            <w:tcMar>
              <w:top w:type="dxa" w:w="60"/>
              <w:left w:type="dxa" w:w="90"/>
              <w:bottom w:type="dxa" w:w="60"/>
              <w:right w:type="dxa" w:w="90"/>
            </w:tcMar>
          </w:tcPr>
          <w:p>
            <w:pPr>
              <w:spacing w:after="0"/>
            </w:pPr>
            <w:r>
              <w:rPr>
                <w:b/>
                <w:bCs/>
              </w:rPr>
              <w:t xml:space="preserve">Pair</w:t>
            </w:r>
          </w:p>
        </w:tc>
        <w:tc>
          <w:tcPr>
            <w:tcW w:type="dxa" w:w="3120"/>
            <w:shd w:fill="EFEFEF" w:color="auto" w:val="clear"/>
            <w:tcMar>
              <w:top w:type="dxa" w:w="60"/>
              <w:left w:type="dxa" w:w="90"/>
              <w:bottom w:type="dxa" w:w="60"/>
              <w:right w:type="dxa" w:w="90"/>
            </w:tcMar>
          </w:tcPr>
          <w:p>
            <w:pPr>
              <w:spacing w:after="0"/>
            </w:pPr>
            <w:r>
              <w:rPr>
                <w:b/>
                <w:bCs/>
              </w:rPr>
              <w:t xml:space="preserve">Shared</w:t>
            </w:r>
          </w:p>
        </w:tc>
        <w:tc>
          <w:tcPr>
            <w:tcW w:type="dxa" w:w="3120"/>
            <w:shd w:fill="EFEFEF" w:color="auto" w:val="clear"/>
            <w:tcMar>
              <w:top w:type="dxa" w:w="60"/>
              <w:left w:type="dxa" w:w="90"/>
              <w:bottom w:type="dxa" w:w="60"/>
              <w:right w:type="dxa" w:w="90"/>
            </w:tcMar>
          </w:tcPr>
          <w:p>
            <w:pPr>
              <w:spacing w:after="0"/>
            </w:pPr>
            <w:r>
              <w:rPr>
                <w:b/>
                <w:bCs/>
              </w:rPr>
              <w:t xml:space="preserve">Consequence</w:t>
            </w:r>
          </w:p>
        </w:tc>
      </w:tr>
      <w:tr>
        <w:trPr>
          <w:tblHeader w:val="false"/>
        </w:trPr>
        <w:tc>
          <w:tcPr>
            <w:tcW w:type="dxa" w:w="3120"/>
            <w:tcMar>
              <w:top w:type="dxa" w:w="60"/>
              <w:left w:type="dxa" w:w="90"/>
              <w:bottom w:type="dxa" w:w="60"/>
              <w:right w:type="dxa" w:w="90"/>
            </w:tcMar>
          </w:tcPr>
          <w:p>
            <w:pPr>
              <w:spacing w:after="0"/>
            </w:pPr>
            <w:r>
              <w:t xml:space="preserve">CLIP ViT-B/32 / ViT-L/14</w:t>
            </w:r>
          </w:p>
        </w:tc>
        <w:tc>
          <w:tcPr>
            <w:tcW w:type="dxa" w:w="3120"/>
            <w:tcMar>
              <w:top w:type="dxa" w:w="60"/>
              <w:left w:type="dxa" w:w="90"/>
              <w:bottom w:type="dxa" w:w="60"/>
              <w:right w:type="dxa" w:w="90"/>
            </w:tcMar>
          </w:tcPr>
          <w:p>
            <w:pPr>
              <w:spacing w:after="0"/>
            </w:pPr>
            <w:r>
              <w:t xml:space="preserve">Architecture, training objective, data distribution</w:t>
            </w:r>
          </w:p>
        </w:tc>
        <w:tc>
          <w:tcPr>
            <w:tcW w:type="dxa" w:w="3120"/>
            <w:tcMar>
              <w:top w:type="dxa" w:w="60"/>
              <w:left w:type="dxa" w:w="90"/>
              <w:bottom w:type="dxa" w:w="60"/>
              <w:right w:type="dxa" w:w="90"/>
            </w:tcMar>
          </w:tcPr>
          <w:p>
            <w:pPr>
              <w:spacing w:after="0"/>
            </w:pPr>
            <w:r>
              <w:t xml:space="preserve">Visual-tag agreement overstated</w:t>
            </w:r>
          </w:p>
        </w:tc>
      </w:tr>
      <w:tr>
        <w:trPr>
          <w:tblHeader w:val="false"/>
        </w:trPr>
        <w:tc>
          <w:tcPr>
            <w:tcW w:type="dxa" w:w="3120"/>
            <w:tcMar>
              <w:top w:type="dxa" w:w="60"/>
              <w:left w:type="dxa" w:w="90"/>
              <w:bottom w:type="dxa" w:w="60"/>
              <w:right w:type="dxa" w:w="90"/>
            </w:tcMar>
          </w:tcPr>
          <w:p>
            <w:pPr>
              <w:spacing w:after="0"/>
            </w:pPr>
            <w:r>
              <w:t xml:space="preserve">Whisper-small / -turbo</w:t>
            </w:r>
          </w:p>
        </w:tc>
        <w:tc>
          <w:tcPr>
            <w:tcW w:type="dxa" w:w="3120"/>
            <w:tcMar>
              <w:top w:type="dxa" w:w="60"/>
              <w:left w:type="dxa" w:w="90"/>
              <w:bottom w:type="dxa" w:w="60"/>
              <w:right w:type="dxa" w:w="90"/>
            </w:tcMar>
          </w:tcPr>
          <w:p>
            <w:pPr>
              <w:spacing w:after="0"/>
            </w:pPr>
            <w:r>
              <w:t xml:space="preserve">Architecture, training data</w:t>
            </w:r>
          </w:p>
        </w:tc>
        <w:tc>
          <w:tcPr>
            <w:tcW w:type="dxa" w:w="3120"/>
            <w:tcMar>
              <w:top w:type="dxa" w:w="60"/>
              <w:left w:type="dxa" w:w="90"/>
              <w:bottom w:type="dxa" w:w="60"/>
              <w:right w:type="dxa" w:w="90"/>
            </w:tcMar>
          </w:tcPr>
          <w:p>
            <w:pPr>
              <w:spacing w:after="0"/>
            </w:pPr>
            <w:r>
              <w:t xml:space="preserve">Transcript agreement overstated</w:t>
            </w:r>
          </w:p>
        </w:tc>
      </w:tr>
    </w:tbl>
    <w:p>
      <w:pPr>
        <w:spacing w:after="160"/>
      </w:pPr>
    </w:p>
    <w:p>
      <w:pPr>
        <w:spacing w:after="140" w:line="276"/>
        <w:jc w:val="both"/>
      </w:pPr>
      <w:r>
        <w:rPr>
          <w:b/>
          <w:bCs/>
        </w:rPr>
        <w:t xml:space="preserve">Partially measured.</w:t>
      </w:r>
      <w:r>
        <w:t xml:space="preserve"> The audit runs only where the artefact stores per-model candidate lists, which is </w:t>
      </w:r>
      <w:r>
        <w:rPr>
          <w:b/>
          <w:bCs/>
        </w:rPr>
        <w:t xml:space="preserve">keywords alone</w:t>
      </w:r>
      <w:r>
        <w:t xml:space="preserve">. There the pairwise agreements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FEF" w:color="auto" w:val="clear"/>
            <w:tcMar>
              <w:top w:type="dxa" w:w="60"/>
              <w:left w:type="dxa" w:w="90"/>
              <w:bottom w:type="dxa" w:w="60"/>
              <w:right w:type="dxa" w:w="90"/>
            </w:tcMar>
          </w:tcPr>
          <w:p>
            <w:pPr>
              <w:spacing w:after="0"/>
            </w:pPr>
            <w:r>
              <w:rPr>
                <w:b/>
                <w:bCs/>
              </w:rPr>
              <w:t xml:space="preserve">Pair</w:t>
            </w:r>
          </w:p>
        </w:tc>
        <w:tc>
          <w:tcPr>
            <w:tcW w:type="dxa" w:w="2340"/>
            <w:shd w:fill="EFEFEF" w:color="auto" w:val="clear"/>
            <w:tcMar>
              <w:top w:type="dxa" w:w="60"/>
              <w:left w:type="dxa" w:w="90"/>
              <w:bottom w:type="dxa" w:w="60"/>
              <w:right w:type="dxa" w:w="90"/>
            </w:tcMar>
          </w:tcPr>
          <w:p>
            <w:pPr>
              <w:spacing w:after="0"/>
            </w:pPr>
            <w:r>
              <w:rPr>
                <w:b/>
                <w:bCs/>
              </w:rPr>
              <w:t xml:space="preserve">Mechanism</w:t>
            </w:r>
          </w:p>
        </w:tc>
        <w:tc>
          <w:tcPr>
            <w:tcW w:type="dxa" w:w="2340"/>
            <w:shd w:fill="EFEFEF" w:color="auto" w:val="clear"/>
            <w:tcMar>
              <w:top w:type="dxa" w:w="60"/>
              <w:left w:type="dxa" w:w="90"/>
              <w:bottom w:type="dxa" w:w="60"/>
              <w:right w:type="dxa" w:w="90"/>
            </w:tcMar>
          </w:tcPr>
          <w:p>
            <w:pPr>
              <w:spacing w:after="0"/>
            </w:pPr>
            <w:r>
              <w:rPr>
                <w:b/>
                <w:bCs/>
                <w:i/>
                <w:iCs/>
              </w:rPr>
              <w:t xml:space="preserve">n</w:t>
            </w:r>
          </w:p>
        </w:tc>
        <w:tc>
          <w:tcPr>
            <w:tcW w:type="dxa" w:w="2340"/>
            <w:shd w:fill="EFEFEF" w:color="auto" w:val="clear"/>
            <w:tcMar>
              <w:top w:type="dxa" w:w="60"/>
              <w:left w:type="dxa" w:w="90"/>
              <w:bottom w:type="dxa" w:w="60"/>
              <w:right w:type="dxa" w:w="90"/>
            </w:tcMar>
          </w:tcPr>
          <w:p>
            <w:pPr>
              <w:spacing w:after="0"/>
            </w:pPr>
            <w:r>
              <w:rPr>
                <w:b/>
                <w:bCs/>
              </w:rPr>
              <w:t xml:space="preserve">Mean agreement</w:t>
            </w:r>
          </w:p>
        </w:tc>
      </w:tr>
      <w:tr>
        <w:trPr>
          <w:tblHeader w:val="false"/>
        </w:trPr>
        <w:tc>
          <w:tcPr>
            <w:tcW w:type="dxa" w:w="2340"/>
            <w:tcMar>
              <w:top w:type="dxa" w:w="60"/>
              <w:left w:type="dxa" w:w="90"/>
              <w:bottom w:type="dxa" w:w="60"/>
              <w:right w:type="dxa" w:w="90"/>
            </w:tcMar>
          </w:tcPr>
          <w:p>
            <w:pPr>
              <w:spacing w:after="0"/>
            </w:pPr>
            <w:r>
              <w:t xml:space="preserve">TF-IDF / YAKE</w:t>
            </w:r>
          </w:p>
        </w:tc>
        <w:tc>
          <w:tcPr>
            <w:tcW w:type="dxa" w:w="2340"/>
            <w:tcMar>
              <w:top w:type="dxa" w:w="60"/>
              <w:left w:type="dxa" w:w="90"/>
              <w:bottom w:type="dxa" w:w="60"/>
              <w:right w:type="dxa" w:w="90"/>
            </w:tcMar>
          </w:tcPr>
          <w:p>
            <w:pPr>
              <w:spacing w:after="0"/>
            </w:pPr>
            <w:r>
              <w:t xml:space="preserve">both statistical</w:t>
            </w:r>
          </w:p>
        </w:tc>
        <w:tc>
          <w:tcPr>
            <w:tcW w:type="dxa" w:w="2340"/>
            <w:tcMar>
              <w:top w:type="dxa" w:w="60"/>
              <w:left w:type="dxa" w:w="90"/>
              <w:bottom w:type="dxa" w:w="60"/>
              <w:right w:type="dxa" w:w="90"/>
            </w:tcMar>
          </w:tcPr>
          <w:p>
            <w:pPr>
              <w:spacing w:after="0"/>
            </w:pPr>
            <w:r>
              <w:t xml:space="preserve">624</w:t>
            </w:r>
          </w:p>
        </w:tc>
        <w:tc>
          <w:tcPr>
            <w:tcW w:type="dxa" w:w="2340"/>
            <w:tcMar>
              <w:top w:type="dxa" w:w="60"/>
              <w:left w:type="dxa" w:w="90"/>
              <w:bottom w:type="dxa" w:w="60"/>
              <w:right w:type="dxa" w:w="90"/>
            </w:tcMar>
          </w:tcPr>
          <w:p>
            <w:pPr>
              <w:spacing w:after="0"/>
            </w:pPr>
            <w:r>
              <w:rPr>
                <w:b/>
                <w:bCs/>
              </w:rPr>
              <w:t xml:space="preserve">0.327</w:t>
            </w:r>
          </w:p>
        </w:tc>
      </w:tr>
      <w:tr>
        <w:trPr>
          <w:tblHeader w:val="false"/>
        </w:trPr>
        <w:tc>
          <w:tcPr>
            <w:tcW w:type="dxa" w:w="2340"/>
            <w:tcMar>
              <w:top w:type="dxa" w:w="60"/>
              <w:left w:type="dxa" w:w="90"/>
              <w:bottom w:type="dxa" w:w="60"/>
              <w:right w:type="dxa" w:w="90"/>
            </w:tcMar>
          </w:tcPr>
          <w:p>
            <w:pPr>
              <w:spacing w:after="0"/>
            </w:pPr>
            <w:r>
              <w:t xml:space="preserve">KeyBERT / YAKE</w:t>
            </w:r>
          </w:p>
        </w:tc>
        <w:tc>
          <w:tcPr>
            <w:tcW w:type="dxa" w:w="2340"/>
            <w:tcMar>
              <w:top w:type="dxa" w:w="60"/>
              <w:left w:type="dxa" w:w="90"/>
              <w:bottom w:type="dxa" w:w="60"/>
              <w:right w:type="dxa" w:w="90"/>
            </w:tcMar>
          </w:tcPr>
          <w:p>
            <w:pPr>
              <w:spacing w:after="0"/>
            </w:pPr>
            <w:r>
              <w:t xml:space="preserve">embedding vs statistical</w:t>
            </w:r>
          </w:p>
        </w:tc>
        <w:tc>
          <w:tcPr>
            <w:tcW w:type="dxa" w:w="2340"/>
            <w:tcMar>
              <w:top w:type="dxa" w:w="60"/>
              <w:left w:type="dxa" w:w="90"/>
              <w:bottom w:type="dxa" w:w="60"/>
              <w:right w:type="dxa" w:w="90"/>
            </w:tcMar>
          </w:tcPr>
          <w:p>
            <w:pPr>
              <w:spacing w:after="0"/>
            </w:pPr>
            <w:r>
              <w:t xml:space="preserve">622</w:t>
            </w:r>
          </w:p>
        </w:tc>
        <w:tc>
          <w:tcPr>
            <w:tcW w:type="dxa" w:w="2340"/>
            <w:tcMar>
              <w:top w:type="dxa" w:w="60"/>
              <w:left w:type="dxa" w:w="90"/>
              <w:bottom w:type="dxa" w:w="60"/>
              <w:right w:type="dxa" w:w="90"/>
            </w:tcMar>
          </w:tcPr>
          <w:p>
            <w:pPr>
              <w:spacing w:after="0"/>
            </w:pPr>
            <w:r>
              <w:t xml:space="preserve">0.108</w:t>
            </w:r>
          </w:p>
        </w:tc>
      </w:tr>
      <w:tr>
        <w:trPr>
          <w:tblHeader w:val="false"/>
        </w:trPr>
        <w:tc>
          <w:tcPr>
            <w:tcW w:type="dxa" w:w="2340"/>
            <w:tcMar>
              <w:top w:type="dxa" w:w="60"/>
              <w:left w:type="dxa" w:w="90"/>
              <w:bottom w:type="dxa" w:w="60"/>
              <w:right w:type="dxa" w:w="90"/>
            </w:tcMar>
          </w:tcPr>
          <w:p>
            <w:pPr>
              <w:spacing w:after="0"/>
            </w:pPr>
            <w:r>
              <w:t xml:space="preserve">KeyBERT / TF-IDF</w:t>
            </w:r>
          </w:p>
        </w:tc>
        <w:tc>
          <w:tcPr>
            <w:tcW w:type="dxa" w:w="2340"/>
            <w:tcMar>
              <w:top w:type="dxa" w:w="60"/>
              <w:left w:type="dxa" w:w="90"/>
              <w:bottom w:type="dxa" w:w="60"/>
              <w:right w:type="dxa" w:w="90"/>
            </w:tcMar>
          </w:tcPr>
          <w:p>
            <w:pPr>
              <w:spacing w:after="0"/>
            </w:pPr>
            <w:r>
              <w:t xml:space="preserve">embedding vs statistical</w:t>
            </w:r>
          </w:p>
        </w:tc>
        <w:tc>
          <w:tcPr>
            <w:tcW w:type="dxa" w:w="2340"/>
            <w:tcMar>
              <w:top w:type="dxa" w:w="60"/>
              <w:left w:type="dxa" w:w="90"/>
              <w:bottom w:type="dxa" w:w="60"/>
              <w:right w:type="dxa" w:w="90"/>
            </w:tcMar>
          </w:tcPr>
          <w:p>
            <w:pPr>
              <w:spacing w:after="0"/>
            </w:pPr>
            <w:r>
              <w:t xml:space="preserve">622</w:t>
            </w:r>
          </w:p>
        </w:tc>
        <w:tc>
          <w:tcPr>
            <w:tcW w:type="dxa" w:w="2340"/>
            <w:tcMar>
              <w:top w:type="dxa" w:w="60"/>
              <w:left w:type="dxa" w:w="90"/>
              <w:bottom w:type="dxa" w:w="60"/>
              <w:right w:type="dxa" w:w="90"/>
            </w:tcMar>
          </w:tcPr>
          <w:p>
            <w:pPr>
              <w:spacing w:after="0"/>
            </w:pPr>
            <w:r>
              <w:t xml:space="preserve">0.078</w:t>
            </w:r>
          </w:p>
        </w:tc>
      </w:tr>
    </w:tbl>
    <w:p>
      <w:pPr>
        <w:spacing w:after="160"/>
      </w:pPr>
    </w:p>
    <w:p>
      <w:pPr>
        <w:spacing w:after="140" w:line="276"/>
        <w:jc w:val="both"/>
      </w:pPr>
      <w:r>
        <w:t xml:space="preserve">The two statistical extractors agree with each other roughly four times as often as either agrees with the embedding-based one — mechanism similarity predicting agreement, on the one field where it can be measured. This is the inflation effect in miniature, and it is why the keyword field's headline 0.173 must not be read as three-way corroboration.</w:t>
      </w:r>
    </w:p>
    <w:p>
      <w:pPr>
        <w:spacing w:after="140" w:line="276"/>
        <w:jc w:val="both"/>
      </w:pPr>
      <w:r>
        <w:rPr>
          <w:b/>
          <w:bCs/>
        </w:rPr>
        <w:t xml:space="preserve">Why the other fields could not be audited.</w:t>
      </w:r>
      <w:r>
        <w:t xml:space="preserve"> For </w:t>
      </w:r>
      <w:r>
        <w:rPr>
          <w:rFonts w:ascii="Consolas" w:cs="Consolas" w:eastAsia="Consolas" w:hAnsi="Consolas"/>
          <w:sz w:val="18"/>
          <w:szCs w:val="18"/>
        </w:rPr>
        <w:t xml:space="preserve">visual_tags</w:t>
      </w:r>
      <w:r>
        <w:t xml:space="preserve">, </w:t>
      </w:r>
      <w:r>
        <w:rPr>
          <w:rFonts w:ascii="Consolas" w:cs="Consolas" w:eastAsia="Consolas" w:hAnsi="Consolas"/>
          <w:sz w:val="18"/>
          <w:szCs w:val="18"/>
        </w:rPr>
        <w:t xml:space="preserve">on_screen_text</w:t>
      </w:r>
      <w:r>
        <w:t xml:space="preserve">, </w:t>
      </w:r>
      <w:r>
        <w:rPr>
          <w:rFonts w:ascii="Consolas" w:cs="Consolas" w:eastAsia="Consolas" w:hAnsi="Consolas"/>
          <w:sz w:val="18"/>
          <w:szCs w:val="18"/>
        </w:rPr>
        <w:t xml:space="preserve">people_count</w:t>
      </w:r>
      <w:r>
        <w:t xml:space="preserve"> and </w:t>
      </w:r>
      <w:r>
        <w:rPr>
          <w:rFonts w:ascii="Consolas" w:cs="Consolas" w:eastAsia="Consolas" w:hAnsi="Consolas"/>
          <w:sz w:val="18"/>
          <w:szCs w:val="18"/>
        </w:rPr>
        <w:t xml:space="preserve">transcript</w:t>
      </w:r>
      <w:r>
        <w:t xml:space="preserve"> the </w:t>
      </w:r>
      <w:r>
        <w:rPr>
          <w:rFonts w:ascii="Consolas" w:cs="Consolas" w:eastAsia="Consolas" w:hAnsi="Consolas"/>
          <w:sz w:val="18"/>
          <w:szCs w:val="18"/>
        </w:rPr>
        <w:t xml:space="preserve">candidates</w:t>
      </w:r>
      <w:r>
        <w:t xml:space="preserve"> dictionary holds </w:t>
      </w:r>
      <w:r>
        <w:rPr>
          <w:i/>
          <w:iCs/>
        </w:rPr>
        <w:t xml:space="preserve">method</w:t>
      </w:r>
      <w:r>
        <w:t xml:space="preserve"> labels — </w:t>
      </w:r>
      <w:r>
        <w:rPr>
          <w:rFonts w:ascii="Consolas" w:cs="Consolas" w:eastAsia="Consolas" w:hAnsi="Consolas"/>
          <w:sz w:val="18"/>
          <w:szCs w:val="18"/>
        </w:rPr>
        <w:t xml:space="preserve">centre_frame_diagnostic</w:t>
      </w:r>
      <w:r>
        <w:t xml:space="preserve">, </w:t>
      </w:r>
      <w:r>
        <w:rPr>
          <w:rFonts w:ascii="Consolas" w:cs="Consolas" w:eastAsia="Consolas" w:hAnsi="Consolas"/>
          <w:sz w:val="18"/>
          <w:szCs w:val="18"/>
        </w:rPr>
        <w:t xml:space="preserve">cross_engine_matching</w:t>
      </w:r>
      <w:r>
        <w:t xml:space="preserve">, </w:t>
      </w:r>
      <w:r>
        <w:rPr>
          <w:rFonts w:ascii="Consolas" w:cs="Consolas" w:eastAsia="Consolas" w:hAnsi="Consolas"/>
          <w:sz w:val="18"/>
          <w:szCs w:val="18"/>
        </w:rPr>
        <w:t xml:space="preserve">temporal_evidence</w:t>
      </w:r>
      <w:r>
        <w:t xml:space="preserve">, </w:t>
      </w:r>
      <w:r>
        <w:rPr>
          <w:rFonts w:ascii="Consolas" w:cs="Consolas" w:eastAsia="Consolas" w:hAnsi="Consolas"/>
          <w:sz w:val="18"/>
          <w:szCs w:val="18"/>
        </w:rPr>
        <w:t xml:space="preserve">temporally_persistent</w:t>
      </w:r>
      <w:r>
        <w:t xml:space="preserve">, </w:t>
      </w:r>
      <w:r>
        <w:rPr>
          <w:rFonts w:ascii="Consolas" w:cs="Consolas" w:eastAsia="Consolas" w:hAnsi="Consolas"/>
          <w:sz w:val="18"/>
          <w:szCs w:val="18"/>
        </w:rPr>
        <w:t xml:space="preserve">scene_aware</w:t>
      </w:r>
      <w:r>
        <w:t xml:space="preserve">, </w:t>
      </w:r>
      <w:r>
        <w:rPr>
          <w:rFonts w:ascii="Consolas" w:cs="Consolas" w:eastAsia="Consolas" w:hAnsi="Consolas"/>
          <w:sz w:val="18"/>
          <w:szCs w:val="18"/>
        </w:rPr>
        <w:t xml:space="preserve">model_level_votes</w:t>
      </w:r>
      <w:r>
        <w:t xml:space="preserve">, </w:t>
      </w:r>
      <w:r>
        <w:rPr>
          <w:rFonts w:ascii="Consolas" w:cs="Consolas" w:eastAsia="Consolas" w:hAnsi="Consolas"/>
          <w:sz w:val="18"/>
          <w:szCs w:val="18"/>
        </w:rPr>
        <w:t xml:space="preserve">raw</w:t>
      </w:r>
      <w:r>
        <w:t xml:space="preserve"> — not the model families that produced them. Per-model outputs are consumed inside the consensus functions and not retained. So the CLIP ViT-B/32 vs ViT-L/14 comparison, the one the limitations most need a number for, cannot be computed from the stored artefacts.</w:t>
      </w:r>
    </w:p>
    <w:p>
      <w:pPr>
        <w:spacing w:after="140" w:line="276"/>
        <w:jc w:val="both"/>
      </w:pPr>
      <w:r>
        <w:rPr>
          <w:b/>
          <w:bCs/>
          <w:highlight w:val="yellow"/>
          <w:highlightCs w:val="yellow"/>
        </w:rPr>
        <w:t xml:space="preserve">`[TO FILL: to close this, persist the per-family candidate lists under their model names in `make_consensus_field` alongside the method labels, and re-run Section 14. That single change would let the CLIP-pair and Whisper-pair inflation be quantified directly, converting the correlated-source limitation from a caveat into a measurement.]`</w:t>
      </w:r>
    </w:p>
    <w:p>
      <w:pPr>
        <w:pStyle w:val="Heading2"/>
        <w:spacing w:after="140" w:before="260"/>
      </w:pPr>
      <w:r>
        <w:rPr>
          <w:b/>
          <w:bCs/>
          <w:sz w:val="24"/>
          <w:szCs w:val="24"/>
        </w:rPr>
        <w:t xml:space="preserve">3.7 Artefact Verification</w:t>
      </w:r>
    </w:p>
    <w:p>
      <w:pPr>
        <w:pStyle w:val="ListParagraph"/>
        <w:numPr>
          <w:ilvl w:val="0"/>
          <w:numId w:val="1"/>
        </w:numPr>
        <w:spacing w:after="90" w:line="276"/>
      </w:pPr>
      <w:r>
        <w:t xml:space="preserve">Every JSON artefact is written atomically (partial file + </w:t>
      </w:r>
      <w:r>
        <w:rPr>
          <w:rFonts w:ascii="Consolas" w:cs="Consolas" w:eastAsia="Consolas" w:hAnsi="Consolas"/>
          <w:sz w:val="18"/>
          <w:szCs w:val="18"/>
        </w:rPr>
        <w:t xml:space="preserve">os.replace</w:t>
      </w:r>
      <w:r>
        <w:t xml:space="preserve">).</w:t>
      </w:r>
    </w:p>
    <w:p>
      <w:pPr>
        <w:pStyle w:val="ListParagraph"/>
        <w:numPr>
          <w:ilvl w:val="0"/>
          <w:numId w:val="1"/>
        </w:numPr>
        <w:spacing w:after="90" w:line="276"/>
      </w:pPr>
      <w:r>
        <w:t xml:space="preserve">The exported ground truth is schema-validated.</w:t>
      </w:r>
    </w:p>
    <w:p>
      <w:pPr>
        <w:pStyle w:val="ListParagraph"/>
        <w:numPr>
          <w:ilvl w:val="0"/>
          <w:numId w:val="1"/>
        </w:numPr>
        <w:spacing w:after="90" w:line="276"/>
      </w:pPr>
      <w:r>
        <w:t xml:space="preserve">The API key is never written to any artefact; only provenance metadata is recorded.</w:t>
      </w:r>
    </w:p>
    <w:p>
      <w:pPr>
        <w:pStyle w:val="ListParagraph"/>
        <w:numPr>
          <w:ilvl w:val="0"/>
          <w:numId w:val="1"/>
        </w:numPr>
        <w:spacing w:after="90" w:line="276"/>
      </w:pPr>
      <w:r>
        <w:t xml:space="preserve">Prediction caches carry a </w:t>
      </w:r>
      <w:r>
        <w:rPr>
          <w:rFonts w:ascii="Consolas" w:cs="Consolas" w:eastAsia="Consolas" w:hAnsi="Consolas"/>
          <w:sz w:val="18"/>
          <w:szCs w:val="18"/>
        </w:rPr>
        <w:t xml:space="preserve">prompt_version</w:t>
      </w:r>
      <w:r>
        <w:t xml:space="preserve">; a cache whose version does not match is ignored rather than silently mixed with current results — this is checked at load time in </w:t>
      </w:r>
      <w:r>
        <w:rPr>
          <w:rFonts w:ascii="Consolas" w:cs="Consolas" w:eastAsia="Consolas" w:hAnsi="Consolas"/>
          <w:sz w:val="18"/>
          <w:szCs w:val="18"/>
        </w:rPr>
        <w:t xml:space="preserve">03_vlm_benchmark_comparison.ipynb</w:t>
      </w:r>
      <w:r>
        <w:t xml:space="preserve">.</w:t>
      </w:r>
    </w:p>
    <w:p>
      <w:pPr>
        <w:pStyle w:val="ListParagraph"/>
        <w:numPr>
          <w:ilvl w:val="0"/>
          <w:numId w:val="1"/>
        </w:numPr>
        <w:spacing w:after="90" w:line="276"/>
      </w:pPr>
      <w:r>
        <w:rPr>
          <w:b/>
          <w:bCs/>
        </w:rPr>
        <w:t xml:space="preserve">Resolved.</w:t>
      </w:r>
      <w:r>
        <w:t xml:space="preserve"> The benchmark's final run reads a 626-clip ground truth and reports 626 clips total, 626 usable and 626 with a video file on disk — a three-way match between the ground truth, the clips on disk and the manifest. The earlier 615-clip file is superseded; no result in either document now depends on it.</w:t>
      </w:r>
    </w:p>
    <w:p>
      <w:pPr>
        <w:pStyle w:val="ListParagraph"/>
        <w:numPr>
          <w:ilvl w:val="0"/>
          <w:numId w:val="1"/>
        </w:numPr>
        <w:spacing w:after="90" w:line="276"/>
      </w:pPr>
      <w:r>
        <w:t xml:space="preserve">The prediction cache for Qwen3-VL-4B-Thinking carries four </w:t>
      </w:r>
      <w:r>
        <w:rPr>
          <w:rFonts w:ascii="Consolas" w:cs="Consolas" w:eastAsia="Consolas" w:hAnsi="Consolas"/>
          <w:sz w:val="18"/>
          <w:szCs w:val="18"/>
        </w:rPr>
        <w:t xml:space="preserve">backup_before_repair_*</w:t>
      </w:r>
      <w:r>
        <w:t xml:space="preserve"> snapshots (2026-09-11 through 2026-09-14). </w:t>
      </w:r>
      <w:r>
        <w:rPr>
          <w:b/>
          <w:bCs/>
          <w:highlight w:val="yellow"/>
          <w:highlightCs w:val="yellow"/>
        </w:rPr>
        <w:t xml:space="preserve">`[TO FILL: state what the repair corrected and confirm the reported scores come from the post-repair cache.]`</w:t>
      </w:r>
      <w:r>
        <w:t xml:space="preserve"> A results file with an undocumented repair history is the kind of thing an examiner asks about.</w:t>
      </w:r>
    </w:p>
    <w:p>
      <w:pPr>
        <w:pStyle w:val="Heading1"/>
        <w:pageBreakBefore/>
        <w:spacing w:after="140" w:before="400"/>
      </w:pPr>
      <w:r>
        <w:rPr>
          <w:b/>
          <w:bCs/>
          <w:sz w:val="28"/>
          <w:szCs w:val="28"/>
        </w:rPr>
        <w:t xml:space="preserve">4. Tooling and Environment</w:t>
      </w:r>
    </w:p>
    <w:p>
      <w:pPr>
        <w:pStyle w:val="Heading2"/>
        <w:spacing w:after="140" w:before="260"/>
      </w:pPr>
      <w:r>
        <w:rPr>
          <w:b/>
          <w:bCs/>
          <w:sz w:val="24"/>
          <w:szCs w:val="24"/>
        </w:rPr>
        <w:t xml:space="preserve">4.1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FEF" w:color="auto" w:val="clear"/>
            <w:tcMar>
              <w:top w:type="dxa" w:w="60"/>
              <w:left w:type="dxa" w:w="90"/>
              <w:bottom w:type="dxa" w:w="60"/>
              <w:right w:type="dxa" w:w="90"/>
            </w:tcMar>
          </w:tcPr>
          <w:p>
            <w:pPr>
              <w:spacing w:after="0"/>
            </w:pPr>
            <w:r>
              <w:t xml:space="preserve"/>
            </w:r>
          </w:p>
        </w:tc>
        <w:tc>
          <w:tcPr>
            <w:tcW w:type="dxa" w:w="3120"/>
            <w:shd w:fill="EFEFEF" w:color="auto" w:val="clear"/>
            <w:tcMar>
              <w:top w:type="dxa" w:w="60"/>
              <w:left w:type="dxa" w:w="90"/>
              <w:bottom w:type="dxa" w:w="60"/>
              <w:right w:type="dxa" w:w="90"/>
            </w:tcMar>
          </w:tcPr>
          <w:p>
            <w:pPr>
              <w:spacing w:after="0"/>
            </w:pPr>
            <w:r>
              <w:rPr>
                <w:b/>
                <w:bCs/>
              </w:rPr>
              <w:t xml:space="preserve">Pipeline</w:t>
            </w:r>
          </w:p>
        </w:tc>
        <w:tc>
          <w:tcPr>
            <w:tcW w:type="dxa" w:w="3120"/>
            <w:shd w:fill="EFEFEF" w:color="auto" w:val="clear"/>
            <w:tcMar>
              <w:top w:type="dxa" w:w="60"/>
              <w:left w:type="dxa" w:w="90"/>
              <w:bottom w:type="dxa" w:w="60"/>
              <w:right w:type="dxa" w:w="90"/>
            </w:tcMar>
          </w:tcPr>
          <w:p>
            <w:pPr>
              <w:spacing w:after="0"/>
            </w:pPr>
            <w:r>
              <w:rPr>
                <w:b/>
                <w:bCs/>
              </w:rPr>
              <w:t xml:space="preserve">VLM benchmark</w:t>
            </w:r>
          </w:p>
        </w:tc>
      </w:tr>
      <w:tr>
        <w:trPr>
          <w:tblHeader w:val="false"/>
        </w:trPr>
        <w:tc>
          <w:tcPr>
            <w:tcW w:type="dxa" w:w="3120"/>
            <w:tcMar>
              <w:top w:type="dxa" w:w="60"/>
              <w:left w:type="dxa" w:w="90"/>
              <w:bottom w:type="dxa" w:w="60"/>
              <w:right w:type="dxa" w:w="90"/>
            </w:tcMar>
          </w:tcPr>
          <w:p>
            <w:pPr>
              <w:spacing w:after="0"/>
            </w:pPr>
            <w:r>
              <w:t xml:space="preserve">Platform</w:t>
            </w:r>
          </w:p>
        </w:tc>
        <w:tc>
          <w:tcPr>
            <w:tcW w:type="dxa" w:w="3120"/>
            <w:tcMar>
              <w:top w:type="dxa" w:w="60"/>
              <w:left w:type="dxa" w:w="90"/>
              <w:bottom w:type="dxa" w:w="60"/>
              <w:right w:type="dxa" w:w="90"/>
            </w:tcMar>
          </w:tcPr>
          <w:p>
            <w:pPr>
              <w:spacing w:after="0"/>
            </w:pPr>
            <w:r>
              <w:t xml:space="preserve">Google Colab</w:t>
            </w:r>
          </w:p>
        </w:tc>
        <w:tc>
          <w:tcPr>
            <w:tcW w:type="dxa" w:w="3120"/>
            <w:tcMar>
              <w:top w:type="dxa" w:w="60"/>
              <w:left w:type="dxa" w:w="90"/>
              <w:bottom w:type="dxa" w:w="60"/>
              <w:right w:type="dxa" w:w="90"/>
            </w:tcMar>
          </w:tcPr>
          <w:p>
            <w:pPr>
              <w:spacing w:after="0"/>
            </w:pPr>
            <w:r>
              <w:t xml:space="preserve">Kelvin2 HPC (QUB)</w:t>
            </w:r>
          </w:p>
        </w:tc>
      </w:tr>
      <w:tr>
        <w:trPr>
          <w:tblHeader w:val="false"/>
        </w:trPr>
        <w:tc>
          <w:tcPr>
            <w:tcW w:type="dxa" w:w="3120"/>
            <w:tcMar>
              <w:top w:type="dxa" w:w="60"/>
              <w:left w:type="dxa" w:w="90"/>
              <w:bottom w:type="dxa" w:w="60"/>
              <w:right w:type="dxa" w:w="90"/>
            </w:tcMar>
          </w:tcPr>
          <w:p>
            <w:pPr>
              <w:spacing w:after="0"/>
            </w:pPr>
            <w:r>
              <w:t xml:space="preserve">GPU</w:t>
            </w:r>
          </w:p>
        </w:tc>
        <w:tc>
          <w:tcPr>
            <w:tcW w:type="dxa" w:w="3120"/>
            <w:tcMar>
              <w:top w:type="dxa" w:w="60"/>
              <w:left w:type="dxa" w:w="90"/>
              <w:bottom w:type="dxa" w:w="60"/>
              <w:right w:type="dxa" w:w="90"/>
            </w:tcMar>
          </w:tcPr>
          <w:p>
            <w:pPr>
              <w:spacing w:after="0"/>
            </w:pPr>
            <w:r>
              <w:t xml:space="preserve">NVIDIA A100-SXM4-40GB</w:t>
            </w:r>
          </w:p>
        </w:tc>
        <w:tc>
          <w:tcPr>
            <w:tcW w:type="dxa" w:w="3120"/>
            <w:tcMar>
              <w:top w:type="dxa" w:w="60"/>
              <w:left w:type="dxa" w:w="90"/>
              <w:bottom w:type="dxa" w:w="60"/>
              <w:right w:type="dxa" w:w="90"/>
            </w:tcMar>
          </w:tcPr>
          <w:p>
            <w:pPr>
              <w:spacing w:after="0"/>
            </w:pPr>
            <w:r>
              <w:t xml:space="preserve">A100 MIG </w:t>
            </w:r>
            <w:r>
              <w:rPr>
                <w:rFonts w:ascii="Consolas" w:cs="Consolas" w:eastAsia="Consolas" w:hAnsi="Consolas"/>
                <w:sz w:val="18"/>
                <w:szCs w:val="18"/>
              </w:rPr>
              <w:t xml:space="preserve">2g.20gb</w:t>
            </w:r>
            <w:r>
              <w:t xml:space="preserve"> slice</w:t>
            </w:r>
          </w:p>
        </w:tc>
      </w:tr>
      <w:tr>
        <w:trPr>
          <w:tblHeader w:val="false"/>
        </w:trPr>
        <w:tc>
          <w:tcPr>
            <w:tcW w:type="dxa" w:w="3120"/>
            <w:tcMar>
              <w:top w:type="dxa" w:w="60"/>
              <w:left w:type="dxa" w:w="90"/>
              <w:bottom w:type="dxa" w:w="60"/>
              <w:right w:type="dxa" w:w="90"/>
            </w:tcMar>
          </w:tcPr>
          <w:p>
            <w:pPr>
              <w:spacing w:after="0"/>
            </w:pPr>
            <w:r>
              <w:t xml:space="preserve">CPUs</w:t>
            </w:r>
          </w:p>
        </w:tc>
        <w:tc>
          <w:tcPr>
            <w:tcW w:type="dxa" w:w="3120"/>
            <w:tcMar>
              <w:top w:type="dxa" w:w="60"/>
              <w:left w:type="dxa" w:w="90"/>
              <w:bottom w:type="dxa" w:w="60"/>
              <w:right w:type="dxa" w:w="90"/>
            </w:tcMar>
          </w:tcPr>
          <w:p>
            <w:pPr>
              <w:spacing w:after="0"/>
            </w:pPr>
            <w:r>
              <w:t xml:space="preserve">12</w:t>
            </w:r>
          </w:p>
        </w:tc>
        <w:tc>
          <w:tcPr>
            <w:tcW w:type="dxa" w:w="3120"/>
            <w:tcMar>
              <w:top w:type="dxa" w:w="60"/>
              <w:left w:type="dxa" w:w="90"/>
              <w:bottom w:type="dxa" w:w="60"/>
              <w:right w:type="dxa" w:w="90"/>
            </w:tcMar>
          </w:tcPr>
          <w:p>
            <w:pPr>
              <w:spacing w:after="0"/>
            </w:pPr>
            <w:r>
              <w:rPr>
                <w:b/>
                <w:bCs/>
                <w:highlight w:val="yellow"/>
                <w:highlightCs w:val="yellow"/>
              </w:rPr>
              <w:t xml:space="preserve">`[TO FILL]`</w:t>
            </w:r>
          </w:p>
        </w:tc>
      </w:tr>
      <w:tr>
        <w:trPr>
          <w:tblHeader w:val="false"/>
        </w:trPr>
        <w:tc>
          <w:tcPr>
            <w:tcW w:type="dxa" w:w="3120"/>
            <w:tcMar>
              <w:top w:type="dxa" w:w="60"/>
              <w:left w:type="dxa" w:w="90"/>
              <w:bottom w:type="dxa" w:w="60"/>
              <w:right w:type="dxa" w:w="90"/>
            </w:tcMar>
          </w:tcPr>
          <w:p>
            <w:pPr>
              <w:spacing w:after="0"/>
            </w:pPr>
            <w:r>
              <w:t xml:space="preserve">Python</w:t>
            </w:r>
          </w:p>
        </w:tc>
        <w:tc>
          <w:tcPr>
            <w:tcW w:type="dxa" w:w="3120"/>
            <w:tcMar>
              <w:top w:type="dxa" w:w="60"/>
              <w:left w:type="dxa" w:w="90"/>
              <w:bottom w:type="dxa" w:w="60"/>
              <w:right w:type="dxa" w:w="90"/>
            </w:tcMar>
          </w:tcPr>
          <w:p>
            <w:pPr>
              <w:spacing w:after="0"/>
            </w:pPr>
            <w:r>
              <w:t xml:space="preserve">3.13.15</w:t>
            </w:r>
          </w:p>
        </w:tc>
        <w:tc>
          <w:tcPr>
            <w:tcW w:type="dxa" w:w="3120"/>
            <w:tcMar>
              <w:top w:type="dxa" w:w="60"/>
              <w:left w:type="dxa" w:w="90"/>
              <w:bottom w:type="dxa" w:w="60"/>
              <w:right w:type="dxa" w:w="90"/>
            </w:tcMar>
          </w:tcPr>
          <w:p>
            <w:pPr>
              <w:spacing w:after="0"/>
            </w:pPr>
            <w:r>
              <w:rPr>
                <w:b/>
                <w:bCs/>
                <w:highlight w:val="yellow"/>
                <w:highlightCs w:val="yellow"/>
              </w:rPr>
              <w:t xml:space="preserve">`[TO FILL]`</w:t>
            </w:r>
          </w:p>
        </w:tc>
      </w:tr>
      <w:tr>
        <w:trPr>
          <w:tblHeader w:val="false"/>
        </w:trPr>
        <w:tc>
          <w:tcPr>
            <w:tcW w:type="dxa" w:w="3120"/>
            <w:tcMar>
              <w:top w:type="dxa" w:w="60"/>
              <w:left w:type="dxa" w:w="90"/>
              <w:bottom w:type="dxa" w:w="60"/>
              <w:right w:type="dxa" w:w="90"/>
            </w:tcMar>
          </w:tcPr>
          <w:p>
            <w:pPr>
              <w:spacing w:after="0"/>
            </w:pPr>
            <w:r>
              <w:t xml:space="preserve">PyTorch</w:t>
            </w:r>
          </w:p>
        </w:tc>
        <w:tc>
          <w:tcPr>
            <w:tcW w:type="dxa" w:w="3120"/>
            <w:tcMar>
              <w:top w:type="dxa" w:w="60"/>
              <w:left w:type="dxa" w:w="90"/>
              <w:bottom w:type="dxa" w:w="60"/>
              <w:right w:type="dxa" w:w="90"/>
            </w:tcMar>
          </w:tcPr>
          <w:p>
            <w:pPr>
              <w:spacing w:after="0"/>
            </w:pPr>
            <w:r>
              <w:t xml:space="preserve">2.11.0+cu128</w:t>
            </w:r>
          </w:p>
        </w:tc>
        <w:tc>
          <w:tcPr>
            <w:tcW w:type="dxa" w:w="3120"/>
            <w:tcMar>
              <w:top w:type="dxa" w:w="60"/>
              <w:left w:type="dxa" w:w="90"/>
              <w:bottom w:type="dxa" w:w="60"/>
              <w:right w:type="dxa" w:w="90"/>
            </w:tcMar>
          </w:tcPr>
          <w:p>
            <w:pPr>
              <w:spacing w:after="0"/>
            </w:pPr>
            <w:r>
              <w:t xml:space="preserve">2.7.1+cu118</w:t>
            </w:r>
          </w:p>
        </w:tc>
      </w:tr>
      <w:tr>
        <w:trPr>
          <w:tblHeader w:val="false"/>
        </w:trPr>
        <w:tc>
          <w:tcPr>
            <w:tcW w:type="dxa" w:w="3120"/>
            <w:tcMar>
              <w:top w:type="dxa" w:w="60"/>
              <w:left w:type="dxa" w:w="90"/>
              <w:bottom w:type="dxa" w:w="60"/>
              <w:right w:type="dxa" w:w="90"/>
            </w:tcMar>
          </w:tcPr>
          <w:p>
            <w:pPr>
              <w:spacing w:after="0"/>
            </w:pPr>
            <w:r>
              <w:t xml:space="preserve">Persistence</w:t>
            </w:r>
          </w:p>
        </w:tc>
        <w:tc>
          <w:tcPr>
            <w:tcW w:type="dxa" w:w="3120"/>
            <w:tcMar>
              <w:top w:type="dxa" w:w="60"/>
              <w:left w:type="dxa" w:w="90"/>
              <w:bottom w:type="dxa" w:w="60"/>
              <w:right w:type="dxa" w:w="90"/>
            </w:tcMar>
          </w:tcPr>
          <w:p>
            <w:pPr>
              <w:spacing w:after="0"/>
            </w:pPr>
            <w:r>
              <w:t xml:space="preserve">Google Drive</w:t>
            </w:r>
          </w:p>
        </w:tc>
        <w:tc>
          <w:tcPr>
            <w:tcW w:type="dxa" w:w="3120"/>
            <w:tcMar>
              <w:top w:type="dxa" w:w="60"/>
              <w:left w:type="dxa" w:w="90"/>
              <w:bottom w:type="dxa" w:w="60"/>
              <w:right w:type="dxa" w:w="90"/>
            </w:tcMar>
          </w:tcPr>
          <w:p>
            <w:pPr>
              <w:spacing w:after="0"/>
            </w:pPr>
            <w:r>
              <w:rPr>
                <w:rFonts w:ascii="Consolas" w:cs="Consolas" w:eastAsia="Consolas" w:hAnsi="Consolas"/>
                <w:sz w:val="18"/>
                <w:szCs w:val="18"/>
              </w:rPr>
              <w:t xml:space="preserve">~/sharedscratch</w:t>
            </w:r>
          </w:p>
        </w:tc>
      </w:tr>
    </w:tbl>
    <w:p>
      <w:pPr>
        <w:spacing w:after="160"/>
      </w:pPr>
    </w:p>
    <w:p>
      <w:pPr>
        <w:pStyle w:val="Heading2"/>
        <w:spacing w:after="140" w:before="260"/>
      </w:pPr>
      <w:r>
        <w:rPr>
          <w:b/>
          <w:bCs/>
          <w:sz w:val="24"/>
          <w:szCs w:val="24"/>
        </w:rPr>
        <w:t xml:space="preserve">4.2 Pinned Packages</w:t>
      </w:r>
    </w:p>
    <w:p>
      <w:pPr>
        <w:spacing w:after="140" w:line="276"/>
        <w:jc w:val="both"/>
      </w:pPr>
      <w:r>
        <w:rPr>
          <w:rFonts w:ascii="Consolas" w:cs="Consolas" w:eastAsia="Consolas" w:hAnsi="Consolas"/>
          <w:sz w:val="18"/>
          <w:szCs w:val="18"/>
        </w:rPr>
        <w:t xml:space="preserve">transformers==4.50.3</w:t>
      </w:r>
      <w:r>
        <w:t xml:space="preserve">, </w:t>
      </w:r>
      <w:r>
        <w:rPr>
          <w:rFonts w:ascii="Consolas" w:cs="Consolas" w:eastAsia="Consolas" w:hAnsi="Consolas"/>
          <w:sz w:val="18"/>
          <w:szCs w:val="18"/>
        </w:rPr>
        <w:t xml:space="preserve">openai-whisper==20250625</w:t>
      </w:r>
      <w:r>
        <w:t xml:space="preserve">, </w:t>
      </w:r>
      <w:r>
        <w:rPr>
          <w:rFonts w:ascii="Consolas" w:cs="Consolas" w:eastAsia="Consolas" w:hAnsi="Consolas"/>
          <w:sz w:val="18"/>
          <w:szCs w:val="18"/>
        </w:rPr>
        <w:t xml:space="preserve">sentence-transformers==3.4.1</w:t>
      </w:r>
      <w:r>
        <w:t xml:space="preserve">, </w:t>
      </w:r>
      <w:r>
        <w:rPr>
          <w:rFonts w:ascii="Consolas" w:cs="Consolas" w:eastAsia="Consolas" w:hAnsi="Consolas"/>
          <w:sz w:val="18"/>
          <w:szCs w:val="18"/>
        </w:rPr>
        <w:t xml:space="preserve">keybert==0.9.0</w:t>
      </w:r>
      <w:r>
        <w:t xml:space="preserve">, </w:t>
      </w:r>
      <w:r>
        <w:rPr>
          <w:rFonts w:ascii="Consolas" w:cs="Consolas" w:eastAsia="Consolas" w:hAnsi="Consolas"/>
          <w:sz w:val="18"/>
          <w:szCs w:val="18"/>
        </w:rPr>
        <w:t xml:space="preserve">jiwer==4.0.0</w:t>
      </w:r>
      <w:r>
        <w:t xml:space="preserve">, </w:t>
      </w:r>
      <w:r>
        <w:rPr>
          <w:rFonts w:ascii="Consolas" w:cs="Consolas" w:eastAsia="Consolas" w:hAnsi="Consolas"/>
          <w:sz w:val="18"/>
          <w:szCs w:val="18"/>
        </w:rPr>
        <w:t xml:space="preserve">pytesseract==0.3.13</w:t>
      </w:r>
      <w:r>
        <w:t xml:space="preserve">, </w:t>
      </w:r>
      <w:r>
        <w:rPr>
          <w:rFonts w:ascii="Consolas" w:cs="Consolas" w:eastAsia="Consolas" w:hAnsi="Consolas"/>
          <w:sz w:val="18"/>
          <w:szCs w:val="18"/>
        </w:rPr>
        <w:t xml:space="preserve">easyocr==1.7.2</w:t>
      </w:r>
      <w:r>
        <w:t xml:space="preserve">, </w:t>
      </w:r>
      <w:r>
        <w:rPr>
          <w:rFonts w:ascii="Consolas" w:cs="Consolas" w:eastAsia="Consolas" w:hAnsi="Consolas"/>
          <w:sz w:val="18"/>
          <w:szCs w:val="18"/>
        </w:rPr>
        <w:t xml:space="preserve">yake==0.6.0</w:t>
      </w:r>
      <w:r>
        <w:t xml:space="preserve">, </w:t>
      </w:r>
      <w:r>
        <w:rPr>
          <w:rFonts w:ascii="Consolas" w:cs="Consolas" w:eastAsia="Consolas" w:hAnsi="Consolas"/>
          <w:sz w:val="18"/>
          <w:szCs w:val="18"/>
        </w:rPr>
        <w:t xml:space="preserve">scenedetect==0.7.1</w:t>
      </w:r>
      <w:r>
        <w:t xml:space="preserve">, </w:t>
      </w:r>
      <w:r>
        <w:rPr>
          <w:rFonts w:ascii="Consolas" w:cs="Consolas" w:eastAsia="Consolas" w:hAnsi="Consolas"/>
          <w:sz w:val="18"/>
          <w:szCs w:val="18"/>
        </w:rPr>
        <w:t xml:space="preserve">jsonschema==4.26.0</w:t>
      </w:r>
      <w:r>
        <w:t xml:space="preserve">, </w:t>
      </w:r>
      <w:r>
        <w:rPr>
          <w:rFonts w:ascii="Consolas" w:cs="Consolas" w:eastAsia="Consolas" w:hAnsi="Consolas"/>
          <w:sz w:val="18"/>
          <w:szCs w:val="18"/>
        </w:rPr>
        <w:t xml:space="preserve">flask==3.1.3</w:t>
      </w:r>
      <w:r>
        <w:t xml:space="preserve">, </w:t>
      </w:r>
      <w:r>
        <w:rPr>
          <w:rFonts w:ascii="Consolas" w:cs="Consolas" w:eastAsia="Consolas" w:hAnsi="Consolas"/>
          <w:sz w:val="18"/>
          <w:szCs w:val="18"/>
        </w:rPr>
        <w:t xml:space="preserve">pydantic==2.12.5</w:t>
      </w:r>
      <w:r>
        <w:t xml:space="preserve">, </w:t>
      </w:r>
      <w:r>
        <w:rPr>
          <w:rFonts w:ascii="Consolas" w:cs="Consolas" w:eastAsia="Consolas" w:hAnsi="Consolas"/>
          <w:sz w:val="18"/>
          <w:szCs w:val="18"/>
        </w:rPr>
        <w:t xml:space="preserve">google-genai==2.17.0</w:t>
      </w:r>
      <w:r>
        <w:t xml:space="preserve">, </w:t>
      </w:r>
      <w:r>
        <w:rPr>
          <w:rFonts w:ascii="Consolas" w:cs="Consolas" w:eastAsia="Consolas" w:hAnsi="Consolas"/>
          <w:sz w:val="18"/>
          <w:szCs w:val="18"/>
        </w:rPr>
        <w:t xml:space="preserve">seaborn==0.13.2</w:t>
      </w:r>
      <w:r>
        <w:t xml:space="preserve">, </w:t>
      </w:r>
      <w:r>
        <w:rPr>
          <w:rFonts w:ascii="Consolas" w:cs="Consolas" w:eastAsia="Consolas" w:hAnsi="Consolas"/>
          <w:sz w:val="18"/>
          <w:szCs w:val="18"/>
        </w:rPr>
        <w:t xml:space="preserve">rouge-score==0.1.2</w:t>
      </w:r>
      <w:r>
        <w:t xml:space="preserve">. System: FFmpeg, Tesseract via </w:t>
      </w:r>
      <w:r>
        <w:rPr>
          <w:rFonts w:ascii="Consolas" w:cs="Consolas" w:eastAsia="Consolas" w:hAnsi="Consolas"/>
          <w:sz w:val="18"/>
          <w:szCs w:val="18"/>
        </w:rPr>
        <w:t xml:space="preserve">apt</w:t>
      </w:r>
      <w:r>
        <w:t xml:space="preserve">.</w:t>
      </w:r>
    </w:p>
    <w:p>
      <w:pPr>
        <w:pStyle w:val="Heading2"/>
        <w:spacing w:after="140" w:before="260"/>
      </w:pPr>
      <w:r>
        <w:rPr>
          <w:b/>
          <w:bCs/>
          <w:sz w:val="24"/>
          <w:szCs w:val="24"/>
        </w:rPr>
        <w:t xml:space="preserve">4.3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FEF" w:color="auto" w:val="clear"/>
            <w:tcMar>
              <w:top w:type="dxa" w:w="60"/>
              <w:left w:type="dxa" w:w="90"/>
              <w:bottom w:type="dxa" w:w="60"/>
              <w:right w:type="dxa" w:w="90"/>
            </w:tcMar>
          </w:tcPr>
          <w:p>
            <w:pPr>
              <w:spacing w:after="0"/>
            </w:pPr>
            <w:r>
              <w:rPr>
                <w:b/>
                <w:bCs/>
              </w:rPr>
              <w:t xml:space="preserve">Role</w:t>
            </w:r>
          </w:p>
        </w:tc>
        <w:tc>
          <w:tcPr>
            <w:tcW w:type="dxa" w:w="3120"/>
            <w:shd w:fill="EFEFEF" w:color="auto" w:val="clear"/>
            <w:tcMar>
              <w:top w:type="dxa" w:w="60"/>
              <w:left w:type="dxa" w:w="90"/>
              <w:bottom w:type="dxa" w:w="60"/>
              <w:right w:type="dxa" w:w="90"/>
            </w:tcMar>
          </w:tcPr>
          <w:p>
            <w:pPr>
              <w:spacing w:after="0"/>
            </w:pPr>
            <w:r>
              <w:rPr>
                <w:b/>
                <w:bCs/>
              </w:rPr>
              <w:t xml:space="preserve">Model</w:t>
            </w:r>
          </w:p>
        </w:tc>
        <w:tc>
          <w:tcPr>
            <w:tcW w:type="dxa" w:w="3120"/>
            <w:shd w:fill="EFEFEF" w:color="auto" w:val="clear"/>
            <w:tcMar>
              <w:top w:type="dxa" w:w="60"/>
              <w:left w:type="dxa" w:w="90"/>
              <w:bottom w:type="dxa" w:w="60"/>
              <w:right w:type="dxa" w:w="90"/>
            </w:tcMar>
          </w:tcPr>
          <w:p>
            <w:pPr>
              <w:spacing w:after="0"/>
            </w:pPr>
            <w:r>
              <w:rPr>
                <w:b/>
                <w:bCs/>
              </w:rPr>
              <w:t xml:space="preserve">Notes</w:t>
            </w:r>
          </w:p>
        </w:tc>
      </w:tr>
      <w:tr>
        <w:trPr>
          <w:tblHeader w:val="false"/>
        </w:trPr>
        <w:tc>
          <w:tcPr>
            <w:tcW w:type="dxa" w:w="3120"/>
            <w:tcMar>
              <w:top w:type="dxa" w:w="60"/>
              <w:left w:type="dxa" w:w="90"/>
              <w:bottom w:type="dxa" w:w="60"/>
              <w:right w:type="dxa" w:w="90"/>
            </w:tcMar>
          </w:tcPr>
          <w:p>
            <w:pPr>
              <w:spacing w:after="0"/>
            </w:pPr>
            <w:r>
              <w:t xml:space="preserve">ASR (primary)</w:t>
            </w:r>
          </w:p>
        </w:tc>
        <w:tc>
          <w:tcPr>
            <w:tcW w:type="dxa" w:w="3120"/>
            <w:tcMar>
              <w:top w:type="dxa" w:w="60"/>
              <w:left w:type="dxa" w:w="90"/>
              <w:bottom w:type="dxa" w:w="60"/>
              <w:right w:type="dxa" w:w="90"/>
            </w:tcMar>
          </w:tcPr>
          <w:p>
            <w:pPr>
              <w:spacing w:after="0"/>
            </w:pPr>
            <w:r>
              <w:rPr>
                <w:rFonts w:ascii="Consolas" w:cs="Consolas" w:eastAsia="Consolas" w:hAnsi="Consolas"/>
                <w:sz w:val="18"/>
                <w:szCs w:val="18"/>
              </w:rPr>
              <w:t xml:space="preserve">whisper-small</w:t>
            </w:r>
          </w:p>
        </w:tc>
        <w:tc>
          <w:tcPr>
            <w:tcW w:type="dxa" w:w="3120"/>
            <w:tcMar>
              <w:top w:type="dxa" w:w="60"/>
              <w:left w:type="dxa" w:w="90"/>
              <w:bottom w:type="dxa" w:w="60"/>
              <w:right w:type="dxa" w:w="90"/>
            </w:tcMar>
          </w:tcPr>
          <w:p>
            <w:pPr>
              <w:spacing w:after="0"/>
            </w:pPr>
            <w:r>
              <w:t xml:space="preserve">Also performs language ID</w:t>
            </w:r>
          </w:p>
        </w:tc>
      </w:tr>
      <w:tr>
        <w:trPr>
          <w:tblHeader w:val="false"/>
        </w:trPr>
        <w:tc>
          <w:tcPr>
            <w:tcW w:type="dxa" w:w="3120"/>
            <w:tcMar>
              <w:top w:type="dxa" w:w="60"/>
              <w:left w:type="dxa" w:w="90"/>
              <w:bottom w:type="dxa" w:w="60"/>
              <w:right w:type="dxa" w:w="90"/>
            </w:tcMar>
          </w:tcPr>
          <w:p>
            <w:pPr>
              <w:spacing w:after="0"/>
            </w:pPr>
            <w:r>
              <w:t xml:space="preserve">ASR (verifier)</w:t>
            </w:r>
          </w:p>
        </w:tc>
        <w:tc>
          <w:tcPr>
            <w:tcW w:type="dxa" w:w="3120"/>
            <w:tcMar>
              <w:top w:type="dxa" w:w="60"/>
              <w:left w:type="dxa" w:w="90"/>
              <w:bottom w:type="dxa" w:w="60"/>
              <w:right w:type="dxa" w:w="90"/>
            </w:tcMar>
          </w:tcPr>
          <w:p>
            <w:pPr>
              <w:spacing w:after="0"/>
            </w:pPr>
            <w:r>
              <w:rPr>
                <w:rFonts w:ascii="Consolas" w:cs="Consolas" w:eastAsia="Consolas" w:hAnsi="Consolas"/>
                <w:sz w:val="18"/>
                <w:szCs w:val="18"/>
              </w:rPr>
              <w:t xml:space="preserve">whisper-turbo</w:t>
            </w:r>
          </w:p>
        </w:tc>
        <w:tc>
          <w:tcPr>
            <w:tcW w:type="dxa" w:w="3120"/>
            <w:tcMar>
              <w:top w:type="dxa" w:w="60"/>
              <w:left w:type="dxa" w:w="90"/>
              <w:bottom w:type="dxa" w:w="60"/>
              <w:right w:type="dxa" w:w="90"/>
            </w:tcMar>
          </w:tcPr>
          <w:p>
            <w:pPr>
              <w:spacing w:after="0"/>
            </w:pPr>
            <w:r>
              <w:t xml:space="preserve">Deterministic output published</w:t>
            </w:r>
          </w:p>
        </w:tc>
      </w:tr>
      <w:tr>
        <w:trPr>
          <w:tblHeader w:val="false"/>
        </w:trPr>
        <w:tc>
          <w:tcPr>
            <w:tcW w:type="dxa" w:w="3120"/>
            <w:tcMar>
              <w:top w:type="dxa" w:w="60"/>
              <w:left w:type="dxa" w:w="90"/>
              <w:bottom w:type="dxa" w:w="60"/>
              <w:right w:type="dxa" w:w="90"/>
            </w:tcMar>
          </w:tcPr>
          <w:p>
            <w:pPr>
              <w:spacing w:after="0"/>
            </w:pPr>
            <w:r>
              <w:t xml:space="preserve">OCR</w:t>
            </w:r>
          </w:p>
        </w:tc>
        <w:tc>
          <w:tcPr>
            <w:tcW w:type="dxa" w:w="3120"/>
            <w:tcMar>
              <w:top w:type="dxa" w:w="60"/>
              <w:left w:type="dxa" w:w="90"/>
              <w:bottom w:type="dxa" w:w="60"/>
              <w:right w:type="dxa" w:w="90"/>
            </w:tcMar>
          </w:tcPr>
          <w:p>
            <w:pPr>
              <w:spacing w:after="0"/>
            </w:pPr>
            <w:r>
              <w:t xml:space="preserve">Tesseract; EasyOCR</w:t>
            </w:r>
          </w:p>
        </w:tc>
        <w:tc>
          <w:tcPr>
            <w:tcW w:type="dxa" w:w="3120"/>
            <w:tcMar>
              <w:top w:type="dxa" w:w="60"/>
              <w:left w:type="dxa" w:w="90"/>
              <w:bottom w:type="dxa" w:w="60"/>
              <w:right w:type="dxa" w:w="90"/>
            </w:tcMar>
          </w:tcPr>
          <w:p>
            <w:pPr>
              <w:spacing w:after="0"/>
            </w:pPr>
            <w:r>
              <w:t xml:space="preserve">Both required for publication</w:t>
            </w:r>
          </w:p>
        </w:tc>
      </w:tr>
      <w:tr>
        <w:trPr>
          <w:tblHeader w:val="false"/>
        </w:trPr>
        <w:tc>
          <w:tcPr>
            <w:tcW w:type="dxa" w:w="3120"/>
            <w:tcMar>
              <w:top w:type="dxa" w:w="60"/>
              <w:left w:type="dxa" w:w="90"/>
              <w:bottom w:type="dxa" w:w="60"/>
              <w:right w:type="dxa" w:w="90"/>
            </w:tcMar>
          </w:tcPr>
          <w:p>
            <w:pPr>
              <w:spacing w:after="0"/>
            </w:pPr>
            <w:r>
              <w:t xml:space="preserve">Visual tags (primary)</w:t>
            </w:r>
          </w:p>
        </w:tc>
        <w:tc>
          <w:tcPr>
            <w:tcW w:type="dxa" w:w="3120"/>
            <w:tcMar>
              <w:top w:type="dxa" w:w="60"/>
              <w:left w:type="dxa" w:w="90"/>
              <w:bottom w:type="dxa" w:w="60"/>
              <w:right w:type="dxa" w:w="90"/>
            </w:tcMar>
          </w:tcPr>
          <w:p>
            <w:pPr>
              <w:spacing w:after="0"/>
            </w:pPr>
            <w:r>
              <w:rPr>
                <w:rFonts w:ascii="Consolas" w:cs="Consolas" w:eastAsia="Consolas" w:hAnsi="Consolas"/>
                <w:sz w:val="18"/>
                <w:szCs w:val="18"/>
              </w:rPr>
              <w:t xml:space="preserve">openai/clip-vit-base-patch32</w:t>
            </w:r>
          </w:p>
        </w:tc>
        <w:tc>
          <w:tcPr>
            <w:tcW w:type="dxa" w:w="3120"/>
            <w:tcMar>
              <w:top w:type="dxa" w:w="60"/>
              <w:left w:type="dxa" w:w="90"/>
              <w:bottom w:type="dxa" w:w="60"/>
              <w:right w:type="dxa" w:w="90"/>
            </w:tcMar>
          </w:tcPr>
          <w:p>
            <w:pPr>
              <w:spacing w:after="0"/>
            </w:pPr>
            <w:r>
              <w:t xml:space="preserve">34-label vocabulary</w:t>
            </w:r>
          </w:p>
        </w:tc>
      </w:tr>
      <w:tr>
        <w:trPr>
          <w:tblHeader w:val="false"/>
        </w:trPr>
        <w:tc>
          <w:tcPr>
            <w:tcW w:type="dxa" w:w="3120"/>
            <w:tcMar>
              <w:top w:type="dxa" w:w="60"/>
              <w:left w:type="dxa" w:w="90"/>
              <w:bottom w:type="dxa" w:w="60"/>
              <w:right w:type="dxa" w:w="90"/>
            </w:tcMar>
          </w:tcPr>
          <w:p>
            <w:pPr>
              <w:spacing w:after="0"/>
            </w:pPr>
            <w:r>
              <w:t xml:space="preserve">Visual tags (verifier)</w:t>
            </w:r>
          </w:p>
        </w:tc>
        <w:tc>
          <w:tcPr>
            <w:tcW w:type="dxa" w:w="3120"/>
            <w:tcMar>
              <w:top w:type="dxa" w:w="60"/>
              <w:left w:type="dxa" w:w="90"/>
              <w:bottom w:type="dxa" w:w="60"/>
              <w:right w:type="dxa" w:w="90"/>
            </w:tcMar>
          </w:tcPr>
          <w:p>
            <w:pPr>
              <w:spacing w:after="0"/>
            </w:pPr>
            <w:r>
              <w:rPr>
                <w:rFonts w:ascii="Consolas" w:cs="Consolas" w:eastAsia="Consolas" w:hAnsi="Consolas"/>
                <w:sz w:val="18"/>
                <w:szCs w:val="18"/>
              </w:rPr>
              <w:t xml:space="preserve">openai/clip-vit-large-patch14</w:t>
            </w:r>
          </w:p>
        </w:tc>
        <w:tc>
          <w:tcPr>
            <w:tcW w:type="dxa" w:w="3120"/>
            <w:tcMar>
              <w:top w:type="dxa" w:w="60"/>
              <w:left w:type="dxa" w:w="90"/>
              <w:bottom w:type="dxa" w:w="60"/>
              <w:right w:type="dxa" w:w="90"/>
            </w:tcMar>
          </w:tcPr>
          <w:p>
            <w:pPr>
              <w:spacing w:after="0"/>
            </w:pPr>
            <w:r>
              <w:t xml:space="preserve">Prompt: "a photograph of {label}"</w:t>
            </w:r>
          </w:p>
        </w:tc>
      </w:tr>
      <w:tr>
        <w:trPr>
          <w:tblHeader w:val="false"/>
        </w:trPr>
        <w:tc>
          <w:tcPr>
            <w:tcW w:type="dxa" w:w="3120"/>
            <w:tcMar>
              <w:top w:type="dxa" w:w="60"/>
              <w:left w:type="dxa" w:w="90"/>
              <w:bottom w:type="dxa" w:w="60"/>
              <w:right w:type="dxa" w:w="90"/>
            </w:tcMar>
          </w:tcPr>
          <w:p>
            <w:pPr>
              <w:spacing w:after="0"/>
            </w:pPr>
            <w:r>
              <w:t xml:space="preserve">People count</w:t>
            </w:r>
          </w:p>
        </w:tc>
        <w:tc>
          <w:tcPr>
            <w:tcW w:type="dxa" w:w="3120"/>
            <w:tcMar>
              <w:top w:type="dxa" w:w="60"/>
              <w:left w:type="dxa" w:w="90"/>
              <w:bottom w:type="dxa" w:w="60"/>
              <w:right w:type="dxa" w:w="90"/>
            </w:tcMar>
          </w:tcPr>
          <w:p>
            <w:pPr>
              <w:spacing w:after="0"/>
            </w:pPr>
            <w:r>
              <w:rPr>
                <w:rFonts w:ascii="Consolas" w:cs="Consolas" w:eastAsia="Consolas" w:hAnsi="Consolas"/>
                <w:sz w:val="18"/>
                <w:szCs w:val="18"/>
              </w:rPr>
              <w:t xml:space="preserve">Salesforce/blip-vqa-base</w:t>
            </w:r>
            <w:r>
              <w:t xml:space="preserve">; </w:t>
            </w:r>
            <w:r>
              <w:rPr>
                <w:rFonts w:ascii="Consolas" w:cs="Consolas" w:eastAsia="Consolas" w:hAnsi="Consolas"/>
                <w:sz w:val="18"/>
                <w:szCs w:val="18"/>
              </w:rPr>
              <w:t xml:space="preserve">dandelin/vilt-b32-finetuned-vqa</w:t>
            </w:r>
            <w:r>
              <w:t xml:space="preserve">; </w:t>
            </w:r>
            <w:r>
              <w:rPr>
                <w:rFonts w:ascii="Consolas" w:cs="Consolas" w:eastAsia="Consolas" w:hAnsi="Consolas"/>
                <w:sz w:val="18"/>
                <w:szCs w:val="18"/>
              </w:rPr>
              <w:t xml:space="preserve">facebook/detr-resnet-50</w:t>
            </w:r>
          </w:p>
        </w:tc>
        <w:tc>
          <w:tcPr>
            <w:tcW w:type="dxa" w:w="3120"/>
            <w:tcMar>
              <w:top w:type="dxa" w:w="60"/>
              <w:left w:type="dxa" w:w="90"/>
              <w:bottom w:type="dxa" w:w="60"/>
              <w:right w:type="dxa" w:w="90"/>
            </w:tcMar>
          </w:tcPr>
          <w:p>
            <w:pPr>
              <w:spacing w:after="0"/>
            </w:pPr>
            <w:r>
              <w:t xml:space="preserve">Three families</w:t>
            </w:r>
          </w:p>
        </w:tc>
      </w:tr>
      <w:tr>
        <w:trPr>
          <w:tblHeader w:val="false"/>
        </w:trPr>
        <w:tc>
          <w:tcPr>
            <w:tcW w:type="dxa" w:w="3120"/>
            <w:tcMar>
              <w:top w:type="dxa" w:w="60"/>
              <w:left w:type="dxa" w:w="90"/>
              <w:bottom w:type="dxa" w:w="60"/>
              <w:right w:type="dxa" w:w="90"/>
            </w:tcMar>
          </w:tcPr>
          <w:p>
            <w:pPr>
              <w:spacing w:after="0"/>
            </w:pPr>
            <w:r>
              <w:t xml:space="preserve">Keywords</w:t>
            </w:r>
          </w:p>
        </w:tc>
        <w:tc>
          <w:tcPr>
            <w:tcW w:type="dxa" w:w="3120"/>
            <w:tcMar>
              <w:top w:type="dxa" w:w="60"/>
              <w:left w:type="dxa" w:w="90"/>
              <w:bottom w:type="dxa" w:w="60"/>
              <w:right w:type="dxa" w:w="90"/>
            </w:tcMar>
          </w:tcPr>
          <w:p>
            <w:pPr>
              <w:spacing w:after="0"/>
            </w:pPr>
            <w:r>
              <w:t xml:space="preserve">KeyBERT (</w:t>
            </w:r>
            <w:r>
              <w:rPr>
                <w:rFonts w:ascii="Consolas" w:cs="Consolas" w:eastAsia="Consolas" w:hAnsi="Consolas"/>
                <w:sz w:val="18"/>
                <w:szCs w:val="18"/>
              </w:rPr>
              <w:t xml:space="preserve">all-MiniLM-L6-v2</w:t>
            </w:r>
            <w:r>
              <w:t xml:space="preserve">); YAKE; TF-IDF</w:t>
            </w:r>
          </w:p>
        </w:tc>
        <w:tc>
          <w:tcPr>
            <w:tcW w:type="dxa" w:w="3120"/>
            <w:tcMar>
              <w:top w:type="dxa" w:w="60"/>
              <w:left w:type="dxa" w:w="90"/>
              <w:bottom w:type="dxa" w:w="60"/>
              <w:right w:type="dxa" w:w="90"/>
            </w:tcMar>
          </w:tcPr>
          <w:p>
            <w:pPr>
              <w:spacing w:after="0"/>
            </w:pPr>
            <w:r>
              <w:t xml:space="preserve">Top </w:t>
            </w:r>
            <w:r>
              <w:rPr>
                <w:i/>
                <w:iCs/>
              </w:rPr>
              <w:t xml:space="preserve">k</w:t>
            </w:r>
            <w:r>
              <w:t xml:space="preserve"> = 5</w:t>
            </w:r>
          </w:p>
        </w:tc>
      </w:tr>
      <w:tr>
        <w:trPr>
          <w:tblHeader w:val="false"/>
        </w:trPr>
        <w:tc>
          <w:tcPr>
            <w:tcW w:type="dxa" w:w="3120"/>
            <w:tcMar>
              <w:top w:type="dxa" w:w="60"/>
              <w:left w:type="dxa" w:w="90"/>
              <w:bottom w:type="dxa" w:w="60"/>
              <w:right w:type="dxa" w:w="90"/>
            </w:tcMar>
          </w:tcPr>
          <w:p>
            <w:pPr>
              <w:spacing w:after="0"/>
            </w:pPr>
            <w:r>
              <w:t xml:space="preserve">Hosted annotator</w:t>
            </w:r>
          </w:p>
        </w:tc>
        <w:tc>
          <w:tcPr>
            <w:tcW w:type="dxa" w:w="3120"/>
            <w:tcMar>
              <w:top w:type="dxa" w:w="60"/>
              <w:left w:type="dxa" w:w="90"/>
              <w:bottom w:type="dxa" w:w="60"/>
              <w:right w:type="dxa" w:w="90"/>
            </w:tcMar>
          </w:tcPr>
          <w:p>
            <w:pPr>
              <w:spacing w:after="0"/>
            </w:pPr>
            <w:r>
              <w:rPr>
                <w:rFonts w:ascii="Consolas" w:cs="Consolas" w:eastAsia="Consolas" w:hAnsi="Consolas"/>
                <w:sz w:val="18"/>
                <w:szCs w:val="18"/>
              </w:rPr>
              <w:t xml:space="preserve">gemini-3.6-flash</w:t>
            </w:r>
          </w:p>
        </w:tc>
        <w:tc>
          <w:tcPr>
            <w:tcW w:type="dxa" w:w="3120"/>
            <w:tcMar>
              <w:top w:type="dxa" w:w="60"/>
              <w:left w:type="dxa" w:w="90"/>
              <w:bottom w:type="dxa" w:w="60"/>
              <w:right w:type="dxa" w:w="90"/>
            </w:tcMar>
          </w:tcPr>
          <w:p>
            <w:pPr>
              <w:spacing w:after="0"/>
            </w:pPr>
            <w:r>
              <w:t xml:space="preserve">Optional; ≤ 5 frames; one family vote</w:t>
            </w:r>
          </w:p>
        </w:tc>
      </w:tr>
      <w:tr>
        <w:trPr>
          <w:tblHeader w:val="false"/>
        </w:trPr>
        <w:tc>
          <w:tcPr>
            <w:tcW w:type="dxa" w:w="3120"/>
            <w:tcMar>
              <w:top w:type="dxa" w:w="60"/>
              <w:left w:type="dxa" w:w="90"/>
              <w:bottom w:type="dxa" w:w="60"/>
              <w:right w:type="dxa" w:w="90"/>
            </w:tcMar>
          </w:tcPr>
          <w:p>
            <w:pPr>
              <w:spacing w:after="0"/>
            </w:pPr>
            <w:r>
              <w:t xml:space="preserve">Benchmark</w:t>
            </w:r>
          </w:p>
        </w:tc>
        <w:tc>
          <w:tcPr>
            <w:tcW w:type="dxa" w:w="3120"/>
            <w:tcMar>
              <w:top w:type="dxa" w:w="60"/>
              <w:left w:type="dxa" w:w="90"/>
              <w:bottom w:type="dxa" w:w="60"/>
              <w:right w:type="dxa" w:w="90"/>
            </w:tcMar>
          </w:tcPr>
          <w:p>
            <w:pPr>
              <w:spacing w:after="0"/>
            </w:pPr>
            <w:r>
              <w:t xml:space="preserve">Qwen3-VL 2B/4B/8B (Instruct, Thinking); InternVL3-2B/-8B</w:t>
            </w:r>
          </w:p>
        </w:tc>
        <w:tc>
          <w:tcPr>
            <w:tcW w:type="dxa" w:w="3120"/>
            <w:tcMar>
              <w:top w:type="dxa" w:w="60"/>
              <w:left w:type="dxa" w:w="90"/>
              <w:bottom w:type="dxa" w:w="60"/>
              <w:right w:type="dxa" w:w="90"/>
            </w:tcMar>
          </w:tcPr>
          <w:p>
            <w:pPr>
              <w:spacing w:after="0"/>
            </w:pPr>
            <w:r>
              <w:t xml:space="preserve">8B models int4</w:t>
            </w:r>
          </w:p>
        </w:tc>
      </w:tr>
    </w:tbl>
    <w:p>
      <w:pPr>
        <w:spacing w:after="160"/>
      </w:pPr>
    </w:p>
    <w:p>
      <w:pPr>
        <w:pStyle w:val="Heading2"/>
        <w:spacing w:after="140" w:before="260"/>
      </w:pPr>
      <w:r>
        <w:rPr>
          <w:b/>
          <w:bCs/>
          <w:sz w:val="24"/>
          <w:szCs w:val="24"/>
        </w:rPr>
        <w:t xml:space="preserve">4.4 Tool-Driven Constraints</w:t>
      </w:r>
    </w:p>
    <w:p>
      <w:pPr>
        <w:spacing w:after="140" w:line="276"/>
        <w:jc w:val="both"/>
      </w:pPr>
      <w:r>
        <w:t xml:space="preserve">Four reported design choices are hardware artefacts, not scientific ones, and are labelled as such wherever they appear:</w:t>
      </w:r>
    </w:p>
    <w:p>
      <w:pPr>
        <w:spacing w:after="90" w:line="276"/>
        <w:ind w:left="360" w:hanging="360"/>
      </w:pPr>
      <w:r>
        <w:t xml:space="preserve">1. </w:t>
      </w:r>
      <w:r>
        <w:rPr>
          <w:b/>
          <w:bCs/>
        </w:rPr>
        <w:t xml:space="preserve">4-frame benchmark budget.</w:t>
      </w:r>
      <w:r>
        <w:t xml:space="preserve"> 6 frames caused OOM for Qwen3-VL-8B-Instruct on the 20 GB MIG slice. The whole benchmark therefore runs at 4 frames, and not at the pipeline's scene-aware policy.</w:t>
      </w:r>
    </w:p>
    <w:p>
      <w:pPr>
        <w:spacing w:after="90" w:line="276"/>
        <w:ind w:left="360" w:hanging="360"/>
      </w:pPr>
      <w:r>
        <w:t xml:space="preserve">2. </w:t>
      </w:r>
      <w:r>
        <w:rPr>
          <w:b/>
          <w:bCs/>
        </w:rPr>
        <w:t xml:space="preserve">int4 quantisation for both 8B models.</w:t>
      </w:r>
      <w:r>
        <w:t xml:space="preserve"> bf16 8.77B parameters (~17.5 GB) left no headroom on a 20 GB slice. This confounds the scale comparison and is disclosed at every mention.</w:t>
      </w:r>
    </w:p>
    <w:p>
      <w:pPr>
        <w:spacing w:after="90" w:line="276"/>
        <w:ind w:left="360" w:hanging="360"/>
      </w:pPr>
      <w:r>
        <w:t xml:space="preserve">3. </w:t>
      </w:r>
      <w:r>
        <w:rPr>
          <w:b/>
          <w:bCs/>
        </w:rPr>
        <w:t xml:space="preserve">32B, FP8 and GGUF checkpoints excluded entirely</w:t>
      </w:r>
      <w:r>
        <w:t xml:space="preserve"> — memory, driver-dependent tensor-core support and a separate inference stack respectively. Excluded for capacity, never tested and dropped, which is a different and weaker statement than "did not perform well".</w:t>
      </w:r>
    </w:p>
    <w:p>
      <w:pPr>
        <w:spacing w:after="90" w:line="276"/>
        <w:ind w:left="360" w:hanging="360"/>
      </w:pPr>
      <w:r>
        <w:t xml:space="preserve">4. </w:t>
      </w:r>
      <w:r>
        <w:rPr>
          <w:b/>
          <w:bCs/>
        </w:rPr>
        <w:t xml:space="preserve">Sequential model loading.</w:t>
      </w:r>
      <w:r>
        <w:t xml:space="preserve"> Says nothing about concurrent multi-model serving performance.</w:t>
      </w:r>
    </w:p>
    <w:p>
      <w:pPr>
        <w:pStyle w:val="Heading1"/>
        <w:pageBreakBefore/>
        <w:spacing w:after="140" w:before="400"/>
      </w:pPr>
      <w:r>
        <w:rPr>
          <w:b/>
          <w:bCs/>
          <w:sz w:val="28"/>
          <w:szCs w:val="28"/>
        </w:rPr>
        <w:t xml:space="preserve">5. Reflection</w:t>
      </w:r>
    </w:p>
    <w:p>
      <w:pPr>
        <w:pStyle w:val="Heading2"/>
        <w:spacing w:after="140" w:before="260"/>
      </w:pPr>
      <w:r>
        <w:rPr>
          <w:b/>
          <w:bCs/>
          <w:sz w:val="24"/>
          <w:szCs w:val="24"/>
        </w:rPr>
        <w:t xml:space="preserve">5.1 Divergence from the Original Specification</w:t>
      </w:r>
    </w:p>
    <w:p>
      <w:pPr>
        <w:spacing w:after="140" w:line="276"/>
        <w:jc w:val="both"/>
      </w:pPr>
      <w:r>
        <w:rPr>
          <w:b/>
          <w:bCs/>
        </w:rPr>
        <w:t xml:space="preserve">No human annotation of NVTV material.</w:t>
      </w:r>
      <w:r>
        <w:t xml:space="preserve"> The requirement excluded it. Consequence: no accuracy measurement anywhere in the project, and the reframing described in §2.1. </w:t>
      </w:r>
      <w:r>
        <w:rPr>
          <w:b/>
          <w:bCs/>
          <w:highlight w:val="yellow"/>
          <w:highlightCs w:val="yellow"/>
        </w:rPr>
        <w:t xml:space="preserve">`[TO FILL: confirm this was supervisor-approved and state when, as the exemplars do for their own scope changes.]`</w:t>
      </w:r>
    </w:p>
    <w:p>
      <w:pPr>
        <w:spacing w:after="140" w:line="276"/>
        <w:jc w:val="both"/>
      </w:pPr>
      <w:r>
        <w:rPr>
          <w:b/>
          <w:bCs/>
        </w:rPr>
        <w:t xml:space="preserve">Fine-tuning not reported.</w:t>
      </w:r>
      <w:r>
        <w:t xml:space="preserve"> The pipeline notebook's methodological-rules cell describes LoRA fine-tuning of CLIP's vision tower and BLIP-VQA's answer decoder on calibration-split human labels (its Sections 18B–18E). </w:t>
      </w:r>
      <w:r>
        <w:rPr>
          <w:b/>
          <w:bCs/>
        </w:rPr>
        <w:t xml:space="preserve">Those sections are not present in the executed notebook and no fine-tuning result exists.</w:t>
      </w:r>
      <w:r>
        <w:t xml:space="preserve"> The paper therefore reports a fully zero-shot system. </w:t>
      </w:r>
      <w:r>
        <w:rPr>
          <w:b/>
          <w:bCs/>
          <w:highlight w:val="yellow"/>
          <w:highlightCs w:val="yellow"/>
        </w:rPr>
        <w:t xml:space="preserve">`[TO FILL: either remove the fine-tuning language from the notebook's rules cell so the artefact matches what was run, or run those sections and add the results. The current mismatch between the notebook's stated method and its executed content is the kind of discrepancy an examiner will notice, and it is better resolved than explained.]`</w:t>
      </w:r>
    </w:p>
    <w:p>
      <w:pPr>
        <w:spacing w:after="140" w:line="276"/>
        <w:jc w:val="both"/>
      </w:pPr>
      <w:r>
        <w:rPr>
          <w:b/>
          <w:bCs/>
        </w:rPr>
        <w:t xml:space="preserve">Two corpus sizes, resolved.</w:t>
      </w:r>
      <w:r>
        <w:t xml:space="preserve"> An earlier benchmark run scored 615 clips against </w:t>
      </w:r>
      <w:r>
        <w:rPr>
          <w:rFonts w:ascii="Consolas" w:cs="Consolas" w:eastAsia="Consolas" w:hAnsi="Consolas"/>
          <w:sz w:val="18"/>
          <w:szCs w:val="18"/>
        </w:rPr>
        <w:t xml:space="preserve">ground_truth_metadata_615.json</w:t>
      </w:r>
      <w:r>
        <w:t xml:space="preserve"> while the pipeline had generated 626. The final run rebuilt the benchmark against the full 626-clip ground truth, and both documents now report 626 throughout. The earlier numbers differ only in the third decimal place and no conclusion changed, but the superseded run should not be cited.</w:t>
      </w:r>
    </w:p>
    <w:p>
      <w:pPr>
        <w:pStyle w:val="Heading2"/>
        <w:spacing w:after="140" w:before="260"/>
      </w:pPr>
      <w:r>
        <w:rPr>
          <w:b/>
          <w:bCs/>
          <w:sz w:val="24"/>
          <w:szCs w:val="24"/>
        </w:rPr>
        <w:t xml:space="preserve">5.2 Design Rationale</w:t>
      </w:r>
    </w:p>
    <w:p>
      <w:pPr>
        <w:spacing w:after="140" w:line="276"/>
        <w:jc w:val="both"/>
      </w:pPr>
      <w:r>
        <w:rPr>
          <w:b/>
          <w:bCs/>
        </w:rPr>
        <w:t xml:space="preserve">Why corroboration rather than a learned reliability model.</w:t>
      </w:r>
      <w:r>
        <w:t xml:space="preserve"> Weak supervision could have produced a per-field probability. With no human reference anywhere in the system, that probability could never have been validated, and publishing an unvalidated probability in an archive catalogue would mislead exactly the users the project is for. Raw corroboration with an explicit disclaimer is weaker output and honest output. If a human reference is collected later, the artefacts retain everything needed to fit such a model retrospectively.</w:t>
      </w:r>
    </w:p>
    <w:p>
      <w:pPr>
        <w:spacing w:after="140" w:line="276"/>
        <w:jc w:val="both"/>
      </w:pPr>
      <w:r>
        <w:rPr>
          <w:b/>
          <w:bCs/>
        </w:rPr>
        <w:t xml:space="preserve">Why a dual-engine OCR veto.</w:t>
      </w:r>
      <w:r>
        <w:t xml:space="preserve"> On-screen text is the field where a hallucination is most damaging — an invented name or headline entering a catalogue is indistinguishable from a real one without checking the footage. The veto trades recall for precision deliberately, and §3.5 confirms it holds at corpus scale.</w:t>
      </w:r>
    </w:p>
    <w:p>
      <w:pPr>
        <w:spacing w:after="140" w:line="276"/>
        <w:jc w:val="both"/>
      </w:pPr>
      <w:r>
        <w:rPr>
          <w:b/>
          <w:bCs/>
        </w:rPr>
        <w:t xml:space="preserve">Why equal family weights.</w:t>
      </w:r>
      <w:r>
        <w:t xml:space="preserve"> The neutral default absent measured reliability, with a provenance file so measured weights can replace them. RQ4 shows the cost: on visual tags, where two of three families are correlated, the neutral default lets a third family rewrite half the output.</w:t>
      </w:r>
    </w:p>
    <w:p>
      <w:pPr>
        <w:spacing w:after="140" w:line="276"/>
        <w:jc w:val="both"/>
      </w:pPr>
      <w:r>
        <w:rPr>
          <w:b/>
          <w:bCs/>
        </w:rPr>
        <w:t xml:space="preserve">Why fixed 30-second clips.</w:t>
      </w:r>
      <w:r>
        <w:t xml:space="preserve"> Uniform, content-independent boundaries make clip identity stable across pipeline versions. Shot-boundary segmentation would produce clips better aligned to content but would make every clip ID version-dependent, breaking cached predictions on every change to the detector.</w:t>
      </w:r>
    </w:p>
    <w:p>
      <w:pPr>
        <w:pStyle w:val="Heading2"/>
        <w:spacing w:after="140" w:before="260"/>
      </w:pPr>
      <w:r>
        <w:rPr>
          <w:b/>
          <w:bCs/>
          <w:sz w:val="24"/>
          <w:szCs w:val="24"/>
        </w:rPr>
        <w:t xml:space="preserve">5.3 Lessons Learned</w:t>
      </w:r>
    </w:p>
    <w:p>
      <w:pPr>
        <w:spacing w:after="90" w:line="276"/>
        <w:ind w:left="360" w:hanging="360"/>
      </w:pPr>
      <w:r>
        <w:t xml:space="preserve">1. </w:t>
      </w:r>
      <w:r>
        <w:rPr>
          <w:b/>
          <w:bCs/>
        </w:rPr>
        <w:t xml:space="preserve">Separate inference from scoring.</w:t>
      </w:r>
      <w:r>
        <w:t xml:space="preserve"> The third notebook — scoring only, loads no models — was the highest-value structural decision in the project. Comparison tables rebuild in seconds without a GPU, and a missing cache degrades to zero coverage rather than crashing a run.</w:t>
      </w:r>
    </w:p>
    <w:p>
      <w:pPr>
        <w:spacing w:after="90" w:line="276"/>
        <w:ind w:left="360" w:hanging="360"/>
      </w:pPr>
      <w:r>
        <w:t xml:space="preserve">2. </w:t>
      </w:r>
      <w:r>
        <w:rPr>
          <w:b/>
          <w:bCs/>
        </w:rPr>
        <w:t xml:space="preserve">Version the prompt, and check the version at load.</w:t>
      </w:r>
      <w:r>
        <w:t xml:space="preserve"> Prediction caches carry a </w:t>
      </w:r>
      <w:r>
        <w:rPr>
          <w:rFonts w:ascii="Consolas" w:cs="Consolas" w:eastAsia="Consolas" w:hAnsi="Consolas"/>
          <w:sz w:val="18"/>
          <w:szCs w:val="18"/>
        </w:rPr>
        <w:t xml:space="preserve">prompt_version</w:t>
      </w:r>
      <w:r>
        <w:t xml:space="preserve">; mismatched caches are ignored. Without this, a prompt change silently mixes incomparable results into one table — an error that produces plausible numbers and is almost undetectable afterwards.</w:t>
      </w:r>
    </w:p>
    <w:p>
      <w:pPr>
        <w:spacing w:after="90" w:line="276"/>
        <w:ind w:left="360" w:hanging="360"/>
      </w:pPr>
      <w:r>
        <w:t xml:space="preserve">3. </w:t>
      </w:r>
      <w:r>
        <w:rPr>
          <w:b/>
          <w:bCs/>
        </w:rPr>
        <w:t xml:space="preserve">Record failures against identifiers.</w:t>
      </w:r>
      <w:r>
        <w:t xml:space="preserve"> Coverage tables that show what was actually scored are worth more than clean-looking means over unknown denominators.</w:t>
      </w:r>
    </w:p>
    <w:p>
      <w:pPr>
        <w:spacing w:after="90" w:line="276"/>
        <w:ind w:left="360" w:hanging="360"/>
      </w:pPr>
      <w:r>
        <w:t xml:space="preserve">4. </w:t>
      </w:r>
      <w:r>
        <w:rPr>
          <w:b/>
          <w:bCs/>
        </w:rPr>
        <w:t xml:space="preserve">Decide what the metric cannot see, before running it.</w:t>
      </w:r>
      <w:r>
        <w:t xml:space="preserve"> Writing §4.2 of the paper before the experiments prevented the multi-label-accuracy trap: 0.87 looks strong until it is noticed that predicting nothing scores ≈ 0.85 over 34 labels.</w:t>
      </w:r>
    </w:p>
    <w:p>
      <w:pPr>
        <w:spacing w:after="90" w:line="276"/>
        <w:ind w:left="360" w:hanging="360"/>
      </w:pPr>
      <w:r>
        <w:t xml:space="preserve">5. </w:t>
      </w:r>
      <w:r>
        <w:rPr>
          <w:b/>
          <w:bCs/>
        </w:rPr>
        <w:t xml:space="preserve">Underpowered experiments should be run anyway and labelled honestly.</w:t>
      </w:r>
      <w:r>
        <w:t xml:space="preserve"> The </w:t>
      </w:r>
      <w:r>
        <w:rPr>
          <w:i/>
          <w:iCs/>
        </w:rPr>
        <w:t xml:space="preserve">n</w:t>
      </w:r>
      <w:r>
        <w:t xml:space="preserve"> = 5 robustness study produced the clearest mechanistic finding in the project (13-fold field-dependence). Its sample size is in the caption, and it still earns its place.</w:t>
      </w:r>
    </w:p>
    <w:p>
      <w:pPr>
        <w:pStyle w:val="Heading2"/>
        <w:spacing w:after="140" w:before="260"/>
      </w:pPr>
      <w:r>
        <w:rPr>
          <w:b/>
          <w:bCs/>
          <w:sz w:val="24"/>
          <w:szCs w:val="24"/>
        </w:rPr>
        <w:t xml:space="preserve">5.4 Evaluation of the Outcome</w:t>
      </w:r>
    </w:p>
    <w:p>
      <w:pPr>
        <w:spacing w:after="140" w:line="276"/>
        <w:jc w:val="both"/>
      </w:pPr>
      <w:r>
        <w:rPr>
          <w:b/>
          <w:bCs/>
        </w:rPr>
        <w:t xml:space="preserve">Delivered.</w:t>
      </w:r>
      <w:r>
        <w:t xml:space="preserve"> A resumable, checkpointed, provenance-tracked pipeline; 626 clips at zero failures; five fields per clip from heterogeneous families; explicit per-field status and agreement; four experiments; a 7-model, 21,489-score benchmark; a read-only browser exposing the evidence.</w:t>
      </w:r>
    </w:p>
    <w:p>
      <w:pPr>
        <w:spacing w:after="140" w:line="276"/>
        <w:jc w:val="both"/>
      </w:pPr>
      <w:r>
        <w:rPr>
          <w:b/>
          <w:bCs/>
        </w:rPr>
        <w:t xml:space="preserve">Not delivered.</w:t>
      </w:r>
      <w:r>
        <w:t xml:space="preserve"> Any validity measurement (structurally impossible without a human reference); adequately powered ablations; speaker attribution; model-level provenance for the correlated-source audit; the fine-tuning the notebook's rules cell describes.</w:t>
      </w:r>
    </w:p>
    <w:p>
      <w:pPr>
        <w:spacing w:after="140" w:line="276"/>
        <w:jc w:val="both"/>
      </w:pPr>
      <w:r>
        <w:t xml:space="preserve">Sub-clip temporal localisation belongs on a separate line, because it is nearer than it looks. </w:t>
      </w:r>
      <w:r>
        <w:rPr>
          <w:rFonts w:ascii="Consolas" w:cs="Consolas" w:eastAsia="Consolas" w:hAnsi="Consolas"/>
          <w:sz w:val="18"/>
          <w:szCs w:val="18"/>
        </w:rPr>
        <w:t xml:space="preserve">transcribe_clip</w:t>
      </w:r>
      <w:r>
        <w:t xml:space="preserve"> stores every Whisper segment with </w:t>
      </w:r>
      <w:r>
        <w:rPr>
          <w:rFonts w:ascii="Consolas" w:cs="Consolas" w:eastAsia="Consolas" w:hAnsi="Consolas"/>
          <w:sz w:val="18"/>
          <w:szCs w:val="18"/>
        </w:rPr>
        <w:t xml:space="preserve">start</w:t>
      </w:r>
      <w:r>
        <w:t xml:space="preserve"> and </w:t>
      </w:r>
      <w:r>
        <w:rPr>
          <w:rFonts w:ascii="Consolas" w:cs="Consolas" w:eastAsia="Consolas" w:hAnsi="Consolas"/>
          <w:sz w:val="18"/>
          <w:szCs w:val="18"/>
        </w:rPr>
        <w:t xml:space="preserve">end</w:t>
      </w:r>
      <w:r>
        <w:t xml:space="preserve"> times, and the OCR consensus stores </w:t>
      </w:r>
      <w:r>
        <w:rPr>
          <w:rFonts w:ascii="Consolas" w:cs="Consolas" w:eastAsia="Consolas" w:hAnsi="Consolas"/>
          <w:sz w:val="18"/>
          <w:szCs w:val="18"/>
        </w:rPr>
        <w:t xml:space="preserve">frames_detected</w:t>
      </w:r>
      <w:r>
        <w:t xml:space="preserve"> for each accepted string. Both survive into the per-clip prediction records; only the focused five-field export drops them. Publishing them is a change to </w:t>
      </w:r>
      <w:r>
        <w:rPr>
          <w:rFonts w:ascii="Consolas" w:cs="Consolas" w:eastAsia="Consolas" w:hAnsi="Consolas"/>
          <w:sz w:val="18"/>
          <w:szCs w:val="18"/>
        </w:rPr>
        <w:t xml:space="preserve">build_automatic_ground_truth</w:t>
      </w:r>
      <w:r>
        <w:t xml:space="preserve">, not new inference — the cheapest unclaimed capability in the project.</w:t>
      </w:r>
    </w:p>
    <w:p>
      <w:pPr>
        <w:spacing w:after="140" w:line="276"/>
        <w:jc w:val="both"/>
      </w:pPr>
      <w:r>
        <w:rPr>
          <w:b/>
          <w:bCs/>
        </w:rPr>
        <w:t xml:space="preserve">Honest self-assessment.</w:t>
      </w:r>
      <w:r>
        <w:t xml:space="preserve"> The engineering is solid and the instrumentation is genuinely better than the norm for this kind of project. The scientific claim is correspondingly narrow, and that narrowness is a consequence of the no-annotation constraint rather than a failure of execution. The most valuable single follow-up is small: a few hundred human-labelled clips would convert every agreement number here into a validity measurement and settle the RQ4 visual-tag question, which is currently the most interesting unresolved result in the project.</w:t>
      </w:r>
    </w:p>
    <w:p>
      <w:pPr>
        <w:pStyle w:val="Heading1"/>
        <w:pageBreakBefore/>
        <w:spacing w:after="140" w:before="400"/>
      </w:pPr>
      <w:r>
        <w:rPr>
          <w:b/>
          <w:bCs/>
          <w:sz w:val="28"/>
          <w:szCs w:val="28"/>
        </w:rPr>
        <w:t xml:space="preserve">6. Responsible AI</w:t>
      </w:r>
    </w:p>
    <w:p>
      <w:pPr>
        <w:pStyle w:val="Heading2"/>
        <w:spacing w:after="140" w:before="260"/>
      </w:pPr>
      <w:r>
        <w:rPr>
          <w:b/>
          <w:bCs/>
          <w:sz w:val="24"/>
          <w:szCs w:val="24"/>
        </w:rPr>
        <w:t xml:space="preserve">6.1 Bias</w:t>
      </w:r>
    </w:p>
    <w:p>
      <w:pPr>
        <w:spacing w:after="140" w:line="276"/>
        <w:jc w:val="both"/>
      </w:pPr>
      <w:r>
        <w:t xml:space="preserve">The 34-label vocabulary was authored by one person for one corpus. It encodes a particular view of what is worth recording about community life in Belfast in 2016 — it contains </w:t>
      </w:r>
      <w:r>
        <w:rPr>
          <w:rFonts w:ascii="Consolas" w:cs="Consolas" w:eastAsia="Consolas" w:hAnsi="Consolas"/>
          <w:sz w:val="18"/>
          <w:szCs w:val="18"/>
        </w:rPr>
        <w:t xml:space="preserve">protest</w:t>
      </w:r>
      <w:r>
        <w:t xml:space="preserve">, </w:t>
      </w:r>
      <w:r>
        <w:rPr>
          <w:rFonts w:ascii="Consolas" w:cs="Consolas" w:eastAsia="Consolas" w:hAnsi="Consolas"/>
          <w:sz w:val="18"/>
          <w:szCs w:val="18"/>
        </w:rPr>
        <w:t xml:space="preserve">police</w:t>
      </w:r>
      <w:r>
        <w:t xml:space="preserve">, </w:t>
      </w:r>
      <w:r>
        <w:rPr>
          <w:rFonts w:ascii="Consolas" w:cs="Consolas" w:eastAsia="Consolas" w:hAnsi="Consolas"/>
          <w:sz w:val="18"/>
          <w:szCs w:val="18"/>
        </w:rPr>
        <w:t xml:space="preserve">politician</w:t>
      </w:r>
      <w:r>
        <w:t xml:space="preserve"> and </w:t>
      </w:r>
      <w:r>
        <w:rPr>
          <w:rFonts w:ascii="Consolas" w:cs="Consolas" w:eastAsia="Consolas" w:hAnsi="Consolas"/>
          <w:sz w:val="18"/>
          <w:szCs w:val="18"/>
        </w:rPr>
        <w:t xml:space="preserve">firefighter</w:t>
      </w:r>
      <w:r>
        <w:t xml:space="preserve">, and what it omits is as consequential as what it includes, because a concept outside the list cannot be expressed by any model in the system. Underlying models carry their own web-scale training biases, which this project does not measure.</w:t>
      </w:r>
    </w:p>
    <w:p>
      <w:pPr>
        <w:spacing w:after="140" w:line="276"/>
        <w:jc w:val="both"/>
      </w:pPr>
      <w:r>
        <w:rPr>
          <w:b/>
          <w:bCs/>
        </w:rPr>
        <w:t xml:space="preserve">Tag frequency across the 626 clips confirms the vocabulary is badly balanced for this corpus.</w:t>
      </w:r>
      <w:r>
        <w:t xml:space="preserve"> Three labels fire on the majority of clips — </w:t>
      </w:r>
      <w:r>
        <w:rPr>
          <w:rFonts w:ascii="Consolas" w:cs="Consolas" w:eastAsia="Consolas" w:hAnsi="Consolas"/>
          <w:sz w:val="18"/>
          <w:szCs w:val="18"/>
        </w:rPr>
        <w:t xml:space="preserve">person speaking</w:t>
      </w:r>
      <w:r>
        <w:t xml:space="preserve"> 94.9%, </w:t>
      </w:r>
      <w:r>
        <w:rPr>
          <w:rFonts w:ascii="Consolas" w:cs="Consolas" w:eastAsia="Consolas" w:hAnsi="Consolas"/>
          <w:sz w:val="18"/>
          <w:szCs w:val="18"/>
        </w:rPr>
        <w:t xml:space="preserve">interview</w:t>
      </w:r>
      <w:r>
        <w:t xml:space="preserve"> 85.8%, </w:t>
      </w:r>
      <w:r>
        <w:rPr>
          <w:rFonts w:ascii="Consolas" w:cs="Consolas" w:eastAsia="Consolas" w:hAnsi="Consolas"/>
          <w:sz w:val="18"/>
          <w:szCs w:val="18"/>
        </w:rPr>
        <w:t xml:space="preserve">reporter</w:t>
      </w:r>
      <w:r>
        <w:t xml:space="preserve"> 63.4% — and therefore carry almost no discriminative information: knowing that a clip is tagged </w:t>
      </w:r>
      <w:r>
        <w:rPr>
          <w:rFonts w:ascii="Consolas" w:cs="Consolas" w:eastAsia="Consolas" w:hAnsi="Consolas"/>
          <w:sz w:val="18"/>
          <w:szCs w:val="18"/>
        </w:rPr>
        <w:t xml:space="preserve">person speaking</w:t>
      </w:r>
      <w:r>
        <w:t xml:space="preserve"> excludes almost nothing. At the other end, </w:t>
      </w:r>
      <w:r>
        <w:rPr>
          <w:b/>
          <w:bCs/>
        </w:rPr>
        <w:t xml:space="preserve">two of the 34 labels never fire at all</w:t>
      </w:r>
      <w:r>
        <w:t xml:space="preserve"> (</w:t>
      </w:r>
      <w:r>
        <w:rPr>
          <w:rFonts w:ascii="Consolas" w:cs="Consolas" w:eastAsia="Consolas" w:hAnsi="Consolas"/>
          <w:sz w:val="18"/>
          <w:szCs w:val="18"/>
        </w:rPr>
        <w:t xml:space="preserve">landscape</w:t>
      </w:r>
      <w:r>
        <w:t xml:space="preserve"> and </w:t>
      </w:r>
      <w:r>
        <w:rPr>
          <w:rFonts w:ascii="Consolas" w:cs="Consolas" w:eastAsia="Consolas" w:hAnsi="Consolas"/>
          <w:sz w:val="18"/>
          <w:szCs w:val="18"/>
        </w:rPr>
        <w:t xml:space="preserve">rural countryside</w:t>
      </w:r>
      <w:r>
        <w:t xml:space="preserve"> — plausible for Northern Ireland in general, absent from this urban, civic-events corpus), and eight more fire on under 1.5% of clips: </w:t>
      </w:r>
      <w:r>
        <w:rPr>
          <w:rFonts w:ascii="Consolas" w:cs="Consolas" w:eastAsia="Consolas" w:hAnsi="Consolas"/>
          <w:sz w:val="18"/>
          <w:szCs w:val="18"/>
        </w:rPr>
        <w:t xml:space="preserve">public meeting</w:t>
      </w:r>
      <w:r>
        <w:t xml:space="preserve"> 1.3%, </w:t>
      </w:r>
      <w:r>
        <w:rPr>
          <w:rFonts w:ascii="Consolas" w:cs="Consolas" w:eastAsia="Consolas" w:hAnsi="Consolas"/>
          <w:sz w:val="18"/>
          <w:szCs w:val="18"/>
        </w:rPr>
        <w:t xml:space="preserve">police</w:t>
      </w:r>
      <w:r>
        <w:t xml:space="preserve"> 1.1%, </w:t>
      </w:r>
      <w:r>
        <w:rPr>
          <w:rFonts w:ascii="Consolas" w:cs="Consolas" w:eastAsia="Consolas" w:hAnsi="Consolas"/>
          <w:sz w:val="18"/>
          <w:szCs w:val="18"/>
        </w:rPr>
        <w:t xml:space="preserve">road</w:t>
      </w:r>
      <w:r>
        <w:t xml:space="preserve"> 1.0%, </w:t>
      </w:r>
      <w:r>
        <w:rPr>
          <w:rFonts w:ascii="Consolas" w:cs="Consolas" w:eastAsia="Consolas" w:hAnsi="Consolas"/>
          <w:sz w:val="18"/>
          <w:szCs w:val="18"/>
        </w:rPr>
        <w:t xml:space="preserve">stage</w:t>
      </w:r>
      <w:r>
        <w:t xml:space="preserve"> 0.6%, </w:t>
      </w:r>
      <w:r>
        <w:rPr>
          <w:rFonts w:ascii="Consolas" w:cs="Consolas" w:eastAsia="Consolas" w:hAnsi="Consolas"/>
          <w:sz w:val="18"/>
          <w:szCs w:val="18"/>
        </w:rPr>
        <w:t xml:space="preserve">office</w:t>
      </w:r>
      <w:r>
        <w:t xml:space="preserve"> 0.6%, </w:t>
      </w:r>
      <w:r>
        <w:rPr>
          <w:rFonts w:ascii="Consolas" w:cs="Consolas" w:eastAsia="Consolas" w:hAnsi="Consolas"/>
          <w:sz w:val="18"/>
          <w:szCs w:val="18"/>
        </w:rPr>
        <w:t xml:space="preserve">firefighter</w:t>
      </w:r>
      <w:r>
        <w:t xml:space="preserve"> 0.5%, </w:t>
      </w:r>
      <w:r>
        <w:rPr>
          <w:rFonts w:ascii="Consolas" w:cs="Consolas" w:eastAsia="Consolas" w:hAnsi="Consolas"/>
          <w:sz w:val="18"/>
          <w:szCs w:val="18"/>
        </w:rPr>
        <w:t xml:space="preserve">fire engine</w:t>
      </w:r>
      <w:r>
        <w:t xml:space="preserve"> 0.2%, </w:t>
      </w:r>
      <w:r>
        <w:rPr>
          <w:rFonts w:ascii="Consolas" w:cs="Consolas" w:eastAsia="Consolas" w:hAnsi="Consolas"/>
          <w:sz w:val="18"/>
          <w:szCs w:val="18"/>
        </w:rPr>
        <w:t xml:space="preserve">hospital</w:t>
      </w:r>
      <w:r>
        <w:t xml:space="preserve"> 0.2%. The effective vocabulary is roughly a dozen labels, not 34.</w:t>
      </w:r>
    </w:p>
    <w:p>
      <w:pPr>
        <w:spacing w:after="140" w:line="276"/>
        <w:jc w:val="both"/>
      </w:pPr>
      <w:r>
        <w:t xml:space="preserve">Three consequences follow. It inflates the benchmark's multi-label accuracy column (§4.4), because a model predicting only the three common labels already matches most of the reference. It shows the vocabulary was authored against an imagined corpus rather than this one — </w:t>
      </w:r>
      <w:r>
        <w:rPr>
          <w:rFonts w:ascii="Consolas" w:cs="Consolas" w:eastAsia="Consolas" w:hAnsi="Consolas"/>
          <w:sz w:val="18"/>
          <w:szCs w:val="18"/>
        </w:rPr>
        <w:t xml:space="preserve">fire engine</w:t>
      </w:r>
      <w:r>
        <w:t xml:space="preserve"> and </w:t>
      </w:r>
      <w:r>
        <w:rPr>
          <w:rFonts w:ascii="Consolas" w:cs="Consolas" w:eastAsia="Consolas" w:hAnsi="Consolas"/>
          <w:sz w:val="18"/>
          <w:szCs w:val="18"/>
        </w:rPr>
        <w:t xml:space="preserve">hospital</w:t>
      </w:r>
      <w:r>
        <w:t xml:space="preserve"> earn their places from a single clip each. And a label that never fires can never be wrong, so the vocabulary's apparent breadth overstates what the catalogue can actually express.</w:t>
      </w:r>
    </w:p>
    <w:p>
      <w:pPr>
        <w:pStyle w:val="Heading2"/>
        <w:spacing w:after="140" w:before="260"/>
      </w:pPr>
      <w:r>
        <w:rPr>
          <w:b/>
          <w:bCs/>
          <w:sz w:val="24"/>
          <w:szCs w:val="24"/>
        </w:rPr>
        <w:t xml:space="preserve">6.2 Privacy</w:t>
      </w:r>
    </w:p>
    <w:p>
      <w:pPr>
        <w:spacing w:after="140" w:line="276"/>
        <w:jc w:val="both"/>
      </w:pPr>
      <w:r>
        <w:t xml:space="preserve">The footage shows identifiable members of the public in public settings, recorded for broadcast. Controls: no identity inference anywhere in the pipeline, and the hosted annotator is explicitly prompted against it; people count published as an integer only, never demographic attributes; the hosted API is optional and gated on licence and data-governance approval, with full local-only operation supported; API keys never written to artefacts. </w:t>
      </w:r>
      <w:r>
        <w:rPr>
          <w:b/>
          <w:bCs/>
          <w:highlight w:val="yellow"/>
          <w:highlightCs w:val="yellow"/>
        </w:rPr>
        <w:t xml:space="preserve">`[TO FILL: NVTV licence terms; QUB ethics/data-governance reference; whether the reported run used the hosted API.]`</w:t>
      </w:r>
    </w:p>
    <w:p>
      <w:pPr>
        <w:pStyle w:val="Heading2"/>
        <w:spacing w:after="140" w:before="260"/>
      </w:pPr>
      <w:r>
        <w:rPr>
          <w:b/>
          <w:bCs/>
          <w:sz w:val="24"/>
          <w:szCs w:val="24"/>
        </w:rPr>
        <w:t xml:space="preserve">6.3 Fairness</w:t>
      </w:r>
    </w:p>
    <w:p>
      <w:pPr>
        <w:spacing w:after="140" w:line="276"/>
        <w:jc w:val="both"/>
      </w:pPr>
      <w:r>
        <w:t xml:space="preserve">Whisper's accuracy varies by accent, and this corpus is predominantly Northern Irish English — a distribution under-represented in training data relative to General American. Transcript quality is therefore likely to be systematically lower here than published WER figures suggest, and </w:t>
      </w:r>
      <w:r>
        <w:rPr>
          <w:i/>
          <w:iCs/>
        </w:rPr>
        <w:t xml:space="preserve">that error is not random</w:t>
      </w:r>
      <w:r>
        <w:t xml:space="preserve">: it will fall hardest on speakers with the strongest regional accents, who in a community archive are often the community members the archive exists to represent. The project does not measure this systematically, which is a real gap rather than a formality.</w:t>
      </w:r>
    </w:p>
    <w:p>
      <w:pPr>
        <w:spacing w:after="140" w:line="276"/>
        <w:jc w:val="both"/>
      </w:pPr>
      <w:r>
        <w:t xml:space="preserve">The benchmark spot-checks contain direct evidence that the problem is live. On a Belfast arts clip the pipeline's own reference keywords, derived from the Whisper transcript, include </w:t>
      </w:r>
      <w:r>
        <w:rPr>
          <w:rFonts w:ascii="Consolas" w:cs="Consolas" w:eastAsia="Consolas" w:hAnsi="Consolas"/>
          <w:sz w:val="18"/>
          <w:szCs w:val="18"/>
        </w:rPr>
        <w:t xml:space="preserve">pethau felly</w:t>
      </w:r>
      <w:r>
        <w:t xml:space="preserve">, </w:t>
      </w:r>
      <w:r>
        <w:rPr>
          <w:rFonts w:ascii="Consolas" w:cs="Consolas" w:eastAsia="Consolas" w:hAnsi="Consolas"/>
          <w:sz w:val="18"/>
          <w:szCs w:val="18"/>
        </w:rPr>
        <w:t xml:space="preserve">cyfnodau yw</w:t>
      </w:r>
      <w:r>
        <w:t xml:space="preserve"> and </w:t>
      </w:r>
      <w:r>
        <w:rPr>
          <w:rFonts w:ascii="Consolas" w:cs="Consolas" w:eastAsia="Consolas" w:hAnsi="Consolas"/>
          <w:sz w:val="18"/>
          <w:szCs w:val="18"/>
        </w:rPr>
        <w:t xml:space="preserve">custinia rheidd</w:t>
      </w:r>
      <w:r>
        <w:t xml:space="preserve"> — Welsh-looking strings with no Welsh in the audio. Whisper has mis-identified the language on accented English and produced fluent nonsense, and because keywords are extracted downstream of the transcript, that nonsense propagated into the published catalogue field. It is not flagged, because the keyword sources (KeyBERT, YAKE, TF-IDF) agree with each other about the text they were given: </w:t>
      </w:r>
      <w:r>
        <w:rPr>
          <w:b/>
          <w:bCs/>
        </w:rPr>
        <w:t xml:space="preserve">three sources corroborating one another cannot detect an error introduced upstream of all three.</w:t>
      </w:r>
      <w:r>
        <w:t xml:space="preserve"> This is the clearest demonstration in the project of what the agreement score does not measure. </w:t>
      </w:r>
      <w:r>
        <w:rPr>
          <w:b/>
          <w:bCs/>
          <w:highlight w:val="yellow"/>
          <w:highlightCs w:val="yellow"/>
        </w:rPr>
        <w:t xml:space="preserve">`[TO FILL: this measurement was attempted and the probe failed. Reading `asr["language"]` from the prediction cache returned a label for only 3 of 626 clips, all `en`, so language is not populated at clip level in the stored records. The Welsh-looking tokens are demonstrably present in the keyword field, so the right probe is lexical rather than metadata-based: scan the transcript and keyword strings of all 626 clips for tokens absent from an English lexicon and report the clip count. Until that runs, §6.3 rests on the single worked example in Appendix E.2 and must be phrased as resting on it.]`</w:t>
      </w:r>
    </w:p>
    <w:p>
      <w:pPr>
        <w:pStyle w:val="Heading2"/>
        <w:spacing w:after="140" w:before="260"/>
      </w:pPr>
      <w:r>
        <w:rPr>
          <w:b/>
          <w:bCs/>
          <w:sz w:val="24"/>
          <w:szCs w:val="24"/>
        </w:rPr>
        <w:t xml:space="preserve">6.4 Transparency</w:t>
      </w:r>
    </w:p>
    <w:p>
      <w:pPr>
        <w:spacing w:after="140" w:line="276"/>
        <w:jc w:val="both"/>
      </w:pPr>
      <w:r>
        <w:t xml:space="preserve">Every published field carries its status, the models that supported it, the weights applied and their provenance. Artefact headers identify the output as an automated multi-model silver standard. The agreement score is documented as corroboration and never as a probability of correctness — in the paper, in the notebook's rules cell, and in the browser.</w:t>
      </w:r>
    </w:p>
    <w:p>
      <w:pPr>
        <w:pStyle w:val="Heading2"/>
        <w:spacing w:after="140" w:before="260"/>
      </w:pPr>
      <w:r>
        <w:rPr>
          <w:b/>
          <w:bCs/>
          <w:sz w:val="24"/>
          <w:szCs w:val="24"/>
        </w:rPr>
        <w:t xml:space="preserve">6.5 Accountability and Human Oversight</w:t>
      </w:r>
    </w:p>
    <w:p>
      <w:pPr>
        <w:spacing w:after="140" w:line="276"/>
        <w:jc w:val="both"/>
      </w:pPr>
      <w:r>
        <w:t xml:space="preserve">The browser is read-only by design: it displays evidence and does not let a user endorse a value in a way that would make automatic output look human-verified. The intended workflow is triage — </w:t>
      </w:r>
      <w:r>
        <w:rPr>
          <w:rFonts w:ascii="Consolas" w:cs="Consolas" w:eastAsia="Consolas" w:hAnsi="Consolas"/>
          <w:sz w:val="18"/>
          <w:szCs w:val="18"/>
        </w:rPr>
        <w:t xml:space="preserve">needs_caution</w:t>
      </w:r>
      <w:r>
        <w:t xml:space="preserve"> records first — with a human cataloguer retaining the decision. No output of this system should enter a public catalogue as verified without that step.</w:t>
      </w:r>
    </w:p>
    <w:p>
      <w:pPr>
        <w:pStyle w:val="Heading2"/>
        <w:spacing w:after="140" w:before="260"/>
      </w:pPr>
      <w:r>
        <w:rPr>
          <w:b/>
          <w:bCs/>
          <w:sz w:val="24"/>
          <w:szCs w:val="24"/>
        </w:rPr>
        <w:t xml:space="preserve">6.6 AI Assistance and Student Responsibility</w:t>
      </w:r>
    </w:p>
    <w:p>
      <w:pPr>
        <w:spacing w:after="140" w:line="276"/>
        <w:jc w:val="both"/>
      </w:pPr>
      <w:r>
        <w:rPr>
          <w:b/>
          <w:bCs/>
          <w:highlight w:val="yellow"/>
          <w:highlightCs w:val="yellow"/>
        </w:rPr>
        <w:t xml:space="preserve">`[TO FILL: state which AI tools were used, for what — code scaffolding, debugging, drafting — and confirm that all experimental design, execution, interpretation and the claims made are the author's own and have been verified. Both exemplars carry this section; QUB requires it.]`</w:t>
      </w:r>
    </w:p>
    <w:p>
      <w:pPr>
        <w:pStyle w:val="Heading1"/>
        <w:pageBreakBefore/>
        <w:spacing w:after="140" w:before="400"/>
      </w:pPr>
      <w:r>
        <w:rPr>
          <w:b/>
          <w:bCs/>
          <w:sz w:val="28"/>
          <w:szCs w:val="28"/>
        </w:rPr>
        <w:t xml:space="preserve">7. Appendices</w:t>
      </w:r>
    </w:p>
    <w:p>
      <w:pPr>
        <w:pStyle w:val="Heading2"/>
        <w:spacing w:after="140" w:before="260"/>
      </w:pPr>
      <w:r>
        <w:rPr>
          <w:b/>
          <w:bCs/>
          <w:sz w:val="24"/>
          <w:szCs w:val="24"/>
        </w:rPr>
        <w:t xml:space="preserve">Appendix A —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FEF" w:color="auto" w:val="clear"/>
            <w:tcMar>
              <w:top w:type="dxa" w:w="60"/>
              <w:left w:type="dxa" w:w="90"/>
              <w:bottom w:type="dxa" w:w="60"/>
              <w:right w:type="dxa" w:w="90"/>
            </w:tcMar>
          </w:tcPr>
          <w:p>
            <w:pPr>
              <w:spacing w:after="0"/>
            </w:pPr>
            <w:r>
              <w:rPr>
                <w:b/>
                <w:bCs/>
              </w:rPr>
              <w:t xml:space="preserve">Parameter</w:t>
            </w:r>
          </w:p>
        </w:tc>
        <w:tc>
          <w:tcPr>
            <w:tcW w:type="dxa" w:w="4680"/>
            <w:shd w:fill="EFEFEF" w:color="auto" w:val="clear"/>
            <w:tcMar>
              <w:top w:type="dxa" w:w="60"/>
              <w:left w:type="dxa" w:w="90"/>
              <w:bottom w:type="dxa" w:w="60"/>
              <w:right w:type="dxa" w:w="90"/>
            </w:tcMar>
          </w:tcPr>
          <w:p>
            <w:pPr>
              <w:spacing w:after="0"/>
            </w:pPr>
            <w:r>
              <w:rPr>
                <w:b/>
                <w:bCs/>
              </w:rPr>
              <w:t xml:space="preserve">Value</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clip_seconds</w:t>
            </w:r>
            <w:r>
              <w:t xml:space="preserve"> / </w:t>
            </w:r>
            <w:r>
              <w:rPr>
                <w:rFonts w:ascii="Consolas" w:cs="Consolas" w:eastAsia="Consolas" w:hAnsi="Consolas"/>
                <w:sz w:val="18"/>
                <w:szCs w:val="18"/>
              </w:rPr>
              <w:t xml:space="preserve">minimum_final_clip_seconds</w:t>
            </w:r>
          </w:p>
        </w:tc>
        <w:tc>
          <w:tcPr>
            <w:tcW w:type="dxa" w:w="4680"/>
            <w:tcMar>
              <w:top w:type="dxa" w:w="60"/>
              <w:left w:type="dxa" w:w="90"/>
              <w:bottom w:type="dxa" w:w="60"/>
              <w:right w:type="dxa" w:w="90"/>
            </w:tcMar>
          </w:tcPr>
          <w:p>
            <w:pPr>
              <w:spacing w:after="0"/>
            </w:pPr>
            <w:r>
              <w:t xml:space="preserve">30.0 / 2.0</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clip_workers</w:t>
            </w:r>
            <w:r>
              <w:t xml:space="preserve"> × </w:t>
            </w:r>
            <w:r>
              <w:rPr>
                <w:rFonts w:ascii="Consolas" w:cs="Consolas" w:eastAsia="Consolas" w:hAnsi="Consolas"/>
                <w:sz w:val="18"/>
                <w:szCs w:val="18"/>
              </w:rPr>
              <w:t xml:space="preserve">ffmpeg_threads_per_worker</w:t>
            </w:r>
          </w:p>
        </w:tc>
        <w:tc>
          <w:tcPr>
            <w:tcW w:type="dxa" w:w="4680"/>
            <w:tcMar>
              <w:top w:type="dxa" w:w="60"/>
              <w:left w:type="dxa" w:w="90"/>
              <w:bottom w:type="dxa" w:w="60"/>
              <w:right w:type="dxa" w:w="90"/>
            </w:tcMar>
          </w:tcPr>
          <w:p>
            <w:pPr>
              <w:spacing w:after="0"/>
            </w:pPr>
            <w:r>
              <w:t xml:space="preserve">2 × 1</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frame_sampling_policy</w:t>
            </w:r>
          </w:p>
        </w:tc>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scene_aware</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frame_fractions</w:t>
            </w:r>
            <w:r>
              <w:t xml:space="preserve"> (fallback)</w:t>
            </w:r>
          </w:p>
        </w:tc>
        <w:tc>
          <w:tcPr>
            <w:tcW w:type="dxa" w:w="4680"/>
            <w:tcMar>
              <w:top w:type="dxa" w:w="60"/>
              <w:left w:type="dxa" w:w="90"/>
              <w:bottom w:type="dxa" w:w="60"/>
              <w:right w:type="dxa" w:w="90"/>
            </w:tcMar>
          </w:tcPr>
          <w:p>
            <w:pPr>
              <w:spacing w:after="0"/>
            </w:pPr>
            <w:r>
              <w:t xml:space="preserve">0.20, 0.50, 0.80</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max_scene_frames</w:t>
            </w:r>
          </w:p>
        </w:tc>
        <w:tc>
          <w:tcPr>
            <w:tcW w:type="dxa" w:w="4680"/>
            <w:tcMar>
              <w:top w:type="dxa" w:w="60"/>
              <w:left w:type="dxa" w:w="90"/>
              <w:bottom w:type="dxa" w:w="60"/>
              <w:right w:type="dxa" w:w="90"/>
            </w:tcMar>
          </w:tcPr>
          <w:p>
            <w:pPr>
              <w:spacing w:after="0"/>
            </w:pPr>
            <w:r>
              <w:t xml:space="preserve">5</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scene_adaptive_threshold</w:t>
            </w:r>
            <w:r>
              <w:t xml:space="preserve"> / </w:t>
            </w:r>
            <w:r>
              <w:rPr>
                <w:rFonts w:ascii="Consolas" w:cs="Consolas" w:eastAsia="Consolas" w:hAnsi="Consolas"/>
                <w:sz w:val="18"/>
                <w:szCs w:val="18"/>
              </w:rPr>
              <w:t xml:space="preserve">scene_min_length</w:t>
            </w:r>
          </w:p>
        </w:tc>
        <w:tc>
          <w:tcPr>
            <w:tcW w:type="dxa" w:w="4680"/>
            <w:tcMar>
              <w:top w:type="dxa" w:w="60"/>
              <w:left w:type="dxa" w:w="90"/>
              <w:bottom w:type="dxa" w:w="60"/>
              <w:right w:type="dxa" w:w="90"/>
            </w:tcMar>
          </w:tcPr>
          <w:p>
            <w:pPr>
              <w:spacing w:after="0"/>
            </w:pPr>
            <w:r>
              <w:t xml:space="preserve">3.0 / 0.6 s</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tesseract_min_word_confidence</w:t>
            </w:r>
          </w:p>
        </w:tc>
        <w:tc>
          <w:tcPr>
            <w:tcW w:type="dxa" w:w="4680"/>
            <w:tcMar>
              <w:top w:type="dxa" w:w="60"/>
              <w:left w:type="dxa" w:w="90"/>
              <w:bottom w:type="dxa" w:w="60"/>
              <w:right w:type="dxa" w:w="90"/>
            </w:tcMar>
          </w:tcPr>
          <w:p>
            <w:pPr>
              <w:spacing w:after="0"/>
            </w:pPr>
            <w:r>
              <w:t xml:space="preserve">60.0</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easyocr_min_confidence</w:t>
            </w:r>
          </w:p>
        </w:tc>
        <w:tc>
          <w:tcPr>
            <w:tcW w:type="dxa" w:w="4680"/>
            <w:tcMar>
              <w:top w:type="dxa" w:w="60"/>
              <w:left w:type="dxa" w:w="90"/>
              <w:bottom w:type="dxa" w:w="60"/>
              <w:right w:type="dxa" w:w="90"/>
            </w:tcMar>
          </w:tcPr>
          <w:p>
            <w:pPr>
              <w:spacing w:after="0"/>
            </w:pPr>
            <w:r>
              <w:t xml:space="preserve">0.50</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ocr_within_frame_similarity</w:t>
            </w:r>
          </w:p>
        </w:tc>
        <w:tc>
          <w:tcPr>
            <w:tcW w:type="dxa" w:w="4680"/>
            <w:tcMar>
              <w:top w:type="dxa" w:w="60"/>
              <w:left w:type="dxa" w:w="90"/>
              <w:bottom w:type="dxa" w:w="60"/>
              <w:right w:type="dxa" w:w="90"/>
            </w:tcMar>
          </w:tcPr>
          <w:p>
            <w:pPr>
              <w:spacing w:after="0"/>
            </w:pPr>
            <w:r>
              <w:t xml:space="preserve">0.88</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ocr_temporal_similarity</w:t>
            </w:r>
          </w:p>
        </w:tc>
        <w:tc>
          <w:tcPr>
            <w:tcW w:type="dxa" w:w="4680"/>
            <w:tcMar>
              <w:top w:type="dxa" w:w="60"/>
              <w:left w:type="dxa" w:w="90"/>
              <w:bottom w:type="dxa" w:w="60"/>
              <w:right w:type="dxa" w:w="90"/>
            </w:tcMar>
          </w:tcPr>
          <w:p>
            <w:pPr>
              <w:spacing w:after="0"/>
            </w:pPr>
            <w:r>
              <w:t xml:space="preserve">0.82</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ocr_min_frame_occurrences</w:t>
            </w:r>
          </w:p>
        </w:tc>
        <w:tc>
          <w:tcPr>
            <w:tcW w:type="dxa" w:w="4680"/>
            <w:tcMar>
              <w:top w:type="dxa" w:w="60"/>
              <w:left w:type="dxa" w:w="90"/>
              <w:bottom w:type="dxa" w:w="60"/>
              <w:right w:type="dxa" w:w="90"/>
            </w:tcMar>
          </w:tcPr>
          <w:p>
            <w:pPr>
              <w:spacing w:after="0"/>
            </w:pPr>
            <w:r>
              <w:t xml:space="preserve">2</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ocr_cross_engine_similarity</w:t>
            </w:r>
          </w:p>
        </w:tc>
        <w:tc>
          <w:tcPr>
            <w:tcW w:type="dxa" w:w="4680"/>
            <w:tcMar>
              <w:top w:type="dxa" w:w="60"/>
              <w:left w:type="dxa" w:w="90"/>
              <w:bottom w:type="dxa" w:w="60"/>
              <w:right w:type="dxa" w:w="90"/>
            </w:tcMar>
          </w:tcPr>
          <w:p>
            <w:pPr>
              <w:spacing w:after="0"/>
            </w:pPr>
            <w:r>
              <w:t xml:space="preserve">0.80</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ocr_probe_interval_seconds</w:t>
            </w:r>
            <w:r>
              <w:t xml:space="preserve"> / </w:t>
            </w:r>
            <w:r>
              <w:rPr>
                <w:rFonts w:ascii="Consolas" w:cs="Consolas" w:eastAsia="Consolas" w:hAnsi="Consolas"/>
                <w:sz w:val="18"/>
                <w:szCs w:val="18"/>
              </w:rPr>
              <w:t xml:space="preserve">max_frames</w:t>
            </w:r>
            <w:r>
              <w:t xml:space="preserve"> / </w:t>
            </w:r>
            <w:r>
              <w:rPr>
                <w:rFonts w:ascii="Consolas" w:cs="Consolas" w:eastAsia="Consolas" w:hAnsi="Consolas"/>
                <w:sz w:val="18"/>
                <w:szCs w:val="18"/>
              </w:rPr>
              <w:t xml:space="preserve">edge_offset</w:t>
            </w:r>
          </w:p>
        </w:tc>
        <w:tc>
          <w:tcPr>
            <w:tcW w:type="dxa" w:w="4680"/>
            <w:tcMar>
              <w:top w:type="dxa" w:w="60"/>
              <w:left w:type="dxa" w:w="90"/>
              <w:bottom w:type="dxa" w:w="60"/>
              <w:right w:type="dxa" w:w="90"/>
            </w:tcMar>
          </w:tcPr>
          <w:p>
            <w:pPr>
              <w:spacing w:after="0"/>
            </w:pPr>
            <w:r>
              <w:t xml:space="preserve">2.5 s / 12 / 0.5 s</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tag_top_k</w:t>
            </w:r>
          </w:p>
        </w:tc>
        <w:tc>
          <w:tcPr>
            <w:tcW w:type="dxa" w:w="4680"/>
            <w:tcMar>
              <w:top w:type="dxa" w:w="60"/>
              <w:left w:type="dxa" w:w="90"/>
              <w:bottom w:type="dxa" w:w="60"/>
              <w:right w:type="dxa" w:w="90"/>
            </w:tcMar>
          </w:tcPr>
          <w:p>
            <w:pPr>
              <w:spacing w:after="0"/>
            </w:pPr>
            <w:r>
              <w:t xml:space="preserve">5</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calibration_fraction</w:t>
            </w:r>
          </w:p>
        </w:tc>
        <w:tc>
          <w:tcPr>
            <w:tcW w:type="dxa" w:w="4680"/>
            <w:tcMar>
              <w:top w:type="dxa" w:w="60"/>
              <w:left w:type="dxa" w:w="90"/>
              <w:bottom w:type="dxa" w:w="60"/>
              <w:right w:type="dxa" w:w="90"/>
            </w:tcMar>
          </w:tcPr>
          <w:p>
            <w:pPr>
              <w:spacing w:after="0"/>
            </w:pPr>
            <w:r>
              <w:t xml:space="preserve">0.20</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gemini_max_frames</w:t>
            </w:r>
            <w:r>
              <w:t xml:space="preserve"> / </w:t>
            </w:r>
            <w:r>
              <w:rPr>
                <w:rFonts w:ascii="Consolas" w:cs="Consolas" w:eastAsia="Consolas" w:hAnsi="Consolas"/>
                <w:sz w:val="18"/>
                <w:szCs w:val="18"/>
              </w:rPr>
              <w:t xml:space="preserve">gemini_model</w:t>
            </w:r>
          </w:p>
        </w:tc>
        <w:tc>
          <w:tcPr>
            <w:tcW w:type="dxa" w:w="4680"/>
            <w:tcMar>
              <w:top w:type="dxa" w:w="60"/>
              <w:left w:type="dxa" w:w="90"/>
              <w:bottom w:type="dxa" w:w="60"/>
              <w:right w:type="dxa" w:w="90"/>
            </w:tcMar>
          </w:tcPr>
          <w:p>
            <w:pPr>
              <w:spacing w:after="0"/>
            </w:pPr>
            <w:r>
              <w:t xml:space="preserve">5 / </w:t>
            </w:r>
            <w:r>
              <w:rPr>
                <w:rFonts w:ascii="Consolas" w:cs="Consolas" w:eastAsia="Consolas" w:hAnsi="Consolas"/>
                <w:sz w:val="18"/>
                <w:szCs w:val="18"/>
              </w:rPr>
              <w:t xml:space="preserve">gemini-3.6-flash</w:t>
            </w:r>
          </w:p>
        </w:tc>
      </w:tr>
      <w:tr>
        <w:trPr>
          <w:tblHeader w:val="false"/>
        </w:trPr>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ablation_max_clips</w:t>
            </w:r>
            <w:r>
              <w:t xml:space="preserve"> / </w:t>
            </w:r>
            <w:r>
              <w:rPr>
                <w:rFonts w:ascii="Consolas" w:cs="Consolas" w:eastAsia="Consolas" w:hAnsi="Consolas"/>
                <w:sz w:val="18"/>
                <w:szCs w:val="18"/>
              </w:rPr>
              <w:t xml:space="preserve">robustness_max_clips</w:t>
            </w:r>
          </w:p>
        </w:tc>
        <w:tc>
          <w:tcPr>
            <w:tcW w:type="dxa" w:w="4680"/>
            <w:tcMar>
              <w:top w:type="dxa" w:w="60"/>
              <w:left w:type="dxa" w:w="90"/>
              <w:bottom w:type="dxa" w:w="60"/>
              <w:right w:type="dxa" w:w="90"/>
            </w:tcMar>
          </w:tcPr>
          <w:p>
            <w:pPr>
              <w:spacing w:after="0"/>
            </w:pPr>
            <w:r>
              <w:t xml:space="preserve">8 / 5</w:t>
            </w:r>
          </w:p>
        </w:tc>
      </w:tr>
      <w:tr>
        <w:trPr>
          <w:tblHeader w:val="false"/>
        </w:trPr>
        <w:tc>
          <w:tcPr>
            <w:tcW w:type="dxa" w:w="4680"/>
            <w:tcMar>
              <w:top w:type="dxa" w:w="60"/>
              <w:left w:type="dxa" w:w="90"/>
              <w:bottom w:type="dxa" w:w="60"/>
              <w:right w:type="dxa" w:w="90"/>
            </w:tcMar>
          </w:tcPr>
          <w:p>
            <w:pPr>
              <w:spacing w:after="0"/>
            </w:pPr>
            <w:r>
              <w:t xml:space="preserve">Agreement tiers</w:t>
            </w:r>
          </w:p>
        </w:tc>
        <w:tc>
          <w:tcPr>
            <w:tcW w:type="dxa" w:w="4680"/>
            <w:tcMar>
              <w:top w:type="dxa" w:w="60"/>
              <w:left w:type="dxa" w:w="90"/>
              <w:bottom w:type="dxa" w:w="60"/>
              <w:right w:type="dxa" w:w="90"/>
            </w:tcMar>
          </w:tcPr>
          <w:p>
            <w:pPr>
              <w:spacing w:after="0"/>
            </w:pPr>
            <w:r>
              <w:t xml:space="preserve">high ≥ 0.75, moderate ≥ 0.50, low &lt; 0.50</w:t>
            </w:r>
          </w:p>
        </w:tc>
      </w:tr>
      <w:tr>
        <w:trPr>
          <w:tblHeader w:val="false"/>
        </w:trPr>
        <w:tc>
          <w:tcPr>
            <w:tcW w:type="dxa" w:w="4680"/>
            <w:tcMar>
              <w:top w:type="dxa" w:w="60"/>
              <w:left w:type="dxa" w:w="90"/>
              <w:bottom w:type="dxa" w:w="60"/>
              <w:right w:type="dxa" w:w="90"/>
            </w:tcMar>
          </w:tcPr>
          <w:p>
            <w:pPr>
              <w:spacing w:after="0"/>
            </w:pPr>
            <w:r>
              <w:t xml:space="preserve">Benchmark frames / decoding</w:t>
            </w:r>
          </w:p>
        </w:tc>
        <w:tc>
          <w:tcPr>
            <w:tcW w:type="dxa" w:w="4680"/>
            <w:tcMar>
              <w:top w:type="dxa" w:w="60"/>
              <w:left w:type="dxa" w:w="90"/>
              <w:bottom w:type="dxa" w:w="60"/>
              <w:right w:type="dxa" w:w="90"/>
            </w:tcMar>
          </w:tcPr>
          <w:p>
            <w:pPr>
              <w:spacing w:after="0"/>
            </w:pPr>
            <w:r>
              <w:t xml:space="preserve">4 / greedy (</w:t>
            </w:r>
            <w:r>
              <w:rPr>
                <w:rFonts w:ascii="Consolas" w:cs="Consolas" w:eastAsia="Consolas" w:hAnsi="Consolas"/>
                <w:sz w:val="18"/>
                <w:szCs w:val="18"/>
              </w:rPr>
              <w:t xml:space="preserve">do_sample=False</w:t>
            </w:r>
            <w:r>
              <w:t xml:space="preserve">)</w:t>
            </w:r>
          </w:p>
        </w:tc>
      </w:tr>
      <w:tr>
        <w:trPr>
          <w:tblHeader w:val="false"/>
        </w:trPr>
        <w:tc>
          <w:tcPr>
            <w:tcW w:type="dxa" w:w="4680"/>
            <w:tcMar>
              <w:top w:type="dxa" w:w="60"/>
              <w:left w:type="dxa" w:w="90"/>
              <w:bottom w:type="dxa" w:w="60"/>
              <w:right w:type="dxa" w:w="90"/>
            </w:tcMar>
          </w:tcPr>
          <w:p>
            <w:pPr>
              <w:spacing w:after="0"/>
            </w:pPr>
            <w:r>
              <w:t xml:space="preserve">Benchmark </w:t>
            </w:r>
            <w:r>
              <w:rPr>
                <w:rFonts w:ascii="Consolas" w:cs="Consolas" w:eastAsia="Consolas" w:hAnsi="Consolas"/>
                <w:sz w:val="18"/>
                <w:szCs w:val="18"/>
              </w:rPr>
              <w:t xml:space="preserve">max_new_tokens</w:t>
            </w:r>
          </w:p>
        </w:tc>
        <w:tc>
          <w:tcPr>
            <w:tcW w:type="dxa" w:w="4680"/>
            <w:tcMar>
              <w:top w:type="dxa" w:w="60"/>
              <w:left w:type="dxa" w:w="90"/>
              <w:bottom w:type="dxa" w:w="60"/>
              <w:right w:type="dxa" w:w="90"/>
            </w:tcMar>
          </w:tcPr>
          <w:p>
            <w:pPr>
              <w:spacing w:after="0"/>
            </w:pPr>
            <w:r>
              <w:t xml:space="preserve">700 Instruct, 1400 Thinking</w:t>
            </w:r>
          </w:p>
        </w:tc>
      </w:tr>
    </w:tbl>
    <w:p>
      <w:pPr>
        <w:spacing w:after="160"/>
      </w:pPr>
    </w:p>
    <w:p>
      <w:pPr>
        <w:pStyle w:val="Heading2"/>
        <w:spacing w:after="140" w:before="260"/>
      </w:pPr>
      <w:r>
        <w:rPr>
          <w:b/>
          <w:bCs/>
          <w:sz w:val="24"/>
          <w:szCs w:val="24"/>
        </w:rPr>
        <w:t xml:space="preserve">Appendix B — Visual-Tag Vocabulary (34 labels)</w:t>
      </w:r>
    </w:p>
    <w:p>
      <w:pPr>
        <w:spacing w:after="140" w:line="276"/>
        <w:jc w:val="both"/>
      </w:pPr>
      <w:r>
        <w:rPr>
          <w:rFonts w:ascii="Consolas" w:cs="Consolas" w:eastAsia="Consolas" w:hAnsi="Consolas"/>
          <w:sz w:val="18"/>
          <w:szCs w:val="18"/>
        </w:rPr>
        <w:t xml:space="preserve">news studio</w:t>
      </w:r>
      <w:r>
        <w:t xml:space="preserve">, </w:t>
      </w:r>
      <w:r>
        <w:rPr>
          <w:rFonts w:ascii="Consolas" w:cs="Consolas" w:eastAsia="Consolas" w:hAnsi="Consolas"/>
          <w:sz w:val="18"/>
          <w:szCs w:val="18"/>
        </w:rPr>
        <w:t xml:space="preserve">interview</w:t>
      </w:r>
      <w:r>
        <w:t xml:space="preserve">, </w:t>
      </w:r>
      <w:r>
        <w:rPr>
          <w:rFonts w:ascii="Consolas" w:cs="Consolas" w:eastAsia="Consolas" w:hAnsi="Consolas"/>
          <w:sz w:val="18"/>
          <w:szCs w:val="18"/>
        </w:rPr>
        <w:t xml:space="preserve">press conference</w:t>
      </w:r>
      <w:r>
        <w:t xml:space="preserve">, </w:t>
      </w:r>
      <w:r>
        <w:rPr>
          <w:rFonts w:ascii="Consolas" w:cs="Consolas" w:eastAsia="Consolas" w:hAnsi="Consolas"/>
          <w:sz w:val="18"/>
          <w:szCs w:val="18"/>
        </w:rPr>
        <w:t xml:space="preserve">public meeting</w:t>
      </w:r>
      <w:r>
        <w:t xml:space="preserve">, </w:t>
      </w:r>
      <w:r>
        <w:rPr>
          <w:rFonts w:ascii="Consolas" w:cs="Consolas" w:eastAsia="Consolas" w:hAnsi="Consolas"/>
          <w:sz w:val="18"/>
          <w:szCs w:val="18"/>
        </w:rPr>
        <w:t xml:space="preserve">panel discussion</w:t>
      </w:r>
      <w:r>
        <w:t xml:space="preserve">, </w:t>
      </w:r>
      <w:r>
        <w:rPr>
          <w:rFonts w:ascii="Consolas" w:cs="Consolas" w:eastAsia="Consolas" w:hAnsi="Consolas"/>
          <w:sz w:val="18"/>
          <w:szCs w:val="18"/>
        </w:rPr>
        <w:t xml:space="preserve">person speaking</w:t>
      </w:r>
      <w:r>
        <w:t xml:space="preserve">, </w:t>
      </w:r>
      <w:r>
        <w:rPr>
          <w:rFonts w:ascii="Consolas" w:cs="Consolas" w:eastAsia="Consolas" w:hAnsi="Consolas"/>
          <w:sz w:val="18"/>
          <w:szCs w:val="18"/>
        </w:rPr>
        <w:t xml:space="preserve">crowd of people</w:t>
      </w:r>
      <w:r>
        <w:t xml:space="preserve">, </w:t>
      </w:r>
      <w:r>
        <w:rPr>
          <w:rFonts w:ascii="Consolas" w:cs="Consolas" w:eastAsia="Consolas" w:hAnsi="Consolas"/>
          <w:sz w:val="18"/>
          <w:szCs w:val="18"/>
        </w:rPr>
        <w:t xml:space="preserve">protest</w:t>
      </w:r>
      <w:r>
        <w:t xml:space="preserve">, </w:t>
      </w:r>
      <w:r>
        <w:rPr>
          <w:rFonts w:ascii="Consolas" w:cs="Consolas" w:eastAsia="Consolas" w:hAnsi="Consolas"/>
          <w:sz w:val="18"/>
          <w:szCs w:val="18"/>
        </w:rPr>
        <w:t xml:space="preserve">indoor scene</w:t>
      </w:r>
      <w:r>
        <w:t xml:space="preserve">, </w:t>
      </w:r>
      <w:r>
        <w:rPr>
          <w:rFonts w:ascii="Consolas" w:cs="Consolas" w:eastAsia="Consolas" w:hAnsi="Consolas"/>
          <w:sz w:val="18"/>
          <w:szCs w:val="18"/>
        </w:rPr>
        <w:t xml:space="preserve">outdoor scene</w:t>
      </w:r>
      <w:r>
        <w:t xml:space="preserve">, </w:t>
      </w:r>
      <w:r>
        <w:rPr>
          <w:rFonts w:ascii="Consolas" w:cs="Consolas" w:eastAsia="Consolas" w:hAnsi="Consolas"/>
          <w:sz w:val="18"/>
          <w:szCs w:val="18"/>
        </w:rPr>
        <w:t xml:space="preserve">city street</w:t>
      </w:r>
      <w:r>
        <w:t xml:space="preserve">, </w:t>
      </w:r>
      <w:r>
        <w:rPr>
          <w:rFonts w:ascii="Consolas" w:cs="Consolas" w:eastAsia="Consolas" w:hAnsi="Consolas"/>
          <w:sz w:val="18"/>
          <w:szCs w:val="18"/>
        </w:rPr>
        <w:t xml:space="preserve">building exterior</w:t>
      </w:r>
      <w:r>
        <w:t xml:space="preserve">, </w:t>
      </w:r>
      <w:r>
        <w:rPr>
          <w:rFonts w:ascii="Consolas" w:cs="Consolas" w:eastAsia="Consolas" w:hAnsi="Consolas"/>
          <w:sz w:val="18"/>
          <w:szCs w:val="18"/>
        </w:rPr>
        <w:t xml:space="preserve">office</w:t>
      </w:r>
      <w:r>
        <w:t xml:space="preserve">, </w:t>
      </w:r>
      <w:r>
        <w:rPr>
          <w:rFonts w:ascii="Consolas" w:cs="Consolas" w:eastAsia="Consolas" w:hAnsi="Consolas"/>
          <w:sz w:val="18"/>
          <w:szCs w:val="18"/>
        </w:rPr>
        <w:t xml:space="preserve">stage</w:t>
      </w:r>
      <w:r>
        <w:t xml:space="preserve">, </w:t>
      </w:r>
      <w:r>
        <w:rPr>
          <w:rFonts w:ascii="Consolas" w:cs="Consolas" w:eastAsia="Consolas" w:hAnsi="Consolas"/>
          <w:sz w:val="18"/>
          <w:szCs w:val="18"/>
        </w:rPr>
        <w:t xml:space="preserve">podium</w:t>
      </w:r>
      <w:r>
        <w:t xml:space="preserve">, </w:t>
      </w:r>
      <w:r>
        <w:rPr>
          <w:rFonts w:ascii="Consolas" w:cs="Consolas" w:eastAsia="Consolas" w:hAnsi="Consolas"/>
          <w:sz w:val="18"/>
          <w:szCs w:val="18"/>
        </w:rPr>
        <w:t xml:space="preserve">fire engine</w:t>
      </w:r>
      <w:r>
        <w:t xml:space="preserve">, </w:t>
      </w:r>
      <w:r>
        <w:rPr>
          <w:rFonts w:ascii="Consolas" w:cs="Consolas" w:eastAsia="Consolas" w:hAnsi="Consolas"/>
          <w:sz w:val="18"/>
          <w:szCs w:val="18"/>
        </w:rPr>
        <w:t xml:space="preserve">emergency services</w:t>
      </w:r>
      <w:r>
        <w:t xml:space="preserve">, </w:t>
      </w:r>
      <w:r>
        <w:rPr>
          <w:rFonts w:ascii="Consolas" w:cs="Consolas" w:eastAsia="Consolas" w:hAnsi="Consolas"/>
          <w:sz w:val="18"/>
          <w:szCs w:val="18"/>
        </w:rPr>
        <w:t xml:space="preserve">police</w:t>
      </w:r>
      <w:r>
        <w:t xml:space="preserve">, </w:t>
      </w:r>
      <w:r>
        <w:rPr>
          <w:rFonts w:ascii="Consolas" w:cs="Consolas" w:eastAsia="Consolas" w:hAnsi="Consolas"/>
          <w:sz w:val="18"/>
          <w:szCs w:val="18"/>
        </w:rPr>
        <w:t xml:space="preserve">hospital</w:t>
      </w:r>
      <w:r>
        <w:t xml:space="preserve">, </w:t>
      </w:r>
      <w:r>
        <w:rPr>
          <w:rFonts w:ascii="Consolas" w:cs="Consolas" w:eastAsia="Consolas" w:hAnsi="Consolas"/>
          <w:sz w:val="18"/>
          <w:szCs w:val="18"/>
        </w:rPr>
        <w:t xml:space="preserve">school</w:t>
      </w:r>
      <w:r>
        <w:t xml:space="preserve">, </w:t>
      </w:r>
      <w:r>
        <w:rPr>
          <w:rFonts w:ascii="Consolas" w:cs="Consolas" w:eastAsia="Consolas" w:hAnsi="Consolas"/>
          <w:sz w:val="18"/>
          <w:szCs w:val="18"/>
        </w:rPr>
        <w:t xml:space="preserve">graphic or title card</w:t>
      </w:r>
      <w:r>
        <w:t xml:space="preserve">, </w:t>
      </w:r>
      <w:r>
        <w:rPr>
          <w:rFonts w:ascii="Consolas" w:cs="Consolas" w:eastAsia="Consolas" w:hAnsi="Consolas"/>
          <w:sz w:val="18"/>
          <w:szCs w:val="18"/>
        </w:rPr>
        <w:t xml:space="preserve">text on screen</w:t>
      </w:r>
      <w:r>
        <w:t xml:space="preserve">, </w:t>
      </w:r>
      <w:r>
        <w:rPr>
          <w:rFonts w:ascii="Consolas" w:cs="Consolas" w:eastAsia="Consolas" w:hAnsi="Consolas"/>
          <w:sz w:val="18"/>
          <w:szCs w:val="18"/>
        </w:rPr>
        <w:t xml:space="preserve">logo</w:t>
      </w:r>
      <w:r>
        <w:t xml:space="preserve">, </w:t>
      </w:r>
      <w:r>
        <w:rPr>
          <w:rFonts w:ascii="Consolas" w:cs="Consolas" w:eastAsia="Consolas" w:hAnsi="Consolas"/>
          <w:sz w:val="18"/>
          <w:szCs w:val="18"/>
        </w:rPr>
        <w:t xml:space="preserve">presentation slide</w:t>
      </w:r>
      <w:r>
        <w:t xml:space="preserve">, </w:t>
      </w:r>
      <w:r>
        <w:rPr>
          <w:rFonts w:ascii="Consolas" w:cs="Consolas" w:eastAsia="Consolas" w:hAnsi="Consolas"/>
          <w:sz w:val="18"/>
          <w:szCs w:val="18"/>
        </w:rPr>
        <w:t xml:space="preserve">landscape</w:t>
      </w:r>
      <w:r>
        <w:t xml:space="preserve">, </w:t>
      </w:r>
      <w:r>
        <w:rPr>
          <w:rFonts w:ascii="Consolas" w:cs="Consolas" w:eastAsia="Consolas" w:hAnsi="Consolas"/>
          <w:sz w:val="18"/>
          <w:szCs w:val="18"/>
        </w:rPr>
        <w:t xml:space="preserve">rural countryside</w:t>
      </w:r>
      <w:r>
        <w:t xml:space="preserve">, </w:t>
      </w:r>
      <w:r>
        <w:rPr>
          <w:rFonts w:ascii="Consolas" w:cs="Consolas" w:eastAsia="Consolas" w:hAnsi="Consolas"/>
          <w:sz w:val="18"/>
          <w:szCs w:val="18"/>
        </w:rPr>
        <w:t xml:space="preserve">vehicle</w:t>
      </w:r>
      <w:r>
        <w:t xml:space="preserve">, </w:t>
      </w:r>
      <w:r>
        <w:rPr>
          <w:rFonts w:ascii="Consolas" w:cs="Consolas" w:eastAsia="Consolas" w:hAnsi="Consolas"/>
          <w:sz w:val="18"/>
          <w:szCs w:val="18"/>
        </w:rPr>
        <w:t xml:space="preserve">road</w:t>
      </w:r>
      <w:r>
        <w:t xml:space="preserve">, </w:t>
      </w:r>
      <w:r>
        <w:rPr>
          <w:rFonts w:ascii="Consolas" w:cs="Consolas" w:eastAsia="Consolas" w:hAnsi="Consolas"/>
          <w:sz w:val="18"/>
          <w:szCs w:val="18"/>
        </w:rPr>
        <w:t xml:space="preserve">sign or banner</w:t>
      </w:r>
      <w:r>
        <w:t xml:space="preserve">, </w:t>
      </w:r>
      <w:r>
        <w:rPr>
          <w:rFonts w:ascii="Consolas" w:cs="Consolas" w:eastAsia="Consolas" w:hAnsi="Consolas"/>
          <w:sz w:val="18"/>
          <w:szCs w:val="18"/>
        </w:rPr>
        <w:t xml:space="preserve">audience</w:t>
      </w:r>
      <w:r>
        <w:t xml:space="preserve">, </w:t>
      </w:r>
      <w:r>
        <w:rPr>
          <w:rFonts w:ascii="Consolas" w:cs="Consolas" w:eastAsia="Consolas" w:hAnsi="Consolas"/>
          <w:sz w:val="18"/>
          <w:szCs w:val="18"/>
        </w:rPr>
        <w:t xml:space="preserve">reporter</w:t>
      </w:r>
      <w:r>
        <w:t xml:space="preserve">, </w:t>
      </w:r>
      <w:r>
        <w:rPr>
          <w:rFonts w:ascii="Consolas" w:cs="Consolas" w:eastAsia="Consolas" w:hAnsi="Consolas"/>
          <w:sz w:val="18"/>
          <w:szCs w:val="18"/>
        </w:rPr>
        <w:t xml:space="preserve">politician</w:t>
      </w:r>
      <w:r>
        <w:t xml:space="preserve">, </w:t>
      </w:r>
      <w:r>
        <w:rPr>
          <w:rFonts w:ascii="Consolas" w:cs="Consolas" w:eastAsia="Consolas" w:hAnsi="Consolas"/>
          <w:sz w:val="18"/>
          <w:szCs w:val="18"/>
        </w:rPr>
        <w:t xml:space="preserve">firefighter</w:t>
      </w:r>
      <w:r>
        <w:t xml:space="preserve">, </w:t>
      </w:r>
      <w:r>
        <w:rPr>
          <w:rFonts w:ascii="Consolas" w:cs="Consolas" w:eastAsia="Consolas" w:hAnsi="Consolas"/>
          <w:sz w:val="18"/>
          <w:szCs w:val="18"/>
        </w:rPr>
        <w:t xml:space="preserve">uniform</w:t>
      </w:r>
      <w:r>
        <w:t xml:space="preserve">.</w:t>
      </w:r>
    </w:p>
    <w:p>
      <w:pPr>
        <w:pStyle w:val="Heading2"/>
        <w:spacing w:after="140" w:before="260"/>
      </w:pPr>
      <w:r>
        <w:rPr>
          <w:b/>
          <w:bCs/>
          <w:sz w:val="24"/>
          <w:szCs w:val="24"/>
        </w:rPr>
        <w:t xml:space="preserve">Appendix C — Source Programmes</w:t>
      </w:r>
    </w:p>
    <w:p>
      <w:pPr>
        <w:spacing w:after="140" w:line="276"/>
        <w:jc w:val="both"/>
      </w:pPr>
      <w:r>
        <w:t xml:space="preserve">47 programmes, NVTV, 2016. Subjects span festival launches, a fire-service industrial dispute, protest and parade footage, blue-plaque unveilings, political panels, arts and community-health programming, education and youth forums.</w:t>
      </w:r>
    </w:p>
    <w:p>
      <w:pPr>
        <w:spacing w:after="140" w:line="276"/>
        <w:jc w:val="both"/>
      </w:pPr>
      <w:r>
        <w:t xml:space="preserve">The corpus totals </w:t>
      </w:r>
      <w:r>
        <w:rPr>
          <w:b/>
          <w:bCs/>
        </w:rPr>
        <w:t xml:space="preserve">5.09 h</w:t>
      </w:r>
      <w:r>
        <w:t xml:space="preserve"> (18,312 s) across 626 clips, at a mean clip length of 29.25 s — 579 clips run the full 30 s, and the 47 trailing fragments average 20.0 s, which accounts for the 468 s shortfall against a nominal 626 × 30 s.</w:t>
      </w:r>
    </w:p>
    <w:p>
      <w:pPr>
        <w:spacing w:after="140" w:line="276"/>
        <w:jc w:val="both"/>
      </w:pPr>
      <w:r>
        <w:t xml:space="preserve">Clips per programme range 8–22 (mean 13.3, median 12, SD 3.1), with most programmes at 11–13. The shortest are </w:t>
      </w:r>
      <w:r>
        <w:rPr>
          <w:i/>
          <w:iCs/>
        </w:rPr>
        <w:t xml:space="preserve">REFRESH – PSNI Young Digital Team</w:t>
      </w:r>
      <w:r>
        <w:t xml:space="preserve"> (8) and </w:t>
      </w:r>
      <w:r>
        <w:rPr>
          <w:i/>
          <w:iCs/>
        </w:rPr>
        <w:t xml:space="preserve">Adrian Ismay Vigil</w:t>
      </w:r>
      <w:r>
        <w:t xml:space="preserve"> (9); the longest are </w:t>
      </w:r>
      <w:r>
        <w:rPr>
          <w:i/>
          <w:iCs/>
        </w:rPr>
        <w:t xml:space="preserve">Political Special</w:t>
      </w:r>
      <w:r>
        <w:t xml:space="preserve"> (22) and </w:t>
      </w:r>
      <w:r>
        <w:rPr>
          <w:i/>
          <w:iCs/>
        </w:rPr>
        <w:t xml:space="preserve">Tourette Alliance First Annual Conference</w:t>
      </w:r>
      <w:r>
        <w:t xml:space="preserve"> (21). Because clips are a fixed 30 s, this distribution is a direct proxy for programme length: the corpus is short-form, and no single programme dominates it. </w:t>
      </w:r>
      <w:r>
        <w:rPr>
          <w:b/>
          <w:bCs/>
          <w:highlight w:val="yellow"/>
          <w:highlightCs w:val="yellow"/>
        </w:rPr>
        <w:t xml:space="preserve">`[TO FILL: full table — title, duration, clip count, split.]`</w:t>
      </w:r>
    </w:p>
    <w:p>
      <w:pPr>
        <w:pStyle w:val="Heading2"/>
        <w:spacing w:after="140" w:before="260"/>
      </w:pPr>
      <w:r>
        <w:rPr>
          <w:b/>
          <w:bCs/>
          <w:sz w:val="24"/>
          <w:szCs w:val="24"/>
        </w:rPr>
        <w:t xml:space="preserve">Appendix D — Full Result Tables</w:t>
      </w:r>
    </w:p>
    <w:p>
      <w:pPr>
        <w:pStyle w:val="ListParagraph"/>
        <w:numPr>
          <w:ilvl w:val="0"/>
          <w:numId w:val="1"/>
        </w:numPr>
        <w:spacing w:after="90" w:line="276"/>
      </w:pPr>
      <w:r>
        <w:rPr>
          <w:b/>
          <w:bCs/>
        </w:rPr>
        <w:t xml:space="preserve">D.1</w:t>
      </w:r>
      <w:r>
        <w:t xml:space="preserve"> Frame-sampling ablation — paper Table III (</w:t>
      </w:r>
      <w:r>
        <w:rPr>
          <w:i/>
          <w:iCs/>
        </w:rPr>
        <w:t xml:space="preserve">n</w:t>
      </w:r>
      <w:r>
        <w:t xml:space="preserve"> = 8). Note when citing the OCR column that </w:t>
      </w:r>
      <w:r>
        <w:rPr>
          <w:rFonts w:ascii="Consolas" w:cs="Consolas" w:eastAsia="Consolas" w:hAnsi="Consolas"/>
          <w:sz w:val="18"/>
          <w:szCs w:val="18"/>
        </w:rPr>
        <w:t xml:space="preserve">aggregate_temporal_ocr</w:t>
      </w:r>
      <w:r>
        <w:t xml:space="preserve"> derives its persistence threshold from the frame count (</w:t>
      </w:r>
      <w:r>
        <w:rPr>
          <w:rFonts w:ascii="Consolas" w:cs="Consolas" w:eastAsia="Consolas" w:hAnsi="Consolas"/>
          <w:sz w:val="18"/>
          <w:szCs w:val="18"/>
        </w:rPr>
        <w:t xml:space="preserve">required_frames = 1 if len(frame_outputs) == 1 else min(ocr_min_frame_occurrences, n)</w:t>
      </w:r>
      <w:r>
        <w:t xml:space="preserve">), so the centre-frame count is unfiltered and the other two are filtered at two occurrences. Only the fixed-three and scene-aware figures are directly comparable.</w:t>
      </w:r>
    </w:p>
    <w:p>
      <w:pPr>
        <w:pStyle w:val="ListParagraph"/>
        <w:numPr>
          <w:ilvl w:val="0"/>
          <w:numId w:val="1"/>
        </w:numPr>
        <w:spacing w:after="90" w:line="276"/>
      </w:pPr>
      <w:r>
        <w:rPr>
          <w:b/>
          <w:bCs/>
        </w:rPr>
        <w:t xml:space="preserve">D.2</w:t>
      </w:r>
      <w:r>
        <w:t xml:space="preserve"> Perturbation robustness — paper Table IV (</w:t>
      </w:r>
      <w:r>
        <w:rPr>
          <w:i/>
          <w:iCs/>
        </w:rPr>
        <w:t xml:space="preserve">n</w:t>
      </w:r>
      <w:r>
        <w:t xml:space="preserve"> = 5).</w:t>
      </w:r>
    </w:p>
    <w:p>
      <w:pPr>
        <w:pStyle w:val="ListParagraph"/>
        <w:numPr>
          <w:ilvl w:val="0"/>
          <w:numId w:val="1"/>
        </w:numPr>
        <w:spacing w:after="90" w:line="276"/>
      </w:pPr>
      <w:r>
        <w:rPr>
          <w:b/>
          <w:bCs/>
        </w:rPr>
        <w:t xml:space="preserve">D.3</w:t>
      </w:r>
      <w:r>
        <w:t xml:space="preserve"> Hosted-annotator ablation — paper Table V (</w:t>
      </w:r>
      <w:r>
        <w:rPr>
          <w:i/>
          <w:iCs/>
        </w:rPr>
        <w:t xml:space="preserve">n</w:t>
      </w:r>
      <w:r>
        <w:t xml:space="preserve"> = 626).</w:t>
      </w:r>
    </w:p>
    <w:p>
      <w:pPr>
        <w:pStyle w:val="ListParagraph"/>
        <w:numPr>
          <w:ilvl w:val="0"/>
          <w:numId w:val="1"/>
        </w:numPr>
        <w:spacing w:after="90" w:line="276"/>
      </w:pPr>
      <w:r>
        <w:rPr>
          <w:b/>
          <w:bCs/>
        </w:rPr>
        <w:t xml:space="preserve">D.4</w:t>
      </w:r>
      <w:r>
        <w:t xml:space="preserve"> VLM benchmark — paper Table VI (</w:t>
      </w:r>
      <w:r>
        <w:rPr>
          <w:i/>
          <w:iCs/>
        </w:rPr>
        <w:t xml:space="preserve">n</w:t>
      </w:r>
      <w:r>
        <w:t xml:space="preserve"> = 626, 21,489 scores).</w:t>
      </w:r>
    </w:p>
    <w:p>
      <w:pPr>
        <w:pStyle w:val="ListParagraph"/>
        <w:numPr>
          <w:ilvl w:val="0"/>
          <w:numId w:val="1"/>
        </w:numPr>
        <w:spacing w:after="90" w:line="276"/>
      </w:pPr>
      <w:r>
        <w:rPr>
          <w:b/>
          <w:bCs/>
        </w:rPr>
        <w:t xml:space="preserve">D.5</w:t>
      </w:r>
      <w:r>
        <w:t xml:space="preserve"> Per-field agreement distribution — paper Table IV (</w:t>
      </w:r>
      <w:r>
        <w:rPr>
          <w:i/>
          <w:iCs/>
        </w:rPr>
        <w:t xml:space="preserve">n</w:t>
      </w:r>
      <w:r>
        <w:t xml:space="preserve"> = 626, all five fields).</w:t>
      </w:r>
    </w:p>
    <w:p>
      <w:pPr>
        <w:pStyle w:val="ListParagraph"/>
        <w:numPr>
          <w:ilvl w:val="0"/>
          <w:numId w:val="1"/>
        </w:numPr>
        <w:spacing w:after="90" w:line="276"/>
      </w:pPr>
      <w:r>
        <w:rPr>
          <w:b/>
          <w:bCs/>
        </w:rPr>
        <w:t xml:space="preserve">D.6</w:t>
      </w:r>
      <w:r>
        <w:t xml:space="preserve"> Benchmark coverage — 626/626 on free-text and tag fields for five models; 625 (Qwen3-VL-2B-Instruct) and 624 (-2B-Thinking); people count 566–568/626.</w:t>
      </w:r>
    </w:p>
    <w:p>
      <w:pPr>
        <w:pStyle w:val="ListParagraph"/>
        <w:numPr>
          <w:ilvl w:val="0"/>
          <w:numId w:val="1"/>
        </w:numPr>
        <w:spacing w:after="90" w:line="276"/>
      </w:pPr>
      <w:r>
        <w:rPr>
          <w:b/>
          <w:bCs/>
        </w:rPr>
        <w:t xml:space="preserve">D.7</w:t>
      </w:r>
      <w:r>
        <w:t xml:space="preserve"> Transcript field — exactly 0.000 for InternVL3-2B, Qwen3-VL-4B-Instruct and Qwen3-VL-8B-Instruct; 0.013–0.034 for the rest.</w:t>
      </w:r>
    </w:p>
    <w:p>
      <w:pPr>
        <w:pStyle w:val="ListParagraph"/>
        <w:numPr>
          <w:ilvl w:val="0"/>
          <w:numId w:val="1"/>
        </w:numPr>
        <w:spacing w:after="90" w:line="276"/>
      </w:pPr>
      <w:r>
        <w:rPr>
          <w:b/>
          <w:bCs/>
        </w:rPr>
        <w:t xml:space="preserve">D.8</w:t>
      </w:r>
      <w:r>
        <w:t xml:space="preserve"> Per-model agreement-tier charts — </w:t>
      </w:r>
      <w:r>
        <w:rPr>
          <w:b/>
          <w:bCs/>
        </w:rPr>
        <w:t xml:space="preserve">vacuous; do not include them.</w:t>
      </w:r>
      <w:r>
        <w:t xml:space="preserve"> All </w:t>
      </w:r>
      <w:r>
        <w:rPr>
          <w:b/>
          <w:bCs/>
        </w:rPr>
        <w:t xml:space="preserve">21,489</w:t>
      </w:r>
      <w:r>
        <w:t xml:space="preserve"> rows of the benchmark accuracy report carry </w:t>
      </w:r>
      <w:r>
        <w:rPr>
          <w:rFonts w:ascii="Consolas" w:cs="Consolas" w:eastAsia="Consolas" w:hAnsi="Consolas"/>
          <w:sz w:val="18"/>
          <w:szCs w:val="18"/>
        </w:rPr>
        <w:t xml:space="preserve">ground_truth_agreement_tier = not_scored</w:t>
      </w:r>
      <w:r>
        <w:t xml:space="preserve">, a proportion of 1.000. The cause is structural, not a bug: </w:t>
      </w:r>
      <w:r>
        <w:rPr>
          <w:rFonts w:ascii="Consolas" w:cs="Consolas" w:eastAsia="Consolas" w:hAnsi="Consolas"/>
          <w:sz w:val="18"/>
          <w:szCs w:val="18"/>
        </w:rPr>
        <w:t xml:space="preserve">build_focused_ground_truth</w:t>
      </w:r>
      <w:r>
        <w:t xml:space="preserve"> flattens each field to its bare value via </w:t>
      </w:r>
      <w:r>
        <w:rPr>
          <w:rFonts w:ascii="Consolas" w:cs="Consolas" w:eastAsia="Consolas" w:hAnsi="Consolas"/>
          <w:sz w:val="18"/>
          <w:szCs w:val="18"/>
        </w:rPr>
        <w:t xml:space="preserve">focused_field_value</w:t>
      </w:r>
      <w:r>
        <w:t xml:space="preserve">, discarding </w:t>
      </w:r>
      <w:r>
        <w:rPr>
          <w:rFonts w:ascii="Consolas" w:cs="Consolas" w:eastAsia="Consolas" w:hAnsi="Consolas"/>
          <w:sz w:val="18"/>
          <w:szCs w:val="18"/>
        </w:rPr>
        <w:t xml:space="preserve">status</w:t>
      </w:r>
      <w:r>
        <w:t xml:space="preserve">, </w:t>
      </w:r>
      <w:r>
        <w:rPr>
          <w:rFonts w:ascii="Consolas" w:cs="Consolas" w:eastAsia="Consolas" w:hAnsi="Consolas"/>
          <w:sz w:val="18"/>
          <w:szCs w:val="18"/>
        </w:rPr>
        <w:t xml:space="preserve">agreement_score</w:t>
      </w:r>
      <w:r>
        <w:t xml:space="preserve">, </w:t>
      </w:r>
      <w:r>
        <w:rPr>
          <w:rFonts w:ascii="Consolas" w:cs="Consolas" w:eastAsia="Consolas" w:hAnsi="Consolas"/>
          <w:sz w:val="18"/>
          <w:szCs w:val="18"/>
        </w:rPr>
        <w:t xml:space="preserve">agreement_tier</w:t>
      </w:r>
      <w:r>
        <w:t xml:space="preserve">, </w:t>
      </w:r>
      <w:r>
        <w:rPr>
          <w:rFonts w:ascii="Consolas" w:cs="Consolas" w:eastAsia="Consolas" w:hAnsi="Consolas"/>
          <w:sz w:val="18"/>
          <w:szCs w:val="18"/>
        </w:rPr>
        <w:t xml:space="preserve">needs_caution</w:t>
      </w:r>
      <w:r>
        <w:t xml:space="preserve"> and </w:t>
      </w:r>
      <w:r>
        <w:rPr>
          <w:rFonts w:ascii="Consolas" w:cs="Consolas" w:eastAsia="Consolas" w:hAnsi="Consolas"/>
          <w:sz w:val="18"/>
          <w:szCs w:val="18"/>
        </w:rPr>
        <w:t xml:space="preserve">support_models</w:t>
      </w:r>
      <w:r>
        <w:t xml:space="preserve">, and the benchmark scores against that flattened file. Section 11's seven PNGs plot a single constant category. Answering "does the pipeline's own agreement predict how close each model gets" requires re-scoring the benchmark against </w:t>
      </w:r>
      <w:r>
        <w:rPr>
          <w:rFonts w:ascii="Consolas" w:cs="Consolas" w:eastAsia="Consolas" w:hAnsi="Consolas"/>
          <w:sz w:val="18"/>
          <w:szCs w:val="18"/>
        </w:rPr>
        <w:t xml:space="preserve">ground_truth_metadata.json</w:t>
      </w:r>
      <w:r>
        <w:t xml:space="preserve">, which retains the consensus dicts — a worthwhile experiment that the current artefacts cannot support.</w:t>
      </w:r>
    </w:p>
    <w:p>
      <w:pPr>
        <w:pStyle w:val="Heading2"/>
        <w:spacing w:after="140" w:before="260"/>
      </w:pPr>
      <w:r>
        <w:rPr>
          <w:b/>
          <w:bCs/>
          <w:sz w:val="24"/>
          <w:szCs w:val="24"/>
        </w:rPr>
        <w:t xml:space="preserve">Appendix E — Qualitative Spot-Checks</w:t>
      </w:r>
    </w:p>
    <w:p>
      <w:pPr>
        <w:spacing w:after="140" w:line="276"/>
        <w:jc w:val="both"/>
      </w:pPr>
      <w:r>
        <w:t xml:space="preserve">From Section 12 of </w:t>
      </w:r>
      <w:r>
        <w:rPr>
          <w:rFonts w:ascii="Consolas" w:cs="Consolas" w:eastAsia="Consolas" w:hAnsi="Consolas"/>
          <w:sz w:val="18"/>
          <w:szCs w:val="18"/>
        </w:rPr>
        <w:t xml:space="preserve">02_vlm_benchmark_run.ipynb</w:t>
      </w:r>
      <w:r>
        <w:t xml:space="preserve">, which prints the reference metadata beside every model's prediction. Two clips are reproduced here because each shows something the aggregate tables cannot.</w:t>
      </w:r>
    </w:p>
    <w:p>
      <w:pPr>
        <w:spacing w:after="140" w:line="276"/>
        <w:jc w:val="both"/>
      </w:pPr>
      <w:r>
        <w:rPr>
          <w:b/>
          <w:bCs/>
        </w:rPr>
        <w:t xml:space="preserve">E.1 — `11_Poor_Mental_Health_on_Peace_Lines_150416…clip0003`: the OCR veto's false negatives.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FEF" w:color="auto" w:val="clear"/>
            <w:tcMar>
              <w:top w:type="dxa" w:w="60"/>
              <w:left w:type="dxa" w:w="90"/>
              <w:bottom w:type="dxa" w:w="60"/>
              <w:right w:type="dxa" w:w="90"/>
            </w:tcMar>
          </w:tcPr>
          <w:p>
            <w:pPr>
              <w:spacing w:after="0"/>
            </w:pPr>
            <w:r>
              <w:rPr>
                <w:b/>
                <w:bCs/>
              </w:rPr>
              <w:t xml:space="preserve">Source</w:t>
            </w:r>
          </w:p>
        </w:tc>
        <w:tc>
          <w:tcPr>
            <w:tcW w:type="dxa" w:w="4680"/>
            <w:shd w:fill="EFEFEF" w:color="auto" w:val="clear"/>
            <w:tcMar>
              <w:top w:type="dxa" w:w="60"/>
              <w:left w:type="dxa" w:w="90"/>
              <w:bottom w:type="dxa" w:w="60"/>
              <w:right w:type="dxa" w:w="90"/>
            </w:tcMar>
          </w:tcPr>
          <w:p>
            <w:pPr>
              <w:spacing w:after="0"/>
            </w:pPr>
            <w:r>
              <w:rPr>
                <w:b/>
                <w:bCs/>
              </w:rPr>
              <w:t xml:space="preserve">On-screen text</w:t>
            </w:r>
          </w:p>
        </w:tc>
      </w:tr>
      <w:tr>
        <w:trPr>
          <w:tblHeader w:val="false"/>
        </w:trPr>
        <w:tc>
          <w:tcPr>
            <w:tcW w:type="dxa" w:w="4680"/>
            <w:tcMar>
              <w:top w:type="dxa" w:w="60"/>
              <w:left w:type="dxa" w:w="90"/>
              <w:bottom w:type="dxa" w:w="60"/>
              <w:right w:type="dxa" w:w="90"/>
            </w:tcMar>
          </w:tcPr>
          <w:p>
            <w:pPr>
              <w:spacing w:after="0"/>
            </w:pPr>
            <w:r>
              <w:t xml:space="preserve">Reference (pipeline)</w:t>
            </w:r>
          </w:p>
        </w:tc>
        <w:tc>
          <w:tcPr>
            <w:tcW w:type="dxa" w:w="4680"/>
            <w:tcMar>
              <w:top w:type="dxa" w:w="60"/>
              <w:left w:type="dxa" w:w="90"/>
              <w:bottom w:type="dxa" w:w="60"/>
              <w:right w:type="dxa" w:w="90"/>
            </w:tcMar>
          </w:tcPr>
          <w:p>
            <w:pPr>
              <w:spacing w:after="0"/>
            </w:pPr>
            <w:r>
              <w:rPr>
                <w:i/>
                <w:iCs/>
              </w:rPr>
              <w:t xml:space="preserve">(empty)</w:t>
            </w:r>
          </w:p>
        </w:tc>
      </w:tr>
      <w:tr>
        <w:trPr>
          <w:tblHeader w:val="false"/>
        </w:trPr>
        <w:tc>
          <w:tcPr>
            <w:tcW w:type="dxa" w:w="4680"/>
            <w:tcMar>
              <w:top w:type="dxa" w:w="60"/>
              <w:left w:type="dxa" w:w="90"/>
              <w:bottom w:type="dxa" w:w="60"/>
              <w:right w:type="dxa" w:w="90"/>
            </w:tcMar>
          </w:tcPr>
          <w:p>
            <w:pPr>
              <w:spacing w:after="0"/>
            </w:pPr>
            <w:r>
              <w:t xml:space="preserve">InternVL3-2B</w:t>
            </w:r>
          </w:p>
        </w:tc>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NVTV</w:t>
            </w:r>
            <w:r>
              <w:t xml:space="preserve">, </w:t>
            </w:r>
            <w:r>
              <w:rPr>
                <w:rFonts w:ascii="Consolas" w:cs="Consolas" w:eastAsia="Consolas" w:hAnsi="Consolas"/>
                <w:sz w:val="18"/>
                <w:szCs w:val="18"/>
              </w:rPr>
              <w:t xml:space="preserve">BELFAST LOCAL TELEVISION</w:t>
            </w:r>
          </w:p>
        </w:tc>
      </w:tr>
      <w:tr>
        <w:trPr>
          <w:tblHeader w:val="false"/>
        </w:trPr>
        <w:tc>
          <w:tcPr>
            <w:tcW w:type="dxa" w:w="4680"/>
            <w:tcMar>
              <w:top w:type="dxa" w:w="60"/>
              <w:left w:type="dxa" w:w="90"/>
              <w:bottom w:type="dxa" w:w="60"/>
              <w:right w:type="dxa" w:w="90"/>
            </w:tcMar>
          </w:tcPr>
          <w:p>
            <w:pPr>
              <w:spacing w:after="0"/>
            </w:pPr>
            <w:r>
              <w:t xml:space="preserve">InternVL3-8B</w:t>
            </w:r>
          </w:p>
        </w:tc>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NVTW BELFAST LOCAL TELEVISION</w:t>
            </w:r>
          </w:p>
        </w:tc>
      </w:tr>
      <w:tr>
        <w:trPr>
          <w:tblHeader w:val="false"/>
        </w:trPr>
        <w:tc>
          <w:tcPr>
            <w:tcW w:type="dxa" w:w="4680"/>
            <w:tcMar>
              <w:top w:type="dxa" w:w="60"/>
              <w:left w:type="dxa" w:w="90"/>
              <w:bottom w:type="dxa" w:w="60"/>
              <w:right w:type="dxa" w:w="90"/>
            </w:tcMar>
          </w:tcPr>
          <w:p>
            <w:pPr>
              <w:spacing w:after="0"/>
            </w:pPr>
            <w:r>
              <w:t xml:space="preserve">Qwen3-VL-2B-Instruct</w:t>
            </w:r>
          </w:p>
        </w:tc>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NVTV</w:t>
            </w:r>
            <w:r>
              <w:t xml:space="preserve">, </w:t>
            </w:r>
            <w:r>
              <w:rPr>
                <w:rFonts w:ascii="Consolas" w:cs="Consolas" w:eastAsia="Consolas" w:hAnsi="Consolas"/>
                <w:sz w:val="18"/>
                <w:szCs w:val="18"/>
              </w:rPr>
              <w:t xml:space="preserve">BELFAST LOCAL TELEVISION</w:t>
            </w:r>
          </w:p>
        </w:tc>
      </w:tr>
      <w:tr>
        <w:trPr>
          <w:tblHeader w:val="false"/>
        </w:trPr>
        <w:tc>
          <w:tcPr>
            <w:tcW w:type="dxa" w:w="4680"/>
            <w:tcMar>
              <w:top w:type="dxa" w:w="60"/>
              <w:left w:type="dxa" w:w="90"/>
              <w:bottom w:type="dxa" w:w="60"/>
              <w:right w:type="dxa" w:w="90"/>
            </w:tcMar>
          </w:tcPr>
          <w:p>
            <w:pPr>
              <w:spacing w:after="0"/>
            </w:pPr>
            <w:r>
              <w:t xml:space="preserve">Qwen3-VL-2B-Thinking</w:t>
            </w:r>
          </w:p>
        </w:tc>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NVTV</w:t>
            </w:r>
            <w:r>
              <w:t xml:space="preserve">, </w:t>
            </w:r>
            <w:r>
              <w:rPr>
                <w:rFonts w:ascii="Consolas" w:cs="Consolas" w:eastAsia="Consolas" w:hAnsi="Consolas"/>
                <w:sz w:val="18"/>
                <w:szCs w:val="18"/>
              </w:rPr>
              <w:t xml:space="preserve">BELFAST LOCAL TELEVISION</w:t>
            </w:r>
          </w:p>
        </w:tc>
      </w:tr>
      <w:tr>
        <w:trPr>
          <w:tblHeader w:val="false"/>
        </w:trPr>
        <w:tc>
          <w:tcPr>
            <w:tcW w:type="dxa" w:w="4680"/>
            <w:tcMar>
              <w:top w:type="dxa" w:w="60"/>
              <w:left w:type="dxa" w:w="90"/>
              <w:bottom w:type="dxa" w:w="60"/>
              <w:right w:type="dxa" w:w="90"/>
            </w:tcMar>
          </w:tcPr>
          <w:p>
            <w:pPr>
              <w:spacing w:after="0"/>
            </w:pPr>
            <w:r>
              <w:t xml:space="preserve">Qwen3-VL-4B-Instruct</w:t>
            </w:r>
          </w:p>
        </w:tc>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NVTV</w:t>
            </w:r>
            <w:r>
              <w:t xml:space="preserve">, </w:t>
            </w:r>
            <w:r>
              <w:rPr>
                <w:rFonts w:ascii="Consolas" w:cs="Consolas" w:eastAsia="Consolas" w:hAnsi="Consolas"/>
                <w:sz w:val="18"/>
                <w:szCs w:val="18"/>
              </w:rPr>
              <w:t xml:space="preserve">BELFAST LOCAL TELEVISION</w:t>
            </w:r>
          </w:p>
        </w:tc>
      </w:tr>
      <w:tr>
        <w:trPr>
          <w:tblHeader w:val="false"/>
        </w:trPr>
        <w:tc>
          <w:tcPr>
            <w:tcW w:type="dxa" w:w="4680"/>
            <w:tcMar>
              <w:top w:type="dxa" w:w="60"/>
              <w:left w:type="dxa" w:w="90"/>
              <w:bottom w:type="dxa" w:w="60"/>
              <w:right w:type="dxa" w:w="90"/>
            </w:tcMar>
          </w:tcPr>
          <w:p>
            <w:pPr>
              <w:spacing w:after="0"/>
            </w:pPr>
            <w:r>
              <w:t xml:space="preserve">Qwen3-VL-4B-Thinking</w:t>
            </w:r>
          </w:p>
        </w:tc>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NVTV</w:t>
            </w:r>
            <w:r>
              <w:t xml:space="preserve">, </w:t>
            </w:r>
            <w:r>
              <w:rPr>
                <w:rFonts w:ascii="Consolas" w:cs="Consolas" w:eastAsia="Consolas" w:hAnsi="Consolas"/>
                <w:sz w:val="18"/>
                <w:szCs w:val="18"/>
              </w:rPr>
              <w:t xml:space="preserve">BELFAST LOCAL TELEVISION</w:t>
            </w:r>
          </w:p>
        </w:tc>
      </w:tr>
      <w:tr>
        <w:trPr>
          <w:tblHeader w:val="false"/>
        </w:trPr>
        <w:tc>
          <w:tcPr>
            <w:tcW w:type="dxa" w:w="4680"/>
            <w:tcMar>
              <w:top w:type="dxa" w:w="60"/>
              <w:left w:type="dxa" w:w="90"/>
              <w:bottom w:type="dxa" w:w="60"/>
              <w:right w:type="dxa" w:w="90"/>
            </w:tcMar>
          </w:tcPr>
          <w:p>
            <w:pPr>
              <w:spacing w:after="0"/>
            </w:pPr>
            <w:r>
              <w:t xml:space="preserve">Qwen3-VL-8B-Instruct</w:t>
            </w:r>
          </w:p>
        </w:tc>
        <w:tc>
          <w:tcPr>
            <w:tcW w:type="dxa" w:w="4680"/>
            <w:tcMar>
              <w:top w:type="dxa" w:w="60"/>
              <w:left w:type="dxa" w:w="90"/>
              <w:bottom w:type="dxa" w:w="60"/>
              <w:right w:type="dxa" w:w="90"/>
            </w:tcMar>
          </w:tcPr>
          <w:p>
            <w:pPr>
              <w:spacing w:after="0"/>
            </w:pPr>
            <w:r>
              <w:rPr>
                <w:rFonts w:ascii="Consolas" w:cs="Consolas" w:eastAsia="Consolas" w:hAnsi="Consolas"/>
                <w:sz w:val="18"/>
                <w:szCs w:val="18"/>
              </w:rPr>
              <w:t xml:space="preserve">NVTY</w:t>
            </w:r>
            <w:r>
              <w:t xml:space="preserve">, </w:t>
            </w:r>
            <w:r>
              <w:rPr>
                <w:rFonts w:ascii="Consolas" w:cs="Consolas" w:eastAsia="Consolas" w:hAnsi="Consolas"/>
                <w:sz w:val="18"/>
                <w:szCs w:val="18"/>
              </w:rPr>
              <w:t xml:space="preserve">BELFAST LOCAL TELEVISION</w:t>
            </w:r>
          </w:p>
        </w:tc>
      </w:tr>
    </w:tbl>
    <w:p>
      <w:pPr>
        <w:spacing w:after="160"/>
      </w:pPr>
    </w:p>
    <w:p>
      <w:pPr>
        <w:spacing w:after="140" w:line="276"/>
        <w:jc w:val="both"/>
      </w:pPr>
      <w:r>
        <w:t xml:space="preserve">All seven models read the station ident; the published reference is empty. Disagreement between them is confined to one character of the call sign. The text was on screen and the strict dual-engine rule rejected it — the clearest available illustration of what the veto costs, and a case where every model is penalised by ROUGE-L for being more accurate than the reference.</w:t>
      </w:r>
    </w:p>
    <w:p>
      <w:pPr>
        <w:spacing w:after="140" w:line="276"/>
        <w:jc w:val="both"/>
      </w:pPr>
      <w:r>
        <w:t xml:space="preserve">The same clip also shows the keyword modality mismatch. Reference (from the transcript): </w:t>
      </w:r>
      <w:r>
        <w:rPr>
          <w:rFonts w:ascii="Consolas" w:cs="Consolas" w:eastAsia="Consolas" w:hAnsi="Consolas"/>
          <w:sz w:val="18"/>
          <w:szCs w:val="18"/>
        </w:rPr>
        <w:t xml:space="preserve">medication</w:t>
      </w:r>
      <w:r>
        <w:t xml:space="preserve">, </w:t>
      </w:r>
      <w:r>
        <w:rPr>
          <w:rFonts w:ascii="Consolas" w:cs="Consolas" w:eastAsia="Consolas" w:hAnsi="Consolas"/>
          <w:sz w:val="18"/>
          <w:szCs w:val="18"/>
        </w:rPr>
        <w:t xml:space="preserve">population</w:t>
      </w:r>
      <w:r>
        <w:t xml:space="preserve">, </w:t>
      </w:r>
      <w:r>
        <w:rPr>
          <w:rFonts w:ascii="Consolas" w:cs="Consolas" w:eastAsia="Consolas" w:hAnsi="Consolas"/>
          <w:sz w:val="18"/>
          <w:szCs w:val="18"/>
        </w:rPr>
        <w:t xml:space="preserve">Northern Ireland</w:t>
      </w:r>
      <w:r>
        <w:t xml:space="preserve">, </w:t>
      </w:r>
      <w:r>
        <w:rPr>
          <w:rFonts w:ascii="Consolas" w:cs="Consolas" w:eastAsia="Consolas" w:hAnsi="Consolas"/>
          <w:sz w:val="18"/>
          <w:szCs w:val="18"/>
        </w:rPr>
        <w:t xml:space="preserve">peaceline areas</w:t>
      </w:r>
      <w:r>
        <w:t xml:space="preserve">. Models (from frames): </w:t>
      </w:r>
      <w:r>
        <w:rPr>
          <w:rFonts w:ascii="Consolas" w:cs="Consolas" w:eastAsia="Consolas" w:hAnsi="Consolas"/>
          <w:sz w:val="18"/>
          <w:szCs w:val="18"/>
        </w:rPr>
        <w:t xml:space="preserve">interview</w:t>
      </w:r>
      <w:r>
        <w:t xml:space="preserve">, </w:t>
      </w:r>
      <w:r>
        <w:rPr>
          <w:rFonts w:ascii="Consolas" w:cs="Consolas" w:eastAsia="Consolas" w:hAnsi="Consolas"/>
          <w:sz w:val="18"/>
          <w:szCs w:val="18"/>
        </w:rPr>
        <w:t xml:space="preserve">talk show format</w:t>
      </w:r>
      <w:r>
        <w:t xml:space="preserve">, </w:t>
      </w:r>
      <w:r>
        <w:rPr>
          <w:rFonts w:ascii="Consolas" w:cs="Consolas" w:eastAsia="Consolas" w:hAnsi="Consolas"/>
          <w:sz w:val="18"/>
          <w:szCs w:val="18"/>
        </w:rPr>
        <w:t xml:space="preserve">studio audience</w:t>
      </w:r>
      <w:r>
        <w:t xml:space="preserve">, </w:t>
      </w:r>
      <w:r>
        <w:rPr>
          <w:rFonts w:ascii="Consolas" w:cs="Consolas" w:eastAsia="Consolas" w:hAnsi="Consolas"/>
          <w:sz w:val="18"/>
          <w:szCs w:val="18"/>
        </w:rPr>
        <w:t xml:space="preserve">Belfast cityscape</w:t>
      </w:r>
      <w:r>
        <w:t xml:space="preserve">. Both are correct descriptions of different modalities of the same 30 seconds.</w:t>
      </w:r>
    </w:p>
    <w:p>
      <w:pPr>
        <w:spacing w:after="140" w:line="276"/>
        <w:jc w:val="both"/>
      </w:pPr>
      <w:r>
        <w:t xml:space="preserve">And the transcript field: against a 90-word reference on a population-wide medication study, InternVL3-2B, InternVL3-8B, Qwen3-VL-4B-Instruct and Qwen3-VL-8B-Instruct returned an empty string, while the three Qwen variants that did answer produced generic visual paraphrase — </w:t>
      </w:r>
      <w:r>
        <w:rPr>
          <w:i/>
          <w:iCs/>
        </w:rPr>
        <w:t xml:space="preserve">"The interviewer is asking a question about local issues."</w:t>
      </w:r>
      <w:r>
        <w:t xml:space="preserve"> Neither behaviour recovers the content; only the first is honest about it.</w:t>
      </w:r>
    </w:p>
    <w:p>
      <w:pPr>
        <w:spacing w:after="140" w:line="276"/>
        <w:jc w:val="both"/>
      </w:pPr>
      <w:r>
        <w:rPr>
          <w:b/>
          <w:bCs/>
        </w:rPr>
        <w:t xml:space="preserve">E.2 — `20_Writers_on_Writers_Festival_100516…clip0004`: reference fragmentation, and a Whisper failure.</w:t>
      </w:r>
    </w:p>
    <w:p>
      <w:pPr>
        <w:spacing w:after="140" w:line="276"/>
        <w:jc w:val="both"/>
      </w:pPr>
      <w:r>
        <w:t xml:space="preserve">The reference on-screen text is the single fragment </w:t>
      </w:r>
      <w:r>
        <w:rPr>
          <w:rFonts w:ascii="Consolas" w:cs="Consolas" w:eastAsia="Consolas" w:hAnsi="Consolas"/>
          <w:sz w:val="18"/>
          <w:szCs w:val="18"/>
        </w:rPr>
        <w:t xml:space="preserve">TIVAL</w:t>
      </w:r>
      <w:r>
        <w:t xml:space="preserve"> — the tail of "FESTIVAL" caught by the dual-engine rule. The models returned the theatre poster in the frame: </w:t>
      </w:r>
      <w:r>
        <w:rPr>
          <w:i/>
          <w:iCs/>
        </w:rPr>
        <w:t xml:space="preserve">THE BELLE OF THE BELFAST CITY</w:t>
      </w:r>
      <w:r>
        <w:t xml:space="preserve">, </w:t>
      </w:r>
      <w:r>
        <w:rPr>
          <w:i/>
          <w:iCs/>
        </w:rPr>
        <w:t xml:space="preserve">BY CHRISTINA REID</w:t>
      </w:r>
      <w:r>
        <w:t xml:space="preserve">, director, designer, ticket prices, run dates and the box-office number. Qwen3-VL-8B-Instruct additionally recovered a pull-quote. Recall against </w:t>
      </w:r>
      <w:r>
        <w:rPr>
          <w:rFonts w:ascii="Consolas" w:cs="Consolas" w:eastAsia="Consolas" w:hAnsi="Consolas"/>
          <w:sz w:val="18"/>
          <w:szCs w:val="18"/>
        </w:rPr>
        <w:t xml:space="preserve">TIVAL</w:t>
      </w:r>
      <w:r>
        <w:t xml:space="preserve"> cannot express any of this.</w:t>
      </w:r>
    </w:p>
    <w:p>
      <w:pPr>
        <w:spacing w:after="140" w:line="276"/>
        <w:jc w:val="both"/>
      </w:pPr>
      <w:r>
        <w:t xml:space="preserve">This clip also contains the fairness evidence discussed in §6.3. The reference keywords are </w:t>
      </w:r>
      <w:r>
        <w:rPr>
          <w:rFonts w:ascii="Consolas" w:cs="Consolas" w:eastAsia="Consolas" w:hAnsi="Consolas"/>
          <w:sz w:val="18"/>
          <w:szCs w:val="18"/>
        </w:rPr>
        <w:t xml:space="preserve">Reid</w:t>
      </w:r>
      <w:r>
        <w:t xml:space="preserve">, </w:t>
      </w:r>
      <w:r>
        <w:rPr>
          <w:rFonts w:ascii="Consolas" w:cs="Consolas" w:eastAsia="Consolas" w:hAnsi="Consolas"/>
          <w:sz w:val="18"/>
          <w:szCs w:val="18"/>
        </w:rPr>
        <w:t xml:space="preserve">Christina Reid</w:t>
      </w:r>
      <w:r>
        <w:t xml:space="preserve">, </w:t>
      </w:r>
      <w:r>
        <w:rPr>
          <w:rFonts w:ascii="Consolas" w:cs="Consolas" w:eastAsia="Consolas" w:hAnsi="Consolas"/>
          <w:sz w:val="18"/>
          <w:szCs w:val="18"/>
        </w:rPr>
        <w:t xml:space="preserve">Belfast Street</w:t>
      </w:r>
      <w:r>
        <w:t xml:space="preserve">, </w:t>
      </w:r>
      <w:r>
        <w:rPr>
          <w:rFonts w:ascii="Consolas" w:cs="Consolas" w:eastAsia="Consolas" w:hAnsi="Consolas"/>
          <w:sz w:val="18"/>
          <w:szCs w:val="18"/>
        </w:rPr>
        <w:t xml:space="preserve">pethau felly</w:t>
      </w:r>
      <w:r>
        <w:t xml:space="preserve">, </w:t>
      </w:r>
      <w:r>
        <w:rPr>
          <w:rFonts w:ascii="Consolas" w:cs="Consolas" w:eastAsia="Consolas" w:hAnsi="Consolas"/>
          <w:sz w:val="18"/>
          <w:szCs w:val="18"/>
        </w:rPr>
        <w:t xml:space="preserve">cyfnodau yw</w:t>
      </w:r>
      <w:r>
        <w:t xml:space="preserve">, </w:t>
      </w:r>
      <w:r>
        <w:rPr>
          <w:rFonts w:ascii="Consolas" w:cs="Consolas" w:eastAsia="Consolas" w:hAnsi="Consolas"/>
          <w:sz w:val="18"/>
          <w:szCs w:val="18"/>
        </w:rPr>
        <w:t xml:space="preserve">custinia rheidd</w:t>
      </w:r>
      <w:r>
        <w:t xml:space="preserve"> — the last three Welsh-looking strings produced by Whisper on Northern Irish accented English, then carried into the published keyword field by all three keyword extractors without any source disagreeing.</w:t>
      </w:r>
    </w:p>
    <w:p>
      <w:pPr>
        <w:spacing w:after="140" w:line="276"/>
        <w:jc w:val="both"/>
      </w:pPr>
      <w:r>
        <w:t xml:space="preserve">People count on this clip is the opposite case: reference 1, and all seven models 1. Where the evidence is unambiguous, independent systems converge exactly — which is the premise the whole agreement design rests on.</w:t>
      </w:r>
    </w:p>
    <w:p>
      <w:pPr>
        <w:spacing w:after="140" w:line="276"/>
        <w:jc w:val="both"/>
      </w:pPr>
      <w:r>
        <w:rPr>
          <w:b/>
          <w:bCs/>
          <w:highlight w:val="yellow"/>
          <w:highlightCs w:val="yellow"/>
        </w:rPr>
        <w:t xml:space="preserve">`[TO FILL: add 3–4 more clips, chosen to include at least one where the hosted annotator changed the published visual tags (paper §IV-F), since that is the most consequential unresolved result and the aggregate numbers cannot settle it.]`</w:t>
      </w:r>
    </w:p>
    <w:p>
      <w:pPr>
        <w:pStyle w:val="Heading2"/>
        <w:spacing w:after="140" w:before="260"/>
      </w:pPr>
      <w:r>
        <w:rPr>
          <w:b/>
          <w:bCs/>
          <w:sz w:val="24"/>
          <w:szCs w:val="24"/>
        </w:rPr>
        <w:t xml:space="preserve">Appendix F — Reproduction</w:t>
      </w:r>
    </w:p>
    <w:p>
      <w:pPr>
        <w:shd w:fill="F4F4F4" w:color="auto" w:val="clear"/>
        <w:spacing w:after="0"/>
        <w:ind w:left="360"/>
      </w:pPr>
      <w:r>
        <w:rPr>
          <w:rFonts w:ascii="Consolas" w:cs="Consolas" w:eastAsia="Consolas" w:hAnsi="Consolas"/>
          <w:sz w:val="18"/>
          <w:szCs w:val="18"/>
        </w:rPr>
        <w:t xml:space="preserve">notebooks/01_metadata_pipeline.ipynb          # clips, metadata, experiments, browser</w:t>
      </w:r>
    </w:p>
    <w:p>
      <w:pPr>
        <w:shd w:fill="F4F4F4" w:color="auto" w:val="clear"/>
        <w:spacing w:after="0"/>
        <w:ind w:left="360"/>
      </w:pPr>
      <w:r>
        <w:rPr>
          <w:rFonts w:ascii="Consolas" w:cs="Consolas" w:eastAsia="Consolas" w:hAnsi="Consolas"/>
          <w:sz w:val="18"/>
          <w:szCs w:val="18"/>
        </w:rPr>
        <w:t xml:space="preserve">notebooks/02_vlm_benchmark_run.ipynb          # seven VLMs, checkpointed, resumable</w:t>
      </w:r>
    </w:p>
    <w:p>
      <w:pPr>
        <w:shd w:fill="F4F4F4" w:color="auto" w:val="clear"/>
        <w:spacing w:after="0"/>
        <w:ind w:left="360"/>
      </w:pPr>
      <w:r>
        <w:rPr>
          <w:rFonts w:ascii="Consolas" w:cs="Consolas" w:eastAsia="Consolas" w:hAnsi="Consolas"/>
          <w:sz w:val="18"/>
          <w:szCs w:val="18"/>
        </w:rPr>
        <w:t xml:space="preserve">notebooks/03_vlm_benchmark_comparison.ipynb   # scoring and tables only, no GPU needed</w:t>
      </w:r>
    </w:p>
    <w:p>
      <w:pPr>
        <w:spacing w:after="140"/>
      </w:pPr>
    </w:p>
    <w:p>
      <w:pPr>
        <w:spacing w:after="140" w:line="276"/>
        <w:jc w:val="both"/>
      </w:pPr>
      <w:r>
        <w:t xml:space="preserve">Run 01 top to bottom on a GPU runtime with the Drive layout in its header cell; run 02 on a GPU node; run 03 anywhere. All three are resumable and skip completed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color w:val="000000"/>
    </w:rPr>
  </w:style>
  <w:style w:type="paragraph" w:styleId="Heading2">
    <w:name w:val="Heading 2"/>
    <w:basedOn w:val="Normal"/>
    <w:next w:val="Normal"/>
    <w:qFormat/>
    <w:rPr>
      <w:rFonts w:ascii="Times New Roman" w:cs="Times New Roman" w:eastAsia="Times New Roman" w:hAnsi="Times New Roman"/>
      <w:color w:val="000000"/>
    </w:rPr>
  </w:style>
  <w:style w:type="paragraph" w:styleId="Heading3">
    <w:name w:val="Heading 3"/>
    <w:basedOn w:val="Normal"/>
    <w:next w:val="Normal"/>
    <w:qFormat/>
    <w:rPr>
      <w:rFonts w:ascii="Times New Roman" w:cs="Times New Roman" w:eastAsia="Times New Roman" w:hAnsi="Times New Roman"/>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2026-09-17T18:46:21.021Z</dcterms:created>
  <dcterms:modified xsi:type="dcterms:W3CDTF">2026-09-17T18:46:21.029Z</dcterms:modified>
</cp:coreProperties>
</file>

<file path=docProps/custom.xml><?xml version="1.0" encoding="utf-8"?>
<Properties xmlns="http://schemas.openxmlformats.org/officeDocument/2006/custom-properties" xmlns:vt="http://schemas.openxmlformats.org/officeDocument/2006/docPropsVTypes"/>
</file>