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community archives has consequently leaned on automatic description, generally reporting system output without a companion estimate of per-field reliability. </w:t>
      </w:r>
      <w:r>
        <w:rPr>
          <w:b/>
          <w:highlight w:val="yellow"/>
          <w:b/>
        </w:rPr>
        <w:t xml:space="preserve">`[TO FILL: 2–3 citations specific to cultural-heritage or community-archive AV description — search "audiovisual archive automatic metadata" in the QUB library and cite the closest two.]`</w:t>
      </w:r>
    </w:p>
    <w:p>
      <w:pPr>
        <w:pStyle w:val="Heading2"/>
      </w:pPr>
      <w:r>
        <w:t xml:space="preserve">Foundation Models as Zero-Shot Annotators</w:t>
      </w:r>
    </w:p>
    <w:p>
      <w:pPr>
        <w:pStyle w:val="BodyText"/>
      </w:pPr>
      <w:r>
        <w:t xml:space="preserve">Contrastive image–text pretraining [2] made open-vocabulary visual labelling possible without task-specific training, and the same shift reached speech with large-scale weakly supervised recognition [3] and vision-language question answering with BLIP [4] and ViLT [5]. End-to-end set-prediction detection [6]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[7], where labelling functions of unknown accuracy are aggregated into probabilistic labels. The corpus-linguistics tradition supplies the complementary framing: inter-annotator agreement statistics [8]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[9] and InternVL3 [10] — accept interleaved image sequences and emit schema-constrained text, making them plausible single-model replacements for a multi-component pipeline. Their known failure mode is object hallucination [11]: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with zero failures</w:t>
      </w:r>
      <w:r>
        <w:t xml:space="preserve">.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 5.2 h (upper bound)</w:t>
            </w:r>
          </w:p>
        </w:tc>
      </w:tr>
    </w:tbl>
    <w:p>
      <w:pPr>
        <w:pStyle w:val="BodyText"/>
      </w:pPr>
      <w:r>
        <w:rPr>
          <w:b/>
          <w:highlight w:val="yellow"/>
          <w:b/>
        </w:rPr>
        <w:t xml:space="preserve">`[TO FILL: exact corpus duration. 626 × 30 s = 5.22 h is an upper bound, because the final fragment of each of the 47 programmes may be shorter than 30 s (a 2.0 s floor is retained), so the true figure lies between 4.85 h and 5.22 h. Sum the ffprobe durations of the source files for the exact value.]`</w:t>
      </w:r>
    </w:p>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[12],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Scene-aware sampling recovers </w:t>
      </w:r>
      <w:r>
        <w:rPr>
          <w:b/>
        </w:rPr>
        <w:t xml:space="preserve">23.0 OCR items per clip against 14.5 for the centre frame</w:t>
      </w:r>
      <w:r>
        <w:t xml:space="preserve">, a 59% increase, and agrees with the centre baseline more closely than fixed three-frame sampling on both OCR (0.3115 vs 0.3027) and tags (0.675 vs 0.650) while using more frames. Two findings cut against a simple "more frames is better" reading. First, fixed three-frame sampling is </w:t>
      </w:r>
      <w:r>
        <w:rPr>
          <w:i/>
        </w:rPr>
        <w:t xml:space="preserve">worse than the single centre frame</w:t>
      </w:r>
      <w:r>
        <w:t xml:space="preserve"> on OCR coverage — 3.0 items against 14.5 — because the dense OCR probe that supplies the centre-frame policy is replaced by three sparse frames that mostly miss short-lived captions. Second, mean stability is lowest for the scene-aware policy (0.5318): it changes the published output on roughly half of the measured comparisons. Coverage and stability trade directly, and the choice of scene-aware sampling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rPr>
          <w:b/>
          <w:highlight w:val="yellow"/>
          <w:b/>
        </w:rPr>
        <w:t xml:space="preserve">`[TO FILL — this subsection has no numbers yet.]` Re-run Section 14 of `notebooks/01_metadata_pipeline.ipynb` and capture the per-field agreement report. Report, for each of the five fields over all 626 clips: the distribution over `observed` / `not_detected` / `not_applicable` / `conflict` / `error`; the distribution over agreement tiers (`high` ≥ 0.75, `moderate` ≥ 0.50, `low` &lt; 0.50, `not_scored`); the mean agreement score; and the proportion with `needs_caution = true`. This is the central RQ2 table and the paper cannot be submitted without it.</w:t>
      </w:r>
    </w:p>
    <w:p>
      <w:pPr>
        <w:pStyle w:val="BodyText"/>
      </w:pPr>
      <w:r>
        <w:t xml:space="preserve">Two properties of this table are predictable from the design and should be stated when it is produced. On-screen text will show an elevated </w:t>
      </w:r>
      <w:r>
        <w:rPr>
          <w:rFonts w:ascii="Consolas" w:hAnsi="Consolas"/>
          <w:sz w:val="16"/>
        </w:rPr>
        <w:t xml:space="preserve">not_detected</w:t>
      </w:r>
      <w:r>
        <w:t xml:space="preserve"> and </w:t>
      </w:r>
      <w:r>
        <w:rPr>
          <w:rFonts w:ascii="Consolas" w:hAnsi="Consolas"/>
          <w:sz w:val="16"/>
        </w:rPr>
        <w:t xml:space="preserve">conflict</w:t>
      </w:r>
      <w:r>
        <w:t xml:space="preserve"> rate, because the dual-engine veto in III-D is deliberately conservative. And single-source fields will appear as </w:t>
      </w:r>
      <w:r>
        <w:rPr>
          <w:rFonts w:ascii="Consolas" w:hAnsi="Consolas"/>
          <w:sz w:val="16"/>
        </w:rPr>
        <w:t xml:space="preserve">not_scored</w:t>
      </w:r>
      <w:r>
        <w:t xml:space="preserve"> rather than as low agreement, because one source cannot establish corroboration.</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RQ2 is not yet reported.</w:t>
      </w:r>
      <w:r>
        <w:t xml:space="preserve"> The agreement distribution table is outstanding </w:t>
      </w:r>
      <w:r>
        <w:rPr>
          <w:b/>
          <w:highlight w:val="yellow"/>
          <w:b/>
        </w:rPr>
        <w:t xml:space="preserve">`[TO FILL]`</w:t>
      </w:r>
      <w:r>
        <w:t xml:space="preserve">.</w:t>
      </w:r>
    </w:p>
    <w:p>
      <w:pPr>
        <w:pStyle w:val="BodyText"/>
      </w:pPr>
      <w:r>
        <w:t xml:space="preserve">4. </w:t>
      </w:r>
      <w:r>
        <w:rPr>
          <w:b/>
        </w:rPr>
        <w:t xml:space="preserve">Correlated sources.</w:t>
      </w:r>
      <w:r>
        <w:t xml:space="preserve"> CLIP ViT-B/32 and ViT-L/14 share architecture and training objective; Whisper-small and -turbo share both. Agreement between them overstates independence, inflating scores on transcript and visual tags relative to fields whose sources are genuinely unrelated.</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 coverage and stability trade against each other under scene-aware sampling (23.0 vs 14.5 OCR items, stability 0.53);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Gate the ASR stage on Whisper's own language-identification output, so that a mis-identified clip is flagged rather than propagated into the transcript-derived keyword field. (vi) Test shot-boundary clip segmentation against the fixed 30-second grid.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verify every entry against the published record — volume, pages, DOI — before submission. Entries below are correct as to authorship, venue and year.]`</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