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 A post-hoc shot-detection pass over the corpus puts a number on the cost: 72.2% of published clips span at least one shot cut and 22.8% span two or more, so the one-visual-context-per-clip assumption behind per-clip consensus fails in roughly three-quarters of cases.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keepNext/>
        <w:keepLines/>
        <w:jc w:val="center"/>
        <w:ind w:start="0" w:end="0" w:firstLine="0"/>
        <w:spacing w:before="120" w:after="0" w:line="240" w:lineRule="auto"/>
      </w:pPr>
      <w:r>
        <w:drawing>
          <wp:inline distT="0" distB="0" distL="0" distR="0">
            <wp:extent cx="2971800" cy="1989747"/>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1.png"/>
                    <pic:cNvPicPr/>
                  </pic:nvPicPr>
                  <pic:blipFill>
                    <a:blip r:embed="rId100"/>
                    <a:stretch>
                      <a:fillRect/>
                    </a:stretch>
                  </pic:blipFill>
                  <pic:spPr>
                    <a:xfrm>
                      <a:off x="0" y="0"/>
                      <a:ext cx="2971800" cy="1989747"/>
                    </a:xfrm>
                    <a:prstGeom prst="rect">
                      <a:avLst/>
                    </a:prstGeom>
                  </pic:spPr>
                </pic:pic>
              </a:graphicData>
            </a:graphic>
          </wp:inline>
        </w:drawing>
      </w:r>
    </w:p>
    <w:p>
      <w:pPr>
        <w:pStyle w:val="figurecaption"/>
        <w:keepLines/>
      </w:pPr>
      <w:r>
        <w:t xml:space="preserve">Distribution of per-clip agreement tiers for the five published fields, ordered by mean agreement. The mean for each field is printed at the right. Fields whose evidence sources share an architecture or an input collapse into the lowest tier: keywords, whose three extractors read one Whisper transcript, place 99.0% of clips there, and on-screen text reaches high agreement on no clip at all.</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keepNext/>
        <w:keepLines/>
        <w:jc w:val="center"/>
        <w:ind w:start="0" w:end="0" w:firstLine="0"/>
        <w:spacing w:before="120" w:after="0" w:line="240" w:lineRule="auto"/>
      </w:pPr>
      <w:r>
        <w:drawing>
          <wp:inline distT="0" distB="0" distL="0" distR="0">
            <wp:extent cx="2971800" cy="2110752"/>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2.png"/>
                    <pic:cNvPicPr/>
                  </pic:nvPicPr>
                  <pic:blipFill>
                    <a:blip r:embed="rId101"/>
                    <a:stretch>
                      <a:fillRect/>
                    </a:stretch>
                  </pic:blipFill>
                  <pic:spPr>
                    <a:xfrm>
                      <a:off x="0" y="0"/>
                      <a:ext cx="2971800" cy="2110752"/>
                    </a:xfrm>
                    <a:prstGeom prst="rect">
                      <a:avLst/>
                    </a:prstGeom>
                  </pic:spPr>
                </pic:pic>
              </a:graphicData>
            </a:graphic>
          </wp:inline>
        </w:drawing>
      </w:r>
    </w:p>
    <w:p>
      <w:pPr>
        <w:pStyle w:val="figurecaption"/>
        <w:keepLines/>
      </w:pPr>
      <w:r>
        <w:t xml:space="preserve">Stability of three fields under three visual degradations (</w:t>
      </w:r>
      <w:r>
        <w:rPr>
          <w:i/>
        </w:rPr>
        <w:t xml:space="preserve">n</w:t>
      </w:r>
      <w:r>
        <w:t xml:space="preserve"> = 5 calibration clips). Robustness is field-dependent, not pipeline-wide: under Gaussian blur, visual tagging retains 0.96 of its output while on-screen text retains 0.07, a 13-fold spread under one perturbation.</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keepNext/>
        <w:keepLines/>
        <w:jc w:val="center"/>
        <w:ind w:start="0" w:end="0" w:firstLine="0"/>
        <w:spacing w:before="120" w:after="0" w:line="240" w:lineRule="auto"/>
      </w:pPr>
      <w:r>
        <w:drawing>
          <wp:inline distT="0" distB="0" distL="0" distR="0">
            <wp:extent cx="2971800" cy="1972594"/>
            <wp:effectExtent l="0" t="0" r="0" b="0"/>
            <wp:docPr id="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3.png"/>
                    <pic:cNvPicPr/>
                  </pic:nvPicPr>
                  <pic:blipFill>
                    <a:blip r:embed="rId102"/>
                    <a:stretch>
                      <a:fillRect/>
                    </a:stretch>
                  </pic:blipFill>
                  <pic:spPr>
                    <a:xfrm>
                      <a:off x="0" y="0"/>
                      <a:ext cx="2971800" cy="1972594"/>
                    </a:xfrm>
                    <a:prstGeom prst="rect">
                      <a:avLst/>
                    </a:prstGeom>
                  </pic:spPr>
                </pic:pic>
              </a:graphicData>
            </a:graphic>
          </wp:inline>
        </w:drawing>
      </w:r>
    </w:p>
    <w:p>
      <w:pPr>
        <w:pStyle w:val="figurecaption"/>
        <w:keepLines/>
      </w:pPr>
      <w:r>
        <w:t xml:space="preserve">Two distinct quantities for the hosted annotator, by field (</w:t>
      </w:r>
      <w:r>
        <w:rPr>
          <w:i/>
        </w:rPr>
        <w:t xml:space="preserve">n</w:t>
      </w:r>
      <w:r>
        <w:t xml:space="preserve"> = 626). On visual tags the annotator agrees with the local consensus on 0.419 of clips yet changes the published tag set on 0.490 of them; on on-screen text the dual-engine veto holds the change rate to exactly zero.</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keepNext/>
        <w:keepLines/>
        <w:jc w:val="center"/>
        <w:ind w:start="0" w:end="0" w:firstLine="0"/>
        <w:spacing w:before="120" w:after="0" w:line="240" w:lineRule="auto"/>
      </w:pPr>
      <w:r>
        <w:drawing>
          <wp:inline distT="0" distB="0" distL="0" distR="0">
            <wp:extent cx="2971800" cy="2454054"/>
            <wp:effectExtent l="0" t="0" r="0" b="0"/>
            <wp:docPr id="9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4.png"/>
                    <pic:cNvPicPr/>
                  </pic:nvPicPr>
                  <pic:blipFill>
                    <a:blip r:embed="rId103"/>
                    <a:stretch>
                      <a:fillRect/>
                    </a:stretch>
                  </pic:blipFill>
                  <pic:spPr>
                    <a:xfrm>
                      <a:off x="0" y="0"/>
                      <a:ext cx="2971800" cy="2454054"/>
                    </a:xfrm>
                    <a:prstGeom prst="rect">
                      <a:avLst/>
                    </a:prstGeom>
                  </pic:spPr>
                </pic:pic>
              </a:graphicData>
            </a:graphic>
          </wp:inline>
        </w:drawing>
      </w:r>
    </w:p>
    <w:p>
      <w:pPr>
        <w:pStyle w:val="figurecaption"/>
        <w:keepLines/>
      </w:pPr>
      <w:r>
        <w:t xml:space="preserve">Agreement of seven open-weight vision-language models with the pipeline consensus, one panel per field (</w:t>
      </w:r>
      <w:r>
        <w:rPr>
          <w:i/>
        </w:rPr>
        <w:t xml:space="preserve">n</w:t>
      </w:r>
      <w:r>
        <w:t xml:space="preserve"> = 626, 21,489 scores). Model names are abbreviated: Qwen = Qwen3-VL, IVL3 = InternVL3, -I = Instruct, -T = Thinking. The leading value in each field is labelled. InternVL3-2B, the smallest model in the study, leads on-screen text, visual tags and people count, and beats its own 8B sibling on all three. Transcript is at or near zero for every model, none of which accepts audio. † int4-quantised.</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Re-annotate the shot-boundary partition and score it against fresh human labels; the partitions themselves have now been compared (§I-C), but without annotation on the scene grid the contamination figure cannot be turned into an accuracy result.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figure1.png"/><Relationship Id="rId101" Type="http://schemas.openxmlformats.org/officeDocument/2006/relationships/image" Target="media/figure2.png"/><Relationship Id="rId102" Type="http://schemas.openxmlformats.org/officeDocument/2006/relationships/image" Target="media/figure3.png"/><Relationship Id="rId103" Type="http://schemas.openxmlformats.org/officeDocument/2006/relationships/image" Target="media/figur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