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jc w:val="center"/>
      </w:pPr>
      <w:r>
        <w:rPr>
          <w:rFonts w:ascii="Times New Roman" w:cs="Times New Roman" w:eastAsia="Times New Roman" w:hAnsi="Times New Roman"/>
          <w:b/>
          <w:bCs/>
          <w:color w:val="1A3A5C"/>
          <w:sz w:val="30"/>
          <w:szCs w:val="30"/>
        </w:rPr>
        <w:t xml:space="preserve">KALINGA INSTITUTE OF INDUSTRIAL TECHNOLOGY (KIIT)</w:t>
      </w:r>
    </w:p>
    <w:p>
      <w:pPr>
        <w:spacing w:after="40" w:before="0"/>
        <w:jc w:val="center"/>
      </w:pPr>
      <w:r>
        <w:rPr>
          <w:rFonts w:ascii="Times New Roman" w:cs="Times New Roman" w:eastAsia="Times New Roman" w:hAnsi="Times New Roman"/>
          <w:i/>
          <w:iCs/>
          <w:color w:val="555555"/>
          <w:sz w:val="21"/>
          <w:szCs w:val="21"/>
        </w:rPr>
        <w:t xml:space="preserve">Deemed to be University — U/S 3 of UGC Act, 1956</w:t>
      </w:r>
    </w:p>
    <w:p>
      <w:pPr>
        <w:spacing w:after="0" w:before="320"/>
      </w:pPr>
    </w:p>
    <w:p>
      <w:pPr>
        <w:spacing w:after="60" w:before="200"/>
        <w:jc w:val="center"/>
      </w:pPr>
      <w:r>
        <w:rPr>
          <w:rFonts w:ascii="Times New Roman" w:cs="Times New Roman" w:eastAsia="Times New Roman" w:hAnsi="Times New Roman"/>
          <w:b/>
          <w:bCs/>
          <w:color w:val="1A3A5C"/>
          <w:sz w:val="44"/>
          <w:szCs w:val="44"/>
        </w:rPr>
        <w:t xml:space="preserve">PROJECT DOCUMENTATION</w:t>
      </w:r>
    </w:p>
    <w:p>
      <w:pPr>
        <w:pBdr>
          <w:bottom w:val="single" w:color="2E75B6" w:sz="8" w:space="1"/>
        </w:pBdr>
        <w:spacing w:after="60" w:before="60"/>
        <w:jc w:val="center"/>
      </w:pPr>
    </w:p>
    <w:p>
      <w:pPr>
        <w:spacing w:after="60" w:before="160"/>
        <w:jc w:val="center"/>
      </w:pPr>
      <w:r>
        <w:rPr>
          <w:rFonts w:ascii="Times New Roman" w:cs="Times New Roman" w:eastAsia="Times New Roman" w:hAnsi="Times New Roman"/>
          <w:b/>
          <w:bCs/>
          <w:color w:val="2E75B6"/>
          <w:sz w:val="28"/>
          <w:szCs w:val="28"/>
        </w:rPr>
        <w:t xml:space="preserve">ORDER-TO-CASH (O2C) PROCESS INTEGRATION IN SAP SD</w:t>
      </w:r>
    </w:p>
    <w:p>
      <w:pPr>
        <w:spacing w:after="0" w:before="400"/>
      </w:pPr>
    </w:p>
    <w:p>
      <w:pPr>
        <w:spacing w:after="40" w:before="80"/>
        <w:jc w:val="center"/>
      </w:pPr>
      <w:r>
        <w:rPr>
          <w:rFonts w:ascii="Times New Roman" w:cs="Times New Roman" w:eastAsia="Times New Roman" w:hAnsi="Times New Roman"/>
          <w:i/>
          <w:iCs/>
          <w:color w:val="555555"/>
          <w:sz w:val="22"/>
          <w:szCs w:val="22"/>
        </w:rPr>
        <w:t xml:space="preserve">Submitted By</w:t>
      </w:r>
    </w:p>
    <w:p>
      <w:pPr>
        <w:spacing w:after="40" w:before="40"/>
        <w:jc w:val="center"/>
      </w:pPr>
      <w:r>
        <w:rPr>
          <w:rFonts w:ascii="Times New Roman" w:cs="Times New Roman" w:eastAsia="Times New Roman" w:hAnsi="Times New Roman"/>
          <w:b/>
          <w:bCs/>
          <w:color w:val="1A3A5C"/>
          <w:sz w:val="34"/>
          <w:szCs w:val="34"/>
        </w:rPr>
        <w:t xml:space="preserve">SAURABH SHARMA</w:t>
      </w:r>
    </w:p>
    <w:p>
      <w:pPr>
        <w:spacing w:after="30" w:before="40"/>
        <w:jc w:val="center"/>
      </w:pPr>
      <w:r>
        <w:rPr>
          <w:rFonts w:ascii="Times New Roman" w:cs="Times New Roman" w:eastAsia="Times New Roman" w:hAnsi="Times New Roman"/>
          <w:sz w:val="22"/>
          <w:szCs w:val="22"/>
        </w:rPr>
        <w:t xml:space="preserve">Roll Number: 2305076</w:t>
      </w:r>
    </w:p>
    <w:p>
      <w:pPr>
        <w:spacing w:after="30" w:before="30"/>
        <w:jc w:val="center"/>
      </w:pPr>
      <w:r>
        <w:rPr>
          <w:rFonts w:ascii="Times New Roman" w:cs="Times New Roman" w:eastAsia="Times New Roman" w:hAnsi="Times New Roman"/>
          <w:b/>
          <w:bCs/>
          <w:sz w:val="22"/>
          <w:szCs w:val="22"/>
        </w:rPr>
        <w:t xml:space="preserve">Program: SAP Integration Developer</w:t>
      </w:r>
    </w:p>
    <w:p>
      <w:pPr>
        <w:spacing w:after="30" w:before="30"/>
        <w:jc w:val="center"/>
      </w:pPr>
      <w:r>
        <w:rPr>
          <w:rFonts w:ascii="Times New Roman" w:cs="Times New Roman" w:eastAsia="Times New Roman" w:hAnsi="Times New Roman"/>
          <w:sz w:val="22"/>
          <w:szCs w:val="22"/>
        </w:rPr>
        <w:t xml:space="preserve">University: Kalinga Institute of Industrial Technology (KIIT)</w:t>
      </w:r>
    </w:p>
    <w:p>
      <w:pPr>
        <w:spacing w:after="30" w:before="30"/>
        <w:jc w:val="center"/>
      </w:pPr>
      <w:r>
        <w:rPr>
          <w:rFonts w:ascii="Times New Roman" w:cs="Times New Roman" w:eastAsia="Times New Roman" w:hAnsi="Times New Roman"/>
          <w:sz w:val="22"/>
          <w:szCs w:val="22"/>
        </w:rPr>
        <w:t xml:space="preserve">Submission Date: April 21, 2026</w:t>
      </w:r>
    </w:p>
    <w:p>
      <w:pPr>
        <w:spacing w:after="60" w:before="30"/>
        <w:jc w:val="center"/>
      </w:pPr>
      <w:r>
        <w:rPr>
          <w:rFonts w:ascii="Times New Roman" w:cs="Times New Roman" w:eastAsia="Times New Roman" w:hAnsi="Times New Roman"/>
          <w:sz w:val="22"/>
          <w:szCs w:val="22"/>
        </w:rPr>
        <w:t xml:space="preserve">Academic Year: 2025–26</w:t>
      </w:r>
    </w:p>
    <w:p>
      <w:pPr>
        <w:pBdr>
          <w:bottom w:val="single" w:color="2E75B6" w:sz="8" w:space="1"/>
        </w:pBdr>
        <w:spacing w:after="100" w:before="100"/>
        <w:jc w:val="center"/>
      </w:pPr>
    </w:p>
    <w:p>
      <w:pPr>
        <w:spacing w:after="0" w:before="240"/>
      </w:pPr>
    </w:p>
    <w:p>
      <w:pPr>
        <w:pBdr>
          <w:bottom w:val="single" w:color="2E75B6" w:sz="4" w:space="1"/>
        </w:pBdr>
        <w:spacing w:after="160" w:before="360"/>
      </w:pPr>
      <w:r>
        <w:rPr>
          <w:rFonts w:ascii="Times New Roman" w:cs="Times New Roman" w:eastAsia="Times New Roman" w:hAnsi="Times New Roman"/>
          <w:b/>
          <w:bCs/>
          <w:color w:val="1A3A5C"/>
          <w:sz w:val="32"/>
          <w:szCs w:val="32"/>
        </w:rPr>
        <w:t xml:space="preserve">1. ABSTRACT</w:t>
      </w:r>
    </w:p>
    <w:p>
      <w:pPr>
        <w:spacing w:after="140" w:before="80"/>
      </w:pPr>
      <w:r>
        <w:rPr>
          <w:rFonts w:ascii="Times New Roman" w:cs="Times New Roman" w:eastAsia="Times New Roman" w:hAnsi="Times New Roman"/>
          <w:sz w:val="22"/>
          <w:szCs w:val="22"/>
        </w:rPr>
        <w:t xml:space="preserve">This project documentation provides a comprehensive account of the design, configuration, and end-to-end implementation of the Order-to-Cash (O2C) business integration cycle within the SAP Sales &amp; Distribution (SD) module. The project is executed from the perspective of an SAP Integration Developer, with emphasis on cross-module data flow architecture, event-driven automation, master data integration contracts, and external system connectivity via BAPI and IDOC interfaces.</w:t>
      </w:r>
    </w:p>
    <w:p>
      <w:pPr>
        <w:spacing w:after="140" w:before="80"/>
      </w:pPr>
      <w:r>
        <w:rPr>
          <w:rFonts w:ascii="Times New Roman" w:cs="Times New Roman" w:eastAsia="Times New Roman" w:hAnsi="Times New Roman"/>
          <w:sz w:val="22"/>
          <w:szCs w:val="22"/>
        </w:rPr>
        <w:t xml:space="preserve">The implementation is demonstrated on a fictitious enterprise — VKJ Trading Co. Pvt. Ltd. — spanning the complete O2C chain: from enterprise structure configuration and master data provisioning through inquiry, quotation, sales order orchestration, availability-to-promise (ATP) validation, outbound delivery execution with Post Goods Issue (PGI), billing document creation, and final payment clearing. Each phase of the cycle is documented with configuration rationale, integration event descriptions, system screenshots, and technical insights relevant to integration development.</w:t>
      </w:r>
    </w:p>
    <w:p>
      <w:pPr>
        <w:spacing w:after="140" w:before="80"/>
      </w:pPr>
      <w:r>
        <w:rPr>
          <w:rFonts w:ascii="Times New Roman" w:cs="Times New Roman" w:eastAsia="Times New Roman" w:hAnsi="Times New Roman"/>
          <w:sz w:val="22"/>
          <w:szCs w:val="22"/>
        </w:rPr>
        <w:t xml:space="preserve">The project demonstrates a holistic understanding of SAP SD module mechanics, the integration architecture connecting SD to MM, FI, and WM modules in real time, and the extension interfaces (BAPIs, IDOCs, Output Determination) that connect SAP to the broader enterprise ecosystem.</w:t>
      </w:r>
    </w:p>
    <w:p>
      <w:pPr>
        <w:pBdr>
          <w:left w:val="single" w:color="2E75B6" w:sz="8" w:space="8"/>
        </w:pBdr>
        <w:spacing w:after="120" w:before="100"/>
        <w:ind w:left="500"/>
      </w:pPr>
      <w:r>
        <w:rPr>
          <w:rFonts w:ascii="Times New Roman" w:cs="Times New Roman" w:eastAsia="Times New Roman" w:hAnsi="Times New Roman"/>
          <w:i/>
          <w:iCs/>
          <w:color w:val="444444"/>
          <w:sz w:val="21"/>
          <w:szCs w:val="21"/>
        </w:rPr>
        <w:t xml:space="preserve">Key Insight: The O2C cycle is not a single-module workflow. It is a choreography of system events across SAP SD, MM, FI, and WM — each transaction acting as an integration trigger for the next. Mastering this integration chain is a core competency of an SAP Integration Developer.</w:t>
      </w:r>
    </w:p>
    <w:p>
      <w:pPr>
        <w:spacing w:after="0" w:before="160"/>
      </w:pPr>
    </w:p>
    <w:p>
      <w:pPr>
        <w:pBdr>
          <w:bottom w:val="single" w:color="2E75B6" w:sz="4" w:space="1"/>
        </w:pBdr>
        <w:spacing w:after="160" w:before="360"/>
      </w:pPr>
      <w:r>
        <w:rPr>
          <w:rFonts w:ascii="Times New Roman" w:cs="Times New Roman" w:eastAsia="Times New Roman" w:hAnsi="Times New Roman"/>
          <w:b/>
          <w:bCs/>
          <w:color w:val="1A3A5C"/>
          <w:sz w:val="32"/>
          <w:szCs w:val="32"/>
        </w:rPr>
        <w:t xml:space="preserve">2. INTRODUCTION</w:t>
      </w:r>
    </w:p>
    <w:p>
      <w:pPr>
        <w:spacing w:after="120" w:before="240"/>
      </w:pPr>
      <w:r>
        <w:rPr>
          <w:rFonts w:ascii="Times New Roman" w:cs="Times New Roman" w:eastAsia="Times New Roman" w:hAnsi="Times New Roman"/>
          <w:b/>
          <w:bCs/>
          <w:color w:val="2E75B6"/>
          <w:sz w:val="26"/>
          <w:szCs w:val="26"/>
        </w:rPr>
        <w:t xml:space="preserve">2.1 About SAP ERP</w:t>
      </w:r>
    </w:p>
    <w:p>
      <w:pPr>
        <w:spacing w:after="140" w:before="80"/>
      </w:pPr>
      <w:r>
        <w:rPr>
          <w:rFonts w:ascii="Times New Roman" w:cs="Times New Roman" w:eastAsia="Times New Roman" w:hAnsi="Times New Roman"/>
          <w:sz w:val="22"/>
          <w:szCs w:val="22"/>
        </w:rPr>
        <w:t xml:space="preserve">SAP SE (Systems, Applications, and Products in Data Processing) is the world's leading provider of enterprise resource planning software, with its platform deployed across more than 400,000 organizations globally. SAP's architecture is built around the concept of deeply integrated business modules that share a common database, eliminating data silos and enabling real-time cross-functional business operations.</w:t>
      </w:r>
    </w:p>
    <w:p>
      <w:pPr>
        <w:spacing w:after="140" w:before="80"/>
      </w:pPr>
      <w:r>
        <w:rPr>
          <w:rFonts w:ascii="Times New Roman" w:cs="Times New Roman" w:eastAsia="Times New Roman" w:hAnsi="Times New Roman"/>
          <w:sz w:val="22"/>
          <w:szCs w:val="22"/>
        </w:rPr>
        <w:t xml:space="preserve">The SAP ERP suite encompasses modules for Financial Accounting (FI), Controlling (CO), Materials Management (MM), Sales &amp; Distribution (SD), Warehouse Management (WM), Production Planning (PP), Human Resources (HR), and many others. The power of SAP lies not in these modules individually, but in the automatic, event-driven integration flows that operate between them.</w:t>
      </w:r>
    </w:p>
    <w:p>
      <w:pPr>
        <w:spacing w:after="120" w:before="240"/>
      </w:pPr>
      <w:r>
        <w:rPr>
          <w:rFonts w:ascii="Times New Roman" w:cs="Times New Roman" w:eastAsia="Times New Roman" w:hAnsi="Times New Roman"/>
          <w:b/>
          <w:bCs/>
          <w:color w:val="2E75B6"/>
          <w:sz w:val="26"/>
          <w:szCs w:val="26"/>
        </w:rPr>
        <w:t xml:space="preserve">2.2 The SAP SD Module</w:t>
      </w:r>
    </w:p>
    <w:p>
      <w:pPr>
        <w:spacing w:after="140" w:before="80"/>
      </w:pPr>
      <w:r>
        <w:rPr>
          <w:rFonts w:ascii="Times New Roman" w:cs="Times New Roman" w:eastAsia="Times New Roman" w:hAnsi="Times New Roman"/>
          <w:sz w:val="22"/>
          <w:szCs w:val="22"/>
        </w:rPr>
        <w:t xml:space="preserve">The Sales &amp; Distribution (SD) module governs the complete commercial lifecycle of an enterprise — from the first customer interaction through final payment reconciliation. It is the primary interface between the enterprise and its customers, managing all aspects of order management, pricing, delivery, billing, and revenue recognition.</w:t>
      </w:r>
    </w:p>
    <w:p>
      <w:pPr>
        <w:spacing w:after="140" w:before="80"/>
      </w:pPr>
      <w:r>
        <w:rPr>
          <w:rFonts w:ascii="Times New Roman" w:cs="Times New Roman" w:eastAsia="Times New Roman" w:hAnsi="Times New Roman"/>
          <w:sz w:val="22"/>
          <w:szCs w:val="22"/>
        </w:rPr>
        <w:t xml:space="preserve">SAP SD is organized around the following core functional areas:</w:t>
      </w:r>
    </w:p>
    <w:p>
      <w:pPr>
        <w:pStyle w:val="ListParagraph"/>
        <w:numPr>
          <w:ilvl w:val="0"/>
          <w:numId w:val="2"/>
        </w:numPr>
        <w:spacing w:after="60" w:before="60"/>
      </w:pPr>
      <w:r>
        <w:rPr>
          <w:rFonts w:ascii="Times New Roman" w:cs="Times New Roman" w:eastAsia="Times New Roman" w:hAnsi="Times New Roman"/>
          <w:sz w:val="22"/>
          <w:szCs w:val="22"/>
        </w:rPr>
        <w:t xml:space="preserve">Pre-Sales Activities: Inquiry (VA11) and Quotation (VA21) management</w:t>
      </w:r>
    </w:p>
    <w:p>
      <w:pPr>
        <w:pStyle w:val="ListParagraph"/>
        <w:numPr>
          <w:ilvl w:val="0"/>
          <w:numId w:val="2"/>
        </w:numPr>
        <w:spacing w:after="60" w:before="60"/>
      </w:pPr>
      <w:r>
        <w:rPr>
          <w:rFonts w:ascii="Times New Roman" w:cs="Times New Roman" w:eastAsia="Times New Roman" w:hAnsi="Times New Roman"/>
          <w:sz w:val="22"/>
          <w:szCs w:val="22"/>
        </w:rPr>
        <w:t xml:space="preserve">Sales Order Management: Standard Order (VA01) creation and management</w:t>
      </w:r>
    </w:p>
    <w:p>
      <w:pPr>
        <w:pStyle w:val="ListParagraph"/>
        <w:numPr>
          <w:ilvl w:val="0"/>
          <w:numId w:val="2"/>
        </w:numPr>
        <w:spacing w:after="60" w:before="60"/>
      </w:pPr>
      <w:r>
        <w:rPr>
          <w:rFonts w:ascii="Times New Roman" w:cs="Times New Roman" w:eastAsia="Times New Roman" w:hAnsi="Times New Roman"/>
          <w:sz w:val="22"/>
          <w:szCs w:val="22"/>
        </w:rPr>
        <w:t xml:space="preserve">Shipping &amp; Transportation: Outbound Delivery (VL01N) and logistics execution</w:t>
      </w:r>
    </w:p>
    <w:p>
      <w:pPr>
        <w:pStyle w:val="ListParagraph"/>
        <w:numPr>
          <w:ilvl w:val="0"/>
          <w:numId w:val="2"/>
        </w:numPr>
        <w:spacing w:after="60" w:before="60"/>
      </w:pPr>
      <w:r>
        <w:rPr>
          <w:rFonts w:ascii="Times New Roman" w:cs="Times New Roman" w:eastAsia="Times New Roman" w:hAnsi="Times New Roman"/>
          <w:sz w:val="22"/>
          <w:szCs w:val="22"/>
        </w:rPr>
        <w:t xml:space="preserve">Billing: Customer Invoice (VF01) creation and posting</w:t>
      </w:r>
    </w:p>
    <w:p>
      <w:pPr>
        <w:pStyle w:val="ListParagraph"/>
        <w:numPr>
          <w:ilvl w:val="0"/>
          <w:numId w:val="2"/>
        </w:numPr>
        <w:spacing w:after="60" w:before="60"/>
      </w:pPr>
      <w:r>
        <w:rPr>
          <w:rFonts w:ascii="Times New Roman" w:cs="Times New Roman" w:eastAsia="Times New Roman" w:hAnsi="Times New Roman"/>
          <w:sz w:val="22"/>
          <w:szCs w:val="22"/>
        </w:rPr>
        <w:t xml:space="preserve">Master Data: Customer Master (XD01) and Material Master (MM01) management</w:t>
      </w:r>
    </w:p>
    <w:p>
      <w:pPr>
        <w:spacing w:after="120" w:before="240"/>
      </w:pPr>
      <w:r>
        <w:rPr>
          <w:rFonts w:ascii="Times New Roman" w:cs="Times New Roman" w:eastAsia="Times New Roman" w:hAnsi="Times New Roman"/>
          <w:b/>
          <w:bCs/>
          <w:color w:val="2E75B6"/>
          <w:sz w:val="26"/>
          <w:szCs w:val="26"/>
        </w:rPr>
        <w:t xml:space="preserve">2.3 The Order-to-Cash (O2C) Cycle</w:t>
      </w:r>
    </w:p>
    <w:p>
      <w:pPr>
        <w:spacing w:after="140" w:before="80"/>
      </w:pPr>
      <w:r>
        <w:rPr>
          <w:rFonts w:ascii="Times New Roman" w:cs="Times New Roman" w:eastAsia="Times New Roman" w:hAnsi="Times New Roman"/>
          <w:sz w:val="22"/>
          <w:szCs w:val="22"/>
        </w:rPr>
        <w:t xml:space="preserve">The Order-to-Cash (O2C) cycle — also referred to as the Quote-to-Cash or Lead-to-Cash process — represents the end-to-end flow from the moment a customer places an order to the moment payment is received and recorded. It is one of the most strategically significant business processes in any commercial enterprise, directly impacting revenue velocity, cash conversion cycles, and customer satisfaction.</w:t>
      </w:r>
    </w:p>
    <w:p>
      <w:pPr>
        <w:spacing w:after="140" w:before="80"/>
      </w:pPr>
      <w:r>
        <w:rPr>
          <w:rFonts w:ascii="Times New Roman" w:cs="Times New Roman" w:eastAsia="Times New Roman" w:hAnsi="Times New Roman"/>
          <w:sz w:val="22"/>
          <w:szCs w:val="22"/>
        </w:rPr>
        <w:t xml:space="preserve">From an integration perspective, the O2C cycle is particularly significant because it traverses multiple SAP modules, with each module handoff representing a critical integration event. An order confirmed in SD must trigger an inventory reservation in MM. A goods issue in WM must automatically create a financial posting in FI. A billing document in SD must instantaneously create accounts receivable entries in FI. These are not manual handoffs — they are automated integration contracts, and it is the SAP Integration Developer's responsibility to configure, maintain, and extend them.</w:t>
      </w:r>
    </w:p>
    <w:p>
      <w:pPr>
        <w:spacing w:after="120" w:before="240"/>
      </w:pPr>
      <w:r>
        <w:rPr>
          <w:rFonts w:ascii="Times New Roman" w:cs="Times New Roman" w:eastAsia="Times New Roman" w:hAnsi="Times New Roman"/>
          <w:b/>
          <w:bCs/>
          <w:color w:val="2E75B6"/>
          <w:sz w:val="26"/>
          <w:szCs w:val="26"/>
        </w:rPr>
        <w:t xml:space="preserve">2.4 Project Objectives</w:t>
      </w:r>
    </w:p>
    <w:p>
      <w:pPr>
        <w:pStyle w:val="ListParagraph"/>
        <w:numPr>
          <w:ilvl w:val="0"/>
          <w:numId w:val="2"/>
        </w:numPr>
        <w:spacing w:after="60" w:before="60"/>
      </w:pPr>
      <w:r>
        <w:rPr>
          <w:rFonts w:ascii="Times New Roman" w:cs="Times New Roman" w:eastAsia="Times New Roman" w:hAnsi="Times New Roman"/>
          <w:sz w:val="22"/>
          <w:szCs w:val="22"/>
        </w:rPr>
        <w:t xml:space="preserve">Configure the complete SAP organizational structure for VKJ Trading Co. — a conceptual trading enterprise</w:t>
      </w:r>
    </w:p>
    <w:p>
      <w:pPr>
        <w:pStyle w:val="ListParagraph"/>
        <w:numPr>
          <w:ilvl w:val="0"/>
          <w:numId w:val="2"/>
        </w:numPr>
        <w:spacing w:after="60" w:before="60"/>
      </w:pPr>
      <w:r>
        <w:rPr>
          <w:rFonts w:ascii="Times New Roman" w:cs="Times New Roman" w:eastAsia="Times New Roman" w:hAnsi="Times New Roman"/>
          <w:sz w:val="22"/>
          <w:szCs w:val="22"/>
        </w:rPr>
        <w:t xml:space="preserve">Implement end-to-end O2C process covering all 7 core integration steps</w:t>
      </w:r>
    </w:p>
    <w:p>
      <w:pPr>
        <w:pStyle w:val="ListParagraph"/>
        <w:numPr>
          <w:ilvl w:val="0"/>
          <w:numId w:val="2"/>
        </w:numPr>
        <w:spacing w:after="60" w:before="60"/>
      </w:pPr>
      <w:r>
        <w:rPr>
          <w:rFonts w:ascii="Times New Roman" w:cs="Times New Roman" w:eastAsia="Times New Roman" w:hAnsi="Times New Roman"/>
          <w:sz w:val="22"/>
          <w:szCs w:val="22"/>
        </w:rPr>
        <w:t xml:space="preserve">Document all integration touchpoints between SD, MM, FI, and WM modules</w:t>
      </w:r>
    </w:p>
    <w:p>
      <w:pPr>
        <w:pStyle w:val="ListParagraph"/>
        <w:numPr>
          <w:ilvl w:val="0"/>
          <w:numId w:val="2"/>
        </w:numPr>
        <w:spacing w:after="60" w:before="60"/>
      </w:pPr>
      <w:r>
        <w:rPr>
          <w:rFonts w:ascii="Times New Roman" w:cs="Times New Roman" w:eastAsia="Times New Roman" w:hAnsi="Times New Roman"/>
          <w:sz w:val="22"/>
          <w:szCs w:val="22"/>
        </w:rPr>
        <w:t xml:space="preserve">Design and document the BAPI and IDOC integration interfaces for external connectivity</w:t>
      </w:r>
    </w:p>
    <w:p>
      <w:pPr>
        <w:pStyle w:val="ListParagraph"/>
        <w:numPr>
          <w:ilvl w:val="0"/>
          <w:numId w:val="2"/>
        </w:numPr>
        <w:spacing w:after="60" w:before="60"/>
      </w:pPr>
      <w:r>
        <w:rPr>
          <w:rFonts w:ascii="Times New Roman" w:cs="Times New Roman" w:eastAsia="Times New Roman" w:hAnsi="Times New Roman"/>
          <w:sz w:val="22"/>
          <w:szCs w:val="22"/>
        </w:rPr>
        <w:t xml:space="preserve">Demonstrate automated financial postings via event-driven integration (PGI → COGS, VF01 → A/R)</w:t>
      </w:r>
    </w:p>
    <w:p>
      <w:pPr>
        <w:pStyle w:val="ListParagraph"/>
        <w:numPr>
          <w:ilvl w:val="0"/>
          <w:numId w:val="2"/>
        </w:numPr>
        <w:spacing w:after="60" w:before="60"/>
      </w:pPr>
      <w:r>
        <w:rPr>
          <w:rFonts w:ascii="Times New Roman" w:cs="Times New Roman" w:eastAsia="Times New Roman" w:hAnsi="Times New Roman"/>
          <w:sz w:val="22"/>
          <w:szCs w:val="22"/>
        </w:rPr>
        <w:t xml:space="preserve">Provide a complete audit trail from Inquiry through Payment Clearing</w:t>
      </w:r>
    </w:p>
    <w:p>
      <w:pPr>
        <w:spacing w:after="0" w:before="160"/>
      </w:pPr>
    </w:p>
    <w:p>
      <w:pPr>
        <w:pBdr>
          <w:bottom w:val="single" w:color="2E75B6" w:sz="4" w:space="1"/>
        </w:pBdr>
        <w:spacing w:after="160" w:before="360"/>
      </w:pPr>
      <w:r>
        <w:rPr>
          <w:rFonts w:ascii="Times New Roman" w:cs="Times New Roman" w:eastAsia="Times New Roman" w:hAnsi="Times New Roman"/>
          <w:b/>
          <w:bCs/>
          <w:color w:val="1A3A5C"/>
          <w:sz w:val="32"/>
          <w:szCs w:val="32"/>
        </w:rPr>
        <w:t xml:space="preserve">3. ENTERPRISE STRUCTURE &amp; CONFIGURATION</w:t>
      </w:r>
    </w:p>
    <w:p>
      <w:pPr>
        <w:spacing w:after="120" w:before="240"/>
      </w:pPr>
      <w:r>
        <w:rPr>
          <w:rFonts w:ascii="Times New Roman" w:cs="Times New Roman" w:eastAsia="Times New Roman" w:hAnsi="Times New Roman"/>
          <w:b/>
          <w:bCs/>
          <w:color w:val="2E75B6"/>
          <w:sz w:val="26"/>
          <w:szCs w:val="26"/>
        </w:rPr>
        <w:t xml:space="preserve">3.1 Organizational Structure Overview</w:t>
      </w:r>
    </w:p>
    <w:p>
      <w:pPr>
        <w:spacing w:after="140" w:before="80"/>
      </w:pPr>
      <w:r>
        <w:rPr>
          <w:rFonts w:ascii="Times New Roman" w:cs="Times New Roman" w:eastAsia="Times New Roman" w:hAnsi="Times New Roman"/>
          <w:sz w:val="22"/>
          <w:szCs w:val="22"/>
        </w:rPr>
        <w:t xml:space="preserve">The SAP organizational structure is the foundational configuration layer upon which all business transactions and integration flows are built. For an Integration Developer, the organizational structure is critical because it defines the data scope and routing rules for every integration event. A sales order is not just a sales order — it is a transaction belonging to a specific Sales Organization, Distribution Channel, and Division, and this combination (the Sales Area) determines which pricing procedures, output types, partner functions, and financial accounts are applicable.</w:t>
      </w:r>
    </w:p>
    <w:p>
      <w:pPr>
        <w:spacing w:after="140" w:before="80"/>
      </w:pPr>
      <w:r>
        <w:rPr>
          <w:rFonts w:ascii="Times New Roman" w:cs="Times New Roman" w:eastAsia="Times New Roman" w:hAnsi="Times New Roman"/>
          <w:sz w:val="22"/>
          <w:szCs w:val="22"/>
        </w:rPr>
        <w:t xml:space="preserve">The following enterprise structure was configured for VKJ Trading Co.:</w:t>
      </w:r>
    </w:p>
    <w:p>
      <w:pPr>
        <w:spacing w:after="0" w:before="8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200"/>
      </w:tblGrid>
      <w:tr>
        <w:trPr>
          <w:tblHeader/>
        </w:trPr>
        <w:tc>
          <w:tcPr>
            <w:tcW w:type="dxa" w:w="2800"/>
            <w:tcBorders>
              <w:top w:val="single" w:color="AAAAAA" w:sz="1"/>
              <w:left w:val="single" w:color="AAAAAA" w:sz="1"/>
              <w:bottom w:val="single" w:color="AAAAAA" w:sz="1"/>
              <w:right w:val="single" w:color="AAAAAA" w:sz="1"/>
            </w:tcBorders>
            <w:shd w:fill="1A3A5C" w:val="clear"/>
            <w:tcMar>
              <w:top w:type="dxa" w:w="80"/>
              <w:left w:type="dxa" w:w="140"/>
              <w:bottom w:type="dxa" w:w="80"/>
              <w:right w:type="dxa" w:w="140"/>
            </w:tcMar>
          </w:tcPr>
          <w:p>
            <w:r>
              <w:rPr>
                <w:rFonts w:ascii="Times New Roman" w:cs="Times New Roman" w:eastAsia="Times New Roman" w:hAnsi="Times New Roman"/>
                <w:b/>
                <w:bCs/>
                <w:color w:val="FFFFFF"/>
                <w:sz w:val="20"/>
                <w:szCs w:val="20"/>
              </w:rPr>
              <w:t xml:space="preserve">Organizational Element</w:t>
            </w:r>
          </w:p>
        </w:tc>
        <w:tc>
          <w:tcPr>
            <w:tcW w:type="dxa" w:w="1800"/>
            <w:tcBorders>
              <w:top w:val="single" w:color="AAAAAA" w:sz="1"/>
              <w:left w:val="single" w:color="AAAAAA" w:sz="1"/>
              <w:bottom w:val="single" w:color="AAAAAA" w:sz="1"/>
              <w:right w:val="single" w:color="AAAAAA" w:sz="1"/>
            </w:tcBorders>
            <w:shd w:fill="1A3A5C" w:val="clear"/>
            <w:tcMar>
              <w:top w:type="dxa" w:w="80"/>
              <w:left w:type="dxa" w:w="140"/>
              <w:bottom w:type="dxa" w:w="80"/>
              <w:right w:type="dxa" w:w="140"/>
            </w:tcMar>
          </w:tcPr>
          <w:p>
            <w:r>
              <w:rPr>
                <w:rFonts w:ascii="Times New Roman" w:cs="Times New Roman" w:eastAsia="Times New Roman" w:hAnsi="Times New Roman"/>
                <w:b/>
                <w:bCs/>
                <w:color w:val="FFFFFF"/>
                <w:sz w:val="20"/>
                <w:szCs w:val="20"/>
              </w:rPr>
              <w:t xml:space="preserve">SAP ID / Code</w:t>
            </w:r>
          </w:p>
        </w:tc>
        <w:tc>
          <w:tcPr>
            <w:tcW w:type="dxa" w:w="4200"/>
            <w:tcBorders>
              <w:top w:val="single" w:color="AAAAAA" w:sz="1"/>
              <w:left w:val="single" w:color="AAAAAA" w:sz="1"/>
              <w:bottom w:val="single" w:color="AAAAAA" w:sz="1"/>
              <w:right w:val="single" w:color="AAAAAA" w:sz="1"/>
            </w:tcBorders>
            <w:shd w:fill="1A3A5C" w:val="clear"/>
            <w:tcMar>
              <w:top w:type="dxa" w:w="80"/>
              <w:left w:type="dxa" w:w="140"/>
              <w:bottom w:type="dxa" w:w="80"/>
              <w:right w:type="dxa" w:w="140"/>
            </w:tcMar>
          </w:tcPr>
          <w:p>
            <w:r>
              <w:rPr>
                <w:rFonts w:ascii="Times New Roman" w:cs="Times New Roman" w:eastAsia="Times New Roman" w:hAnsi="Times New Roman"/>
                <w:b/>
                <w:bCs/>
                <w:color w:val="FFFFFF"/>
                <w:sz w:val="20"/>
                <w:szCs w:val="20"/>
              </w:rPr>
              <w:t xml:space="preserve">Configuration Value</w:t>
            </w:r>
          </w:p>
        </w:tc>
      </w:tr>
      <w:tr>
        <w:trPr>
          <w:tblHeader w:val="false"/>
        </w:trPr>
        <w:tc>
          <w:tcPr>
            <w:tcW w:type="dxa" w:w="2800"/>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Company Code</w:t>
            </w:r>
          </w:p>
        </w:tc>
        <w:tc>
          <w:tcPr>
            <w:tcW w:type="dxa" w:w="1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VKJ1</w:t>
            </w:r>
          </w:p>
        </w:tc>
        <w:tc>
          <w:tcPr>
            <w:tcW w:type="dxa" w:w="4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VKJ Trading Co. Pvt. Ltd.</w:t>
            </w:r>
          </w:p>
        </w:tc>
      </w:tr>
      <w:tr>
        <w:trPr>
          <w:tblHeader w:val="false"/>
        </w:trPr>
        <w:tc>
          <w:tcPr>
            <w:tcW w:type="dxa" w:w="2800"/>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Sales Organization</w:t>
            </w:r>
          </w:p>
        </w:tc>
        <w:tc>
          <w:tcPr>
            <w:tcW w:type="dxa" w:w="1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1000</w:t>
            </w:r>
          </w:p>
        </w:tc>
        <w:tc>
          <w:tcPr>
            <w:tcW w:type="dxa" w:w="4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VKJ Sales India</w:t>
            </w:r>
          </w:p>
        </w:tc>
      </w:tr>
      <w:tr>
        <w:trPr>
          <w:tblHeader w:val="false"/>
        </w:trPr>
        <w:tc>
          <w:tcPr>
            <w:tcW w:type="dxa" w:w="2800"/>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Distribution Channel</w:t>
            </w:r>
          </w:p>
        </w:tc>
        <w:tc>
          <w:tcPr>
            <w:tcW w:type="dxa" w:w="1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10</w:t>
            </w:r>
          </w:p>
        </w:tc>
        <w:tc>
          <w:tcPr>
            <w:tcW w:type="dxa" w:w="4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Direct Sales</w:t>
            </w:r>
          </w:p>
        </w:tc>
      </w:tr>
      <w:tr>
        <w:trPr>
          <w:tblHeader w:val="false"/>
        </w:trPr>
        <w:tc>
          <w:tcPr>
            <w:tcW w:type="dxa" w:w="2800"/>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Division</w:t>
            </w:r>
          </w:p>
        </w:tc>
        <w:tc>
          <w:tcPr>
            <w:tcW w:type="dxa" w:w="1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00</w:t>
            </w:r>
          </w:p>
        </w:tc>
        <w:tc>
          <w:tcPr>
            <w:tcW w:type="dxa" w:w="4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Cross-Division</w:t>
            </w:r>
          </w:p>
        </w:tc>
      </w:tr>
      <w:tr>
        <w:trPr>
          <w:tblHeader w:val="false"/>
        </w:trPr>
        <w:tc>
          <w:tcPr>
            <w:tcW w:type="dxa" w:w="2800"/>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Plant</w:t>
            </w:r>
          </w:p>
        </w:tc>
        <w:tc>
          <w:tcPr>
            <w:tcW w:type="dxa" w:w="1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1000</w:t>
            </w:r>
          </w:p>
        </w:tc>
        <w:tc>
          <w:tcPr>
            <w:tcW w:type="dxa" w:w="4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VKJ Main Plant, Bhubaneswar</w:t>
            </w:r>
          </w:p>
        </w:tc>
      </w:tr>
      <w:tr>
        <w:trPr>
          <w:tblHeader w:val="false"/>
        </w:trPr>
        <w:tc>
          <w:tcPr>
            <w:tcW w:type="dxa" w:w="2800"/>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Shipping Point</w:t>
            </w:r>
          </w:p>
        </w:tc>
        <w:tc>
          <w:tcPr>
            <w:tcW w:type="dxa" w:w="1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SHP1</w:t>
            </w:r>
          </w:p>
        </w:tc>
        <w:tc>
          <w:tcPr>
            <w:tcW w:type="dxa" w:w="4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Central Dispatch Hub</w:t>
            </w:r>
          </w:p>
        </w:tc>
      </w:tr>
      <w:tr>
        <w:trPr>
          <w:tblHeader w:val="false"/>
        </w:trPr>
        <w:tc>
          <w:tcPr>
            <w:tcW w:type="dxa" w:w="2800"/>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Storage Location</w:t>
            </w:r>
          </w:p>
        </w:tc>
        <w:tc>
          <w:tcPr>
            <w:tcW w:type="dxa" w:w="1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0001</w:t>
            </w:r>
          </w:p>
        </w:tc>
        <w:tc>
          <w:tcPr>
            <w:tcW w:type="dxa" w:w="4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Main Warehouse</w:t>
            </w:r>
          </w:p>
        </w:tc>
      </w:tr>
      <w:tr>
        <w:trPr>
          <w:tblHeader w:val="false"/>
        </w:trPr>
        <w:tc>
          <w:tcPr>
            <w:tcW w:type="dxa" w:w="2800"/>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Credit Control Area</w:t>
            </w:r>
          </w:p>
        </w:tc>
        <w:tc>
          <w:tcPr>
            <w:tcW w:type="dxa" w:w="1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CCA1</w:t>
            </w:r>
          </w:p>
        </w:tc>
        <w:tc>
          <w:tcPr>
            <w:tcW w:type="dxa" w:w="4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VKJ Credit Control</w:t>
            </w:r>
          </w:p>
        </w:tc>
      </w:tr>
    </w:tbl>
    <w:p>
      <w:pPr>
        <w:spacing w:after="0" w:before="160"/>
      </w:pPr>
    </w:p>
    <w:p>
      <w:pPr>
        <w:spacing w:after="120" w:before="240"/>
      </w:pPr>
      <w:r>
        <w:rPr>
          <w:rFonts w:ascii="Times New Roman" w:cs="Times New Roman" w:eastAsia="Times New Roman" w:hAnsi="Times New Roman"/>
          <w:b/>
          <w:bCs/>
          <w:color w:val="2E75B6"/>
          <w:sz w:val="26"/>
          <w:szCs w:val="26"/>
        </w:rPr>
        <w:t xml:space="preserve">3.2 Organizational Hierarchy &amp; Integration Links</w:t>
      </w:r>
    </w:p>
    <w:p>
      <w:pPr>
        <w:spacing w:after="140" w:before="80"/>
      </w:pPr>
      <w:r>
        <w:rPr>
          <w:rFonts w:ascii="Times New Roman" w:cs="Times New Roman" w:eastAsia="Times New Roman" w:hAnsi="Times New Roman"/>
          <w:sz w:val="22"/>
          <w:szCs w:val="22"/>
        </w:rPr>
        <w:t xml:space="preserve">The organizational elements in SAP do not operate in isolation — they must be explicitly assigned to each other to create the integration routing map. These assignments are configured in SPRO (SAP Project Reference Object / IMG) and are a prerequisite for all O2C transactions.</w:t>
      </w:r>
    </w:p>
    <w:p>
      <w:pPr>
        <w:pBdr>
          <w:left w:val="single" w:color="2E75B6" w:sz="8" w:space="8"/>
        </w:pBdr>
        <w:spacing w:after="120" w:before="100"/>
        <w:ind w:left="500"/>
      </w:pPr>
      <w:r>
        <w:rPr>
          <w:rFonts w:ascii="Times New Roman" w:cs="Times New Roman" w:eastAsia="Times New Roman" w:hAnsi="Times New Roman"/>
          <w:i/>
          <w:iCs/>
          <w:color w:val="444444"/>
          <w:sz w:val="21"/>
          <w:szCs w:val="21"/>
        </w:rPr>
        <w:t xml:space="preserve">Critical Configuration: The assignment of Sales Organization to Company Code is the primary SD-FI integration link. Without this assignment, no billing document in SD can post to Financial Accounting. Similarly, the assignment of Plant to Company Code enables automatic inventory valuation postings.</w:t>
      </w:r>
    </w:p>
    <w:p>
      <w:pPr>
        <w:pStyle w:val="ListParagraph"/>
        <w:numPr>
          <w:ilvl w:val="0"/>
          <w:numId w:val="2"/>
        </w:numPr>
        <w:spacing w:after="60" w:before="60"/>
      </w:pPr>
      <w:r>
        <w:rPr>
          <w:rFonts w:ascii="Times New Roman" w:cs="Times New Roman" w:eastAsia="Times New Roman" w:hAnsi="Times New Roman"/>
          <w:sz w:val="22"/>
          <w:szCs w:val="22"/>
        </w:rPr>
        <w:t xml:space="preserve">Sales Org 1000 → Company Code VKJ1 (enables SD-FI financial integration)</w:t>
      </w:r>
    </w:p>
    <w:p>
      <w:pPr>
        <w:pStyle w:val="ListParagraph"/>
        <w:numPr>
          <w:ilvl w:val="0"/>
          <w:numId w:val="2"/>
        </w:numPr>
        <w:spacing w:after="60" w:before="60"/>
      </w:pPr>
      <w:r>
        <w:rPr>
          <w:rFonts w:ascii="Times New Roman" w:cs="Times New Roman" w:eastAsia="Times New Roman" w:hAnsi="Times New Roman"/>
          <w:sz w:val="22"/>
          <w:szCs w:val="22"/>
        </w:rPr>
        <w:t xml:space="preserve">Distribution Channel 10 → Sales Org 1000 (defines sales channel routing)</w:t>
      </w:r>
    </w:p>
    <w:p>
      <w:pPr>
        <w:pStyle w:val="ListParagraph"/>
        <w:numPr>
          <w:ilvl w:val="0"/>
          <w:numId w:val="2"/>
        </w:numPr>
        <w:spacing w:after="60" w:before="60"/>
      </w:pPr>
      <w:r>
        <w:rPr>
          <w:rFonts w:ascii="Times New Roman" w:cs="Times New Roman" w:eastAsia="Times New Roman" w:hAnsi="Times New Roman"/>
          <w:sz w:val="22"/>
          <w:szCs w:val="22"/>
        </w:rPr>
        <w:t xml:space="preserve">Division 00 → Sales Org 1000 (completes Sales Area definition: 1000/10/00)</w:t>
      </w:r>
    </w:p>
    <w:p>
      <w:pPr>
        <w:pStyle w:val="ListParagraph"/>
        <w:numPr>
          <w:ilvl w:val="0"/>
          <w:numId w:val="2"/>
        </w:numPr>
        <w:spacing w:after="60" w:before="60"/>
      </w:pPr>
      <w:r>
        <w:rPr>
          <w:rFonts w:ascii="Times New Roman" w:cs="Times New Roman" w:eastAsia="Times New Roman" w:hAnsi="Times New Roman"/>
          <w:sz w:val="22"/>
          <w:szCs w:val="22"/>
        </w:rPr>
        <w:t xml:space="preserve">Plant 1000 → Company Code VKJ1 (enables MM-FI stock valuation integration)</w:t>
      </w:r>
    </w:p>
    <w:p>
      <w:pPr>
        <w:pStyle w:val="ListParagraph"/>
        <w:numPr>
          <w:ilvl w:val="0"/>
          <w:numId w:val="2"/>
        </w:numPr>
        <w:spacing w:after="60" w:before="60"/>
      </w:pPr>
      <w:r>
        <w:rPr>
          <w:rFonts w:ascii="Times New Roman" w:cs="Times New Roman" w:eastAsia="Times New Roman" w:hAnsi="Times New Roman"/>
          <w:sz w:val="22"/>
          <w:szCs w:val="22"/>
        </w:rPr>
        <w:t xml:space="preserve">Shipping Point SHP1 → Plant 1000 (routes delivery processing)</w:t>
      </w:r>
    </w:p>
    <w:p>
      <w:pPr>
        <w:pStyle w:val="ListParagraph"/>
        <w:numPr>
          <w:ilvl w:val="0"/>
          <w:numId w:val="2"/>
        </w:numPr>
        <w:spacing w:after="60" w:before="60"/>
      </w:pPr>
      <w:r>
        <w:rPr>
          <w:rFonts w:ascii="Times New Roman" w:cs="Times New Roman" w:eastAsia="Times New Roman" w:hAnsi="Times New Roman"/>
          <w:sz w:val="22"/>
          <w:szCs w:val="22"/>
        </w:rPr>
        <w:t xml:space="preserve">Storage Location 0001 → Plant 1000 (defines physical inventory location)</w:t>
      </w:r>
    </w:p>
    <w:p>
      <w:pPr>
        <w:spacing w:after="0" w:before="160"/>
      </w:pPr>
    </w:p>
    <w:p>
      <w:pPr>
        <w:pBdr>
          <w:bottom w:val="single" w:color="2E75B6" w:sz="4" w:space="1"/>
        </w:pBdr>
        <w:spacing w:after="160" w:before="360"/>
      </w:pPr>
      <w:r>
        <w:rPr>
          <w:rFonts w:ascii="Times New Roman" w:cs="Times New Roman" w:eastAsia="Times New Roman" w:hAnsi="Times New Roman"/>
          <w:b/>
          <w:bCs/>
          <w:color w:val="1A3A5C"/>
          <w:sz w:val="32"/>
          <w:szCs w:val="32"/>
        </w:rPr>
        <w:t xml:space="preserve">4. MASTER DATA ARCHITECTURE</w:t>
      </w:r>
    </w:p>
    <w:p>
      <w:pPr>
        <w:spacing w:after="120" w:before="240"/>
      </w:pPr>
      <w:r>
        <w:rPr>
          <w:rFonts w:ascii="Times New Roman" w:cs="Times New Roman" w:eastAsia="Times New Roman" w:hAnsi="Times New Roman"/>
          <w:b/>
          <w:bCs/>
          <w:color w:val="2E75B6"/>
          <w:sz w:val="26"/>
          <w:szCs w:val="26"/>
        </w:rPr>
        <w:t xml:space="preserve">4.1 The Role of Master Data in Integration</w:t>
      </w:r>
    </w:p>
    <w:p>
      <w:pPr>
        <w:spacing w:after="140" w:before="80"/>
      </w:pPr>
      <w:r>
        <w:rPr>
          <w:rFonts w:ascii="Times New Roman" w:cs="Times New Roman" w:eastAsia="Times New Roman" w:hAnsi="Times New Roman"/>
          <w:sz w:val="22"/>
          <w:szCs w:val="22"/>
        </w:rPr>
        <w:t xml:space="preserve">Master data is the integration backbone of SAP. While transaction data (sales orders, deliveries, invoices) represents individual business events, master data represents the stable reference information that all these events depend on. Poor master data quality is the single largest cause of O2C integration failures in production SAP environments — an incorrect reconciliation account in the Customer Master will cause every billing document for that customer to fail; a missing delivering plant in the Material Master will prevent any sales order line item from being confirmed.</w:t>
      </w:r>
    </w:p>
    <w:p>
      <w:pPr>
        <w:spacing w:after="140" w:before="80"/>
      </w:pPr>
      <w:r>
        <w:rPr>
          <w:rFonts w:ascii="Times New Roman" w:cs="Times New Roman" w:eastAsia="Times New Roman" w:hAnsi="Times New Roman"/>
          <w:sz w:val="22"/>
          <w:szCs w:val="22"/>
        </w:rPr>
        <w:t xml:space="preserve">For an Integration Developer, master data management is not an administrative task — it is a system design responsibility. The fields configured in master data records define the integration rules that govern automated cross-module behavior.</w:t>
      </w:r>
    </w:p>
    <w:p>
      <w:pPr>
        <w:spacing w:after="120" w:before="240"/>
      </w:pPr>
      <w:r>
        <w:rPr>
          <w:rFonts w:ascii="Times New Roman" w:cs="Times New Roman" w:eastAsia="Times New Roman" w:hAnsi="Times New Roman"/>
          <w:b/>
          <w:bCs/>
          <w:color w:val="2E75B6"/>
          <w:sz w:val="26"/>
          <w:szCs w:val="26"/>
        </w:rPr>
        <w:t xml:space="preserve">4.2 Customer Master (XD01) — Deep Dive</w:t>
      </w:r>
    </w:p>
    <w:p>
      <w:pPr>
        <w:spacing w:after="140" w:before="80"/>
      </w:pPr>
      <w:r>
        <w:rPr>
          <w:rFonts w:ascii="Times New Roman" w:cs="Times New Roman" w:eastAsia="Times New Roman" w:hAnsi="Times New Roman"/>
          <w:sz w:val="22"/>
          <w:szCs w:val="22"/>
        </w:rPr>
        <w:t xml:space="preserve">The Customer Master is maintained in three organizational levels, each serving a distinct integration purpose:</w:t>
      </w:r>
    </w:p>
    <w:p>
      <w:pPr>
        <w:spacing w:after="100" w:before="180"/>
      </w:pPr>
      <w:r>
        <w:rPr>
          <w:rFonts w:ascii="Times New Roman" w:cs="Times New Roman" w:eastAsia="Times New Roman" w:hAnsi="Times New Roman"/>
          <w:b/>
          <w:bCs/>
          <w:i/>
          <w:iCs/>
          <w:color w:val="1A3A5C"/>
          <w:sz w:val="23"/>
          <w:szCs w:val="23"/>
        </w:rPr>
        <w:t xml:space="preserve">General Data (Client Level)</w:t>
      </w:r>
    </w:p>
    <w:p>
      <w:pPr>
        <w:spacing w:after="140" w:before="80"/>
      </w:pPr>
      <w:r>
        <w:rPr>
          <w:rFonts w:ascii="Times New Roman" w:cs="Times New Roman" w:eastAsia="Times New Roman" w:hAnsi="Times New Roman"/>
          <w:sz w:val="22"/>
          <w:szCs w:val="22"/>
        </w:rPr>
        <w:t xml:space="preserve">Applies across all company codes and sales organizations. Contains the customer's name, address, bank details, and communication data. This data is consumed by output determination (for invoice delivery address), by the dunning program (for collection correspondence), and by the credit management system.</w:t>
      </w:r>
    </w:p>
    <w:p>
      <w:pPr>
        <w:spacing w:after="100" w:before="180"/>
      </w:pPr>
      <w:r>
        <w:rPr>
          <w:rFonts w:ascii="Times New Roman" w:cs="Times New Roman" w:eastAsia="Times New Roman" w:hAnsi="Times New Roman"/>
          <w:b/>
          <w:bCs/>
          <w:i/>
          <w:iCs/>
          <w:color w:val="1A3A5C"/>
          <w:sz w:val="23"/>
          <w:szCs w:val="23"/>
        </w:rPr>
        <w:t xml:space="preserve">Company Code Data (FI Integration Layer)</w:t>
      </w:r>
    </w:p>
    <w:p>
      <w:pPr>
        <w:spacing w:after="140" w:before="80"/>
      </w:pPr>
      <w:r>
        <w:rPr>
          <w:rFonts w:ascii="Times New Roman" w:cs="Times New Roman" w:eastAsia="Times New Roman" w:hAnsi="Times New Roman"/>
          <w:sz w:val="22"/>
          <w:szCs w:val="22"/>
        </w:rPr>
        <w:t xml:space="preserve">This is the most critical integration layer in the Customer Master from a financial accounting perspective. The key field is the Reconciliation Account — the General Ledger account in FI that receives automatic postings whenever a billing document is created for this customer. In this implementation, Reconciliation Account 150000 (Trade Receivables) was configured.</w:t>
      </w:r>
    </w:p>
    <w:p>
      <w:pPr>
        <w:spacing w:after="140" w:before="80"/>
      </w:pPr>
      <w:r>
        <w:rPr>
          <w:rFonts w:ascii="Times New Roman" w:cs="Times New Roman" w:eastAsia="Times New Roman" w:hAnsi="Times New Roman"/>
          <w:sz w:val="22"/>
          <w:szCs w:val="22"/>
        </w:rPr>
        <w:t xml:space="preserve">The payment terms configured here (e.g., Net 30, 2/10 Net 30) govern the due date calculation on invoices and the dunning program's behavior. The interest indicator triggers automatic interest calculation on overdue items if activated.</w:t>
      </w:r>
    </w:p>
    <w:p>
      <w:pPr>
        <w:pBdr>
          <w:left w:val="single" w:color="2E75B6" w:sz="8" w:space="8"/>
        </w:pBdr>
        <w:spacing w:after="120" w:before="100"/>
        <w:ind w:left="500"/>
      </w:pPr>
      <w:r>
        <w:rPr>
          <w:rFonts w:ascii="Times New Roman" w:cs="Times New Roman" w:eastAsia="Times New Roman" w:hAnsi="Times New Roman"/>
          <w:i/>
          <w:iCs/>
          <w:color w:val="444444"/>
          <w:sz w:val="21"/>
          <w:szCs w:val="21"/>
        </w:rPr>
        <w:t xml:space="preserve">Integration Contract: The Reconciliation Account field is the primary integration contract between SAP SD and SAP FI. When VF01 posts a billing document, SAP uses this field to determine which G/L account to debit automatically. No human selection required — the account flows from the Customer Master automatically.</w:t>
      </w:r>
    </w:p>
    <w:p>
      <w:pPr>
        <w:spacing w:after="100" w:before="180"/>
      </w:pPr>
      <w:r>
        <w:rPr>
          <w:rFonts w:ascii="Times New Roman" w:cs="Times New Roman" w:eastAsia="Times New Roman" w:hAnsi="Times New Roman"/>
          <w:b/>
          <w:bCs/>
          <w:i/>
          <w:iCs/>
          <w:color w:val="1A3A5C"/>
          <w:sz w:val="23"/>
          <w:szCs w:val="23"/>
        </w:rPr>
        <w:t xml:space="preserve">Sales Area Data (SD Integration Layer)</w:t>
      </w:r>
    </w:p>
    <w:p>
      <w:pPr>
        <w:spacing w:after="140" w:before="80"/>
      </w:pPr>
      <w:r>
        <w:rPr>
          <w:rFonts w:ascii="Times New Roman" w:cs="Times New Roman" w:eastAsia="Times New Roman" w:hAnsi="Times New Roman"/>
          <w:sz w:val="22"/>
          <w:szCs w:val="22"/>
        </w:rPr>
        <w:t xml:space="preserve">Configured at the intersection of Sales Organization, Distribution Channel, and Division. Contains the pricing procedure indicator (used by the condition technique to determine which pricing procedure to apply), shipping conditions, incoterms, and output determination data (invoice form type, delivery medium, email address for invoice dispatch).</w:t>
      </w:r>
    </w:p>
    <w:p>
      <w:pPr>
        <w:spacing w:after="0" w:before="8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000"/>
        <w:gridCol w:w="5800"/>
      </w:tblGrid>
      <w:tr>
        <w:trPr>
          <w:tblHeader/>
        </w:trPr>
        <w:tc>
          <w:tcPr>
            <w:tcW w:type="dxa" w:w="3000"/>
            <w:tcBorders>
              <w:top w:val="single" w:color="AAAAAA" w:sz="1"/>
              <w:left w:val="single" w:color="AAAAAA" w:sz="1"/>
              <w:bottom w:val="single" w:color="AAAAAA" w:sz="1"/>
              <w:right w:val="single" w:color="AAAAAA" w:sz="1"/>
            </w:tcBorders>
            <w:shd w:fill="1A3A5C" w:val="clear"/>
            <w:tcMar>
              <w:top w:type="dxa" w:w="80"/>
              <w:left w:type="dxa" w:w="140"/>
              <w:bottom w:type="dxa" w:w="80"/>
              <w:right w:type="dxa" w:w="140"/>
            </w:tcMar>
          </w:tcPr>
          <w:p>
            <w:r>
              <w:rPr>
                <w:rFonts w:ascii="Times New Roman" w:cs="Times New Roman" w:eastAsia="Times New Roman" w:hAnsi="Times New Roman"/>
                <w:b/>
                <w:bCs/>
                <w:color w:val="FFFFFF"/>
                <w:sz w:val="20"/>
                <w:szCs w:val="20"/>
              </w:rPr>
              <w:t xml:space="preserve">Customer Master Field</w:t>
            </w:r>
          </w:p>
        </w:tc>
        <w:tc>
          <w:tcPr>
            <w:tcW w:type="dxa" w:w="5800"/>
            <w:tcBorders>
              <w:top w:val="single" w:color="AAAAAA" w:sz="1"/>
              <w:left w:val="single" w:color="AAAAAA" w:sz="1"/>
              <w:bottom w:val="single" w:color="AAAAAA" w:sz="1"/>
              <w:right w:val="single" w:color="AAAAAA" w:sz="1"/>
            </w:tcBorders>
            <w:shd w:fill="1A3A5C" w:val="clear"/>
            <w:tcMar>
              <w:top w:type="dxa" w:w="80"/>
              <w:left w:type="dxa" w:w="140"/>
              <w:bottom w:type="dxa" w:w="80"/>
              <w:right w:type="dxa" w:w="140"/>
            </w:tcMar>
          </w:tcPr>
          <w:p>
            <w:r>
              <w:rPr>
                <w:rFonts w:ascii="Times New Roman" w:cs="Times New Roman" w:eastAsia="Times New Roman" w:hAnsi="Times New Roman"/>
                <w:b/>
                <w:bCs/>
                <w:color w:val="FFFFFF"/>
                <w:sz w:val="20"/>
                <w:szCs w:val="20"/>
              </w:rPr>
              <w:t xml:space="preserve">Integration Impact</w:t>
            </w:r>
          </w:p>
        </w:tc>
      </w:tr>
      <w:tr>
        <w:trPr>
          <w:tblHeader w:val="false"/>
        </w:trPr>
        <w:tc>
          <w:tcPr>
            <w:tcW w:type="dxa" w:w="3000"/>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Reconciliation Account (150000)</w:t>
            </w:r>
          </w:p>
        </w:tc>
        <w:tc>
          <w:tcPr>
            <w:tcW w:type="dxa" w:w="5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SD→FI: All billing document postings route to this G/L account automatically</w:t>
            </w:r>
          </w:p>
        </w:tc>
      </w:tr>
      <w:tr>
        <w:trPr>
          <w:tblHeader w:val="false"/>
        </w:trPr>
        <w:tc>
          <w:tcPr>
            <w:tcW w:type="dxa" w:w="3000"/>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Payment Terms (NT30)</w:t>
            </w:r>
          </w:p>
        </w:tc>
        <w:tc>
          <w:tcPr>
            <w:tcW w:type="dxa" w:w="5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FI: Due date on invoice; Dunning: Governs overdue calculation</w:t>
            </w:r>
          </w:p>
        </w:tc>
      </w:tr>
      <w:tr>
        <w:trPr>
          <w:tblHeader w:val="false"/>
        </w:trPr>
        <w:tc>
          <w:tcPr>
            <w:tcW w:type="dxa" w:w="3000"/>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Credit Control Area</w:t>
            </w:r>
          </w:p>
        </w:tc>
        <w:tc>
          <w:tcPr>
            <w:tcW w:type="dxa" w:w="5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SD: Credit check at VA01 draws exposure from this area</w:t>
            </w:r>
          </w:p>
        </w:tc>
      </w:tr>
      <w:tr>
        <w:trPr>
          <w:tblHeader w:val="false"/>
        </w:trPr>
        <w:tc>
          <w:tcPr>
            <w:tcW w:type="dxa" w:w="3000"/>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Pricing Procedure Indicator</w:t>
            </w:r>
          </w:p>
        </w:tc>
        <w:tc>
          <w:tcPr>
            <w:tcW w:type="dxa" w:w="5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SD: Determines which pricing procedure applies to all orders for this customer</w:t>
            </w:r>
          </w:p>
        </w:tc>
      </w:tr>
      <w:tr>
        <w:trPr>
          <w:tblHeader w:val="false"/>
        </w:trPr>
        <w:tc>
          <w:tcPr>
            <w:tcW w:type="dxa" w:w="3000"/>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Incoterms (CIF/EXW/FOB)</w:t>
            </w:r>
          </w:p>
        </w:tc>
        <w:tc>
          <w:tcPr>
            <w:tcW w:type="dxa" w:w="5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SD/FI: Risk transfer point; affects revenue recognition timing</w:t>
            </w:r>
          </w:p>
        </w:tc>
      </w:tr>
      <w:tr>
        <w:trPr>
          <w:tblHeader w:val="false"/>
        </w:trPr>
        <w:tc>
          <w:tcPr>
            <w:tcW w:type="dxa" w:w="3000"/>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Output (Invoice Type RD00)</w:t>
            </w:r>
          </w:p>
        </w:tc>
        <w:tc>
          <w:tcPr>
            <w:tcW w:type="dxa" w:w="5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SD: Determines invoice form type and distribution channel (email/print)</w:t>
            </w:r>
          </w:p>
        </w:tc>
      </w:tr>
    </w:tbl>
    <w:p>
      <w:pPr>
        <w:spacing w:after="0" w:before="160"/>
      </w:pPr>
    </w:p>
    <w:p>
      <w:pPr>
        <w:spacing w:after="120" w:before="240"/>
      </w:pPr>
      <w:r>
        <w:rPr>
          <w:rFonts w:ascii="Times New Roman" w:cs="Times New Roman" w:eastAsia="Times New Roman" w:hAnsi="Times New Roman"/>
          <w:b/>
          <w:bCs/>
          <w:color w:val="2E75B6"/>
          <w:sz w:val="26"/>
          <w:szCs w:val="26"/>
        </w:rPr>
        <w:t xml:space="preserve">4.3 Material Master (MM01) — Integration Views</w:t>
      </w:r>
    </w:p>
    <w:p>
      <w:pPr>
        <w:spacing w:after="140" w:before="80"/>
      </w:pPr>
      <w:r>
        <w:rPr>
          <w:rFonts w:ascii="Times New Roman" w:cs="Times New Roman" w:eastAsia="Times New Roman" w:hAnsi="Times New Roman"/>
          <w:sz w:val="22"/>
          <w:szCs w:val="22"/>
        </w:rPr>
        <w:t xml:space="preserve">The Material Master is unique among SAP master data objects in that it is maintained across multiple organizational views, each owned by a different module. This multi-view structure reflects the fact that a material is consumed by multiple modules simultaneously — SD needs its sales data, MM needs its procurement data, FI needs its valuation data, and WM needs its warehouse data.</w:t>
      </w:r>
    </w:p>
    <w:p>
      <w:pPr>
        <w:spacing w:after="0" w:before="8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200"/>
        <w:gridCol w:w="3000"/>
      </w:tblGrid>
      <w:tr>
        <w:trPr>
          <w:tblHeader/>
        </w:trPr>
        <w:tc>
          <w:tcPr>
            <w:tcW w:type="dxa" w:w="2000"/>
            <w:tcBorders>
              <w:top w:val="single" w:color="AAAAAA" w:sz="1"/>
              <w:left w:val="single" w:color="AAAAAA" w:sz="1"/>
              <w:bottom w:val="single" w:color="AAAAAA" w:sz="1"/>
              <w:right w:val="single" w:color="AAAAAA" w:sz="1"/>
            </w:tcBorders>
            <w:shd w:fill="1A3A5C" w:val="clear"/>
            <w:tcMar>
              <w:top w:type="dxa" w:w="80"/>
              <w:left w:type="dxa" w:w="140"/>
              <w:bottom w:type="dxa" w:w="80"/>
              <w:right w:type="dxa" w:w="140"/>
            </w:tcMar>
          </w:tcPr>
          <w:p>
            <w:r>
              <w:rPr>
                <w:rFonts w:ascii="Times New Roman" w:cs="Times New Roman" w:eastAsia="Times New Roman" w:hAnsi="Times New Roman"/>
                <w:b/>
                <w:bCs/>
                <w:color w:val="FFFFFF"/>
                <w:sz w:val="20"/>
                <w:szCs w:val="20"/>
              </w:rPr>
              <w:t xml:space="preserve">View Name</w:t>
            </w:r>
          </w:p>
        </w:tc>
        <w:tc>
          <w:tcPr>
            <w:tcW w:type="dxa" w:w="1600"/>
            <w:tcBorders>
              <w:top w:val="single" w:color="AAAAAA" w:sz="1"/>
              <w:left w:val="single" w:color="AAAAAA" w:sz="1"/>
              <w:bottom w:val="single" w:color="AAAAAA" w:sz="1"/>
              <w:right w:val="single" w:color="AAAAAA" w:sz="1"/>
            </w:tcBorders>
            <w:shd w:fill="1A3A5C" w:val="clear"/>
            <w:tcMar>
              <w:top w:type="dxa" w:w="80"/>
              <w:left w:type="dxa" w:w="140"/>
              <w:bottom w:type="dxa" w:w="80"/>
              <w:right w:type="dxa" w:w="140"/>
            </w:tcMar>
          </w:tcPr>
          <w:p>
            <w:r>
              <w:rPr>
                <w:rFonts w:ascii="Times New Roman" w:cs="Times New Roman" w:eastAsia="Times New Roman" w:hAnsi="Times New Roman"/>
                <w:b/>
                <w:bCs/>
                <w:color w:val="FFFFFF"/>
                <w:sz w:val="20"/>
                <w:szCs w:val="20"/>
              </w:rPr>
              <w:t xml:space="preserve">Module</w:t>
            </w:r>
          </w:p>
        </w:tc>
        <w:tc>
          <w:tcPr>
            <w:tcW w:type="dxa" w:w="2200"/>
            <w:tcBorders>
              <w:top w:val="single" w:color="AAAAAA" w:sz="1"/>
              <w:left w:val="single" w:color="AAAAAA" w:sz="1"/>
              <w:bottom w:val="single" w:color="AAAAAA" w:sz="1"/>
              <w:right w:val="single" w:color="AAAAAA" w:sz="1"/>
            </w:tcBorders>
            <w:shd w:fill="1A3A5C" w:val="clear"/>
            <w:tcMar>
              <w:top w:type="dxa" w:w="80"/>
              <w:left w:type="dxa" w:w="140"/>
              <w:bottom w:type="dxa" w:w="80"/>
              <w:right w:type="dxa" w:w="140"/>
            </w:tcMar>
          </w:tcPr>
          <w:p>
            <w:r>
              <w:rPr>
                <w:rFonts w:ascii="Times New Roman" w:cs="Times New Roman" w:eastAsia="Times New Roman" w:hAnsi="Times New Roman"/>
                <w:b/>
                <w:bCs/>
                <w:color w:val="FFFFFF"/>
                <w:sz w:val="20"/>
                <w:szCs w:val="20"/>
              </w:rPr>
              <w:t xml:space="preserve">Key Fields</w:t>
            </w:r>
          </w:p>
        </w:tc>
        <w:tc>
          <w:tcPr>
            <w:tcW w:type="dxa" w:w="3000"/>
            <w:tcBorders>
              <w:top w:val="single" w:color="AAAAAA" w:sz="1"/>
              <w:left w:val="single" w:color="AAAAAA" w:sz="1"/>
              <w:bottom w:val="single" w:color="AAAAAA" w:sz="1"/>
              <w:right w:val="single" w:color="AAAAAA" w:sz="1"/>
            </w:tcBorders>
            <w:shd w:fill="1A3A5C" w:val="clear"/>
            <w:tcMar>
              <w:top w:type="dxa" w:w="80"/>
              <w:left w:type="dxa" w:w="140"/>
              <w:bottom w:type="dxa" w:w="80"/>
              <w:right w:type="dxa" w:w="140"/>
            </w:tcMar>
          </w:tcPr>
          <w:p>
            <w:r>
              <w:rPr>
                <w:rFonts w:ascii="Times New Roman" w:cs="Times New Roman" w:eastAsia="Times New Roman" w:hAnsi="Times New Roman"/>
                <w:b/>
                <w:bCs/>
                <w:color w:val="FFFFFF"/>
                <w:sz w:val="20"/>
                <w:szCs w:val="20"/>
              </w:rPr>
              <w:t xml:space="preserve">Integration Purpose</w:t>
            </w:r>
          </w:p>
        </w:tc>
      </w:tr>
      <w:tr>
        <w:trPr>
          <w:tblHeader w:val="false"/>
        </w:trPr>
        <w:tc>
          <w:tcPr>
            <w:tcW w:type="dxa" w:w="2000"/>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Basic Data 1 &amp; 2</w:t>
            </w:r>
          </w:p>
        </w:tc>
        <w:tc>
          <w:tcPr>
            <w:tcW w:type="dxa" w:w="1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All</w:t>
            </w:r>
          </w:p>
        </w:tc>
        <w:tc>
          <w:tcPr>
            <w:tcW w:type="dxa" w:w="2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Desc., Unit, Weight, Volume</w:t>
            </w:r>
          </w:p>
        </w:tc>
        <w:tc>
          <w:tcPr>
            <w:tcW w:type="dxa" w:w="3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Common reference across all modules</w:t>
            </w:r>
          </w:p>
        </w:tc>
      </w:tr>
      <w:tr>
        <w:trPr>
          <w:tblHeader w:val="false"/>
        </w:trPr>
        <w:tc>
          <w:tcPr>
            <w:tcW w:type="dxa" w:w="2000"/>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Sales: Sales Org 1</w:t>
            </w:r>
          </w:p>
        </w:tc>
        <w:tc>
          <w:tcPr>
            <w:tcW w:type="dxa" w:w="1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SD</w:t>
            </w:r>
          </w:p>
        </w:tc>
        <w:tc>
          <w:tcPr>
            <w:tcW w:type="dxa" w:w="2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Delivering Plant, Item Cat. Grp</w:t>
            </w:r>
          </w:p>
        </w:tc>
        <w:tc>
          <w:tcPr>
            <w:tcW w:type="dxa" w:w="3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Routes order line to correct plant; determines item category</w:t>
            </w:r>
          </w:p>
        </w:tc>
      </w:tr>
      <w:tr>
        <w:trPr>
          <w:tblHeader w:val="false"/>
        </w:trPr>
        <w:tc>
          <w:tcPr>
            <w:tcW w:type="dxa" w:w="2000"/>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Sales: Sales Org 2</w:t>
            </w:r>
          </w:p>
        </w:tc>
        <w:tc>
          <w:tcPr>
            <w:tcW w:type="dxa" w:w="1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SD</w:t>
            </w:r>
          </w:p>
        </w:tc>
        <w:tc>
          <w:tcPr>
            <w:tcW w:type="dxa" w:w="2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Acct Assignment Grp (01)</w:t>
            </w:r>
          </w:p>
        </w:tc>
        <w:tc>
          <w:tcPr>
            <w:tcW w:type="dxa" w:w="3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Determines revenue G/L account in FI via account determination</w:t>
            </w:r>
          </w:p>
        </w:tc>
      </w:tr>
      <w:tr>
        <w:trPr>
          <w:tblHeader w:val="false"/>
        </w:trPr>
        <w:tc>
          <w:tcPr>
            <w:tcW w:type="dxa" w:w="2000"/>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Sales: General/Plant</w:t>
            </w:r>
          </w:p>
        </w:tc>
        <w:tc>
          <w:tcPr>
            <w:tcW w:type="dxa" w:w="1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SD/WM</w:t>
            </w:r>
          </w:p>
        </w:tc>
        <w:tc>
          <w:tcPr>
            <w:tcW w:type="dxa" w:w="2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Availability check (02)</w:t>
            </w:r>
          </w:p>
        </w:tc>
        <w:tc>
          <w:tcPr>
            <w:tcW w:type="dxa" w:w="3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Controls how ATP is calculated for this material</w:t>
            </w:r>
          </w:p>
        </w:tc>
      </w:tr>
      <w:tr>
        <w:trPr>
          <w:tblHeader w:val="false"/>
        </w:trPr>
        <w:tc>
          <w:tcPr>
            <w:tcW w:type="dxa" w:w="2000"/>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MRP 1–4</w:t>
            </w:r>
          </w:p>
        </w:tc>
        <w:tc>
          <w:tcPr>
            <w:tcW w:type="dxa" w:w="1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MM/PP</w:t>
            </w:r>
          </w:p>
        </w:tc>
        <w:tc>
          <w:tcPr>
            <w:tcW w:type="dxa" w:w="2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MRP type (PD), lot size</w:t>
            </w:r>
          </w:p>
        </w:tc>
        <w:tc>
          <w:tcPr>
            <w:tcW w:type="dxa" w:w="3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Converts SD demand into procurement/production triggers automatically</w:t>
            </w:r>
          </w:p>
        </w:tc>
      </w:tr>
      <w:tr>
        <w:trPr>
          <w:tblHeader w:val="false"/>
        </w:trPr>
        <w:tc>
          <w:tcPr>
            <w:tcW w:type="dxa" w:w="2000"/>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Accounting 1</w:t>
            </w:r>
          </w:p>
        </w:tc>
        <w:tc>
          <w:tcPr>
            <w:tcW w:type="dxa" w:w="1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FI</w:t>
            </w:r>
          </w:p>
        </w:tc>
        <w:tc>
          <w:tcPr>
            <w:tcW w:type="dxa" w:w="2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Standard price / MAP</w:t>
            </w:r>
          </w:p>
        </w:tc>
        <w:tc>
          <w:tcPr>
            <w:tcW w:type="dxa" w:w="3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COGS value at PGI is calculated from this price — critical FI accuracy</w:t>
            </w:r>
          </w:p>
        </w:tc>
      </w:tr>
      <w:tr>
        <w:trPr>
          <w:tblHeader w:val="false"/>
        </w:trPr>
        <w:tc>
          <w:tcPr>
            <w:tcW w:type="dxa" w:w="2000"/>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Warehouse Mgmt 1</w:t>
            </w:r>
          </w:p>
        </w:tc>
        <w:tc>
          <w:tcPr>
            <w:tcW w:type="dxa" w:w="1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WM</w:t>
            </w:r>
          </w:p>
        </w:tc>
        <w:tc>
          <w:tcPr>
            <w:tcW w:type="dxa" w:w="2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Storage section, bin type</w:t>
            </w:r>
          </w:p>
        </w:tc>
        <w:tc>
          <w:tcPr>
            <w:tcW w:type="dxa" w:w="3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Routes WM transfer order to correct storage bin for picking</w:t>
            </w:r>
          </w:p>
        </w:tc>
      </w:tr>
    </w:tbl>
    <w:p>
      <w:pPr>
        <w:spacing w:after="0" w:before="160"/>
      </w:pPr>
    </w:p>
    <w:p>
      <w:pPr>
        <w:pBdr>
          <w:bottom w:val="single" w:color="2E75B6" w:sz="4" w:space="1"/>
        </w:pBdr>
        <w:spacing w:after="160" w:before="360"/>
      </w:pPr>
      <w:r>
        <w:rPr>
          <w:rFonts w:ascii="Times New Roman" w:cs="Times New Roman" w:eastAsia="Times New Roman" w:hAnsi="Times New Roman"/>
          <w:b/>
          <w:bCs/>
          <w:color w:val="1A3A5C"/>
          <w:sz w:val="32"/>
          <w:szCs w:val="32"/>
        </w:rPr>
        <w:t xml:space="preserve">5. O2C INTEGRATION WORKFLOW — STEP BY STEP</w:t>
      </w:r>
    </w:p>
    <w:p>
      <w:pPr>
        <w:spacing w:after="140" w:before="80"/>
      </w:pPr>
      <w:r>
        <w:rPr>
          <w:rFonts w:ascii="Times New Roman" w:cs="Times New Roman" w:eastAsia="Times New Roman" w:hAnsi="Times New Roman"/>
          <w:sz w:val="22"/>
          <w:szCs w:val="22"/>
        </w:rPr>
        <w:t xml:space="preserve">The following section documents each of the seven core O2C process steps in detail, with specific attention to the integration events, cross-module data flows, and configuration dependencies at each stage.</w:t>
      </w:r>
    </w:p>
    <w:p>
      <w:pPr>
        <w:spacing w:after="0" w:before="80"/>
      </w:pPr>
    </w:p>
    <w:p>
      <w:pPr>
        <w:spacing w:after="120" w:before="240"/>
      </w:pPr>
      <w:r>
        <w:rPr>
          <w:rFonts w:ascii="Times New Roman" w:cs="Times New Roman" w:eastAsia="Times New Roman" w:hAnsi="Times New Roman"/>
          <w:b/>
          <w:bCs/>
          <w:color w:val="2E75B6"/>
          <w:sz w:val="26"/>
          <w:szCs w:val="26"/>
        </w:rPr>
        <w:t xml:space="preserve">5.1 Step 1 — Inquiry Creation (VA11)</w:t>
      </w:r>
    </w:p>
    <w:p>
      <w:pPr>
        <w:spacing w:after="140" w:before="80"/>
      </w:pPr>
      <w:r>
        <w:rPr>
          <w:rFonts w:ascii="Times New Roman" w:cs="Times New Roman" w:eastAsia="Times New Roman" w:hAnsi="Times New Roman"/>
          <w:sz w:val="22"/>
          <w:szCs w:val="22"/>
        </w:rPr>
        <w:t xml:space="preserve">The pre-sales cycle initiates with the creation of a customer Inquiry in transaction VA11. An Inquiry is a non-binding document that captures a customer's interest in a product or service, along with preliminary quantities and desired delivery dates. While the Inquiry has no direct integration impact (it does not trigger ATP, pricing, or financial postings), it serves as the first document in the O2C document chain and provides valuable demand intelligence.</w:t>
      </w:r>
    </w:p>
    <w:p>
      <w:pPr>
        <w:spacing w:after="140" w:before="80"/>
      </w:pPr>
      <w:r>
        <w:rPr>
          <w:rFonts w:ascii="Times New Roman" w:cs="Times New Roman" w:eastAsia="Times New Roman" w:hAnsi="Times New Roman"/>
          <w:sz w:val="22"/>
          <w:szCs w:val="22"/>
        </w:rPr>
        <w:t xml:space="preserve">From an integration developer's perspective, the Inquiry is significant because it establishes the document chain reference that flows through all subsequent O2C documents. The Quotation references the Inquiry; the Sales Order references the Quotation. This reference chain is the foundation of SAP's end-to-end audit traceability.</w:t>
      </w:r>
    </w:p>
    <w:p>
      <w:pPr>
        <w:pBdr>
          <w:left w:val="single" w:color="2E75B6" w:sz="8" w:space="8"/>
        </w:pBdr>
        <w:spacing w:after="120" w:before="100"/>
        <w:ind w:left="500"/>
      </w:pPr>
      <w:r>
        <w:rPr>
          <w:rFonts w:ascii="Times New Roman" w:cs="Times New Roman" w:eastAsia="Times New Roman" w:hAnsi="Times New Roman"/>
          <w:i/>
          <w:iCs/>
          <w:color w:val="444444"/>
          <w:sz w:val="21"/>
          <w:szCs w:val="21"/>
        </w:rPr>
        <w:t xml:space="preserve">Inquiry Document Type: IN. The document type controls the transaction-specific behavior including: which fields are mandatory, which partner functions are applicable, and which output types are available. Document type configuration is in SPRO &gt; SD &gt; Sales &gt; Sales Documents &gt; Sales Document Header.</w:t>
      </w:r>
    </w:p>
    <w:p>
      <w:pPr>
        <w:spacing w:after="120" w:before="240"/>
      </w:pPr>
      <w:r>
        <w:rPr>
          <w:rFonts w:ascii="Times New Roman" w:cs="Times New Roman" w:eastAsia="Times New Roman" w:hAnsi="Times New Roman"/>
          <w:b/>
          <w:bCs/>
          <w:color w:val="2E75B6"/>
          <w:sz w:val="26"/>
          <w:szCs w:val="26"/>
        </w:rPr>
        <w:t xml:space="preserve">5.2 Step 2 — Quotation Creation (VA21)</w:t>
      </w:r>
    </w:p>
    <w:p>
      <w:pPr>
        <w:spacing w:after="140" w:before="80"/>
      </w:pPr>
      <w:r>
        <w:rPr>
          <w:rFonts w:ascii="Times New Roman" w:cs="Times New Roman" w:eastAsia="Times New Roman" w:hAnsi="Times New Roman"/>
          <w:sz w:val="22"/>
          <w:szCs w:val="22"/>
        </w:rPr>
        <w:t xml:space="preserve">The Quotation, created in VA21, is a formal, legally binding (in most jurisdictions) price commitment to the customer, specifying product, quantity, price, and a validity period. The Quotation is where the SAP Condition Technique first comes into full play — all pricing conditions (base price, discounts, taxes) are determined automatically based on the customer's pricing procedure indicator and the available condition records.</w:t>
      </w:r>
    </w:p>
    <w:p>
      <w:pPr>
        <w:spacing w:after="140" w:before="80"/>
      </w:pPr>
      <w:r>
        <w:rPr>
          <w:rFonts w:ascii="Times New Roman" w:cs="Times New Roman" w:eastAsia="Times New Roman" w:hAnsi="Times New Roman"/>
          <w:sz w:val="22"/>
          <w:szCs w:val="22"/>
        </w:rPr>
        <w:t xml:space="preserve">The Quotation may reference an existing Inquiry, in which case SAP copies the relevant data (customer, material, quantity) forward, eliminating re-entry and ensuring data consistency — a form of intra-module data integration.</w:t>
      </w:r>
    </w:p>
    <w:p>
      <w:pPr>
        <w:spacing w:after="120" w:before="240"/>
      </w:pPr>
      <w:r>
        <w:rPr>
          <w:rFonts w:ascii="Times New Roman" w:cs="Times New Roman" w:eastAsia="Times New Roman" w:hAnsi="Times New Roman"/>
          <w:b/>
          <w:bCs/>
          <w:color w:val="2E75B6"/>
          <w:sz w:val="26"/>
          <w:szCs w:val="26"/>
        </w:rPr>
        <w:t xml:space="preserve">5.3 Step 3 — Sales Order Creation (VA01) — The Master Integration Trigger</w:t>
      </w:r>
    </w:p>
    <w:p>
      <w:pPr>
        <w:spacing w:after="140" w:before="80"/>
      </w:pPr>
      <w:r>
        <w:rPr>
          <w:rFonts w:ascii="Times New Roman" w:cs="Times New Roman" w:eastAsia="Times New Roman" w:hAnsi="Times New Roman"/>
          <w:sz w:val="22"/>
          <w:szCs w:val="22"/>
        </w:rPr>
        <w:t xml:space="preserve">The Sales Order, created in VA01, is the central orchestration document of the entire O2C integration cycle. Its creation — specifically, the moment it is saved — triggers a cascade of automated integration events across multiple SAP modules simultaneously. For an Integration Developer, the Sales Order save event is the most important integration trigger in the O2C chain.</w:t>
      </w:r>
    </w:p>
    <w:p>
      <w:pPr>
        <w:spacing w:after="100" w:before="180"/>
      </w:pPr>
      <w:r>
        <w:rPr>
          <w:rFonts w:ascii="Times New Roman" w:cs="Times New Roman" w:eastAsia="Times New Roman" w:hAnsi="Times New Roman"/>
          <w:b/>
          <w:bCs/>
          <w:i/>
          <w:iCs/>
          <w:color w:val="1A3A5C"/>
          <w:sz w:val="23"/>
          <w:szCs w:val="23"/>
        </w:rPr>
        <w:t xml:space="preserve">Integration Events Triggered at VA01 Save:</w:t>
      </w:r>
    </w:p>
    <w:p>
      <w:pPr>
        <w:pStyle w:val="ListParagraph"/>
        <w:numPr>
          <w:ilvl w:val="0"/>
          <w:numId w:val="2"/>
        </w:numPr>
        <w:spacing w:after="60" w:before="60"/>
      </w:pPr>
      <w:r>
        <w:rPr>
          <w:rFonts w:ascii="Times New Roman" w:cs="Times New Roman" w:eastAsia="Times New Roman" w:hAnsi="Times New Roman"/>
          <w:sz w:val="22"/>
          <w:szCs w:val="22"/>
        </w:rPr>
        <w:t xml:space="preserve">ATP Check (SD→MM): SAP queries MM stock data in real time via CO09 ATP logic to determine if the requested quantity is available for the requested delivery date. If stock is insufficient, a future confirmed date is calculated based on expected receipts.</w:t>
      </w:r>
    </w:p>
    <w:p>
      <w:pPr>
        <w:pStyle w:val="ListParagraph"/>
        <w:numPr>
          <w:ilvl w:val="0"/>
          <w:numId w:val="2"/>
        </w:numPr>
        <w:spacing w:after="60" w:before="60"/>
      </w:pPr>
      <w:r>
        <w:rPr>
          <w:rFonts w:ascii="Times New Roman" w:cs="Times New Roman" w:eastAsia="Times New Roman" w:hAnsi="Times New Roman"/>
          <w:sz w:val="22"/>
          <w:szCs w:val="22"/>
        </w:rPr>
        <w:t xml:space="preserve">Credit Check (SD→FI): SAP queries the customer's current credit exposure (open orders + open deliveries + open receivables) in FI against their credit limit configured in FD32. If the new order would breach the limit, the order is automatically blocked.</w:t>
      </w:r>
    </w:p>
    <w:p>
      <w:pPr>
        <w:pStyle w:val="ListParagraph"/>
        <w:numPr>
          <w:ilvl w:val="0"/>
          <w:numId w:val="2"/>
        </w:numPr>
        <w:spacing w:after="60" w:before="60"/>
      </w:pPr>
      <w:r>
        <w:rPr>
          <w:rFonts w:ascii="Times New Roman" w:cs="Times New Roman" w:eastAsia="Times New Roman" w:hAnsi="Times New Roman"/>
          <w:sz w:val="22"/>
          <w:szCs w:val="22"/>
        </w:rPr>
        <w:t xml:space="preserve">Pricing Determination (SD): The Condition Technique fires automatically, evaluating all applicable condition records to calculate the net value, tax amount, and payment terms for the order.</w:t>
      </w:r>
    </w:p>
    <w:p>
      <w:pPr>
        <w:pStyle w:val="ListParagraph"/>
        <w:numPr>
          <w:ilvl w:val="0"/>
          <w:numId w:val="2"/>
        </w:numPr>
        <w:spacing w:after="60" w:before="60"/>
      </w:pPr>
      <w:r>
        <w:rPr>
          <w:rFonts w:ascii="Times New Roman" w:cs="Times New Roman" w:eastAsia="Times New Roman" w:hAnsi="Times New Roman"/>
          <w:sz w:val="22"/>
          <w:szCs w:val="22"/>
        </w:rPr>
        <w:t xml:space="preserve">Partner Function Determination (SD): Sold-to, Ship-to, Bill-to, and Payer parties are determined automatically from the Customer Master, or can be overridden manually.</w:t>
      </w:r>
    </w:p>
    <w:p>
      <w:pPr>
        <w:pStyle w:val="ListParagraph"/>
        <w:numPr>
          <w:ilvl w:val="0"/>
          <w:numId w:val="2"/>
        </w:numPr>
        <w:spacing w:after="60" w:before="60"/>
      </w:pPr>
      <w:r>
        <w:rPr>
          <w:rFonts w:ascii="Times New Roman" w:cs="Times New Roman" w:eastAsia="Times New Roman" w:hAnsi="Times New Roman"/>
          <w:sz w:val="22"/>
          <w:szCs w:val="22"/>
        </w:rPr>
        <w:t xml:space="preserve">Output Determination (SD): Order confirmation output is determined and queued for printing or email dispatch based on the customer's output master record.</w:t>
      </w:r>
    </w:p>
    <w:p>
      <w:pPr>
        <w:pBdr>
          <w:left w:val="single" w:color="2E75B6" w:sz="8" w:space="8"/>
        </w:pBdr>
        <w:spacing w:after="120" w:before="100"/>
        <w:ind w:left="500"/>
      </w:pPr>
      <w:r>
        <w:rPr>
          <w:rFonts w:ascii="Times New Roman" w:cs="Times New Roman" w:eastAsia="Times New Roman" w:hAnsi="Times New Roman"/>
          <w:i/>
          <w:iCs/>
          <w:color w:val="444444"/>
          <w:sz w:val="21"/>
          <w:szCs w:val="21"/>
        </w:rPr>
        <w:t xml:space="preserve">The Sales Order is the integration hub of O2C. It holds references to the customer (→FI), the material (→MM), the plant (→MM/WM), the pricing procedure (→SD), the credit control area (→FI), and the shipping point (→WM/SD). All downstream integration events derive their routing from these references set in the Sales Order.</w:t>
      </w:r>
    </w:p>
    <w:p>
      <w:pPr>
        <w:spacing w:after="120" w:before="240"/>
      </w:pPr>
      <w:r>
        <w:rPr>
          <w:rFonts w:ascii="Times New Roman" w:cs="Times New Roman" w:eastAsia="Times New Roman" w:hAnsi="Times New Roman"/>
          <w:b/>
          <w:bCs/>
          <w:color w:val="2E75B6"/>
          <w:sz w:val="26"/>
          <w:szCs w:val="26"/>
        </w:rPr>
        <w:t xml:space="preserve">5.4 Step 4 — Availability Check / ATP (CO09)</w:t>
      </w:r>
    </w:p>
    <w:p>
      <w:pPr>
        <w:spacing w:after="140" w:before="80"/>
      </w:pPr>
      <w:r>
        <w:rPr>
          <w:rFonts w:ascii="Times New Roman" w:cs="Times New Roman" w:eastAsia="Times New Roman" w:hAnsi="Times New Roman"/>
          <w:sz w:val="22"/>
          <w:szCs w:val="22"/>
        </w:rPr>
        <w:t xml:space="preserve">The Available-to-Promise (ATP) check is one of SAP's most sophisticated real-time SD-MM integration mechanisms. When a Sales Order line item is confirmed, SAP executes the ATP calculation against the Availability Check rule configured in the Material Master (Sales: General/Plant view).</w:t>
      </w:r>
    </w:p>
    <w:p>
      <w:pPr>
        <w:spacing w:after="140" w:before="80"/>
      </w:pPr>
      <w:r>
        <w:rPr>
          <w:rFonts w:ascii="Times New Roman" w:cs="Times New Roman" w:eastAsia="Times New Roman" w:hAnsi="Times New Roman"/>
          <w:sz w:val="22"/>
          <w:szCs w:val="22"/>
        </w:rPr>
        <w:t xml:space="preserve">The ATP calculation considers the following elements:</w:t>
      </w:r>
    </w:p>
    <w:p>
      <w:pPr>
        <w:pStyle w:val="ListParagraph"/>
        <w:numPr>
          <w:ilvl w:val="0"/>
          <w:numId w:val="2"/>
        </w:numPr>
        <w:spacing w:after="60" w:before="60"/>
      </w:pPr>
      <w:r>
        <w:rPr>
          <w:rFonts w:ascii="Times New Roman" w:cs="Times New Roman" w:eastAsia="Times New Roman" w:hAnsi="Times New Roman"/>
          <w:sz w:val="22"/>
          <w:szCs w:val="22"/>
        </w:rPr>
        <w:t xml:space="preserve">Current unrestricted-use stock in the confirmed plant and storage location</w:t>
      </w:r>
    </w:p>
    <w:p>
      <w:pPr>
        <w:pStyle w:val="ListParagraph"/>
        <w:numPr>
          <w:ilvl w:val="0"/>
          <w:numId w:val="2"/>
        </w:numPr>
        <w:spacing w:after="60" w:before="60"/>
      </w:pPr>
      <w:r>
        <w:rPr>
          <w:rFonts w:ascii="Times New Roman" w:cs="Times New Roman" w:eastAsia="Times New Roman" w:hAnsi="Times New Roman"/>
          <w:sz w:val="22"/>
          <w:szCs w:val="22"/>
        </w:rPr>
        <w:t xml:space="preserve">Confirmed incoming supply: purchase order receipts, production order confirmations, stock transfers</w:t>
      </w:r>
    </w:p>
    <w:p>
      <w:pPr>
        <w:pStyle w:val="ListParagraph"/>
        <w:numPr>
          <w:ilvl w:val="0"/>
          <w:numId w:val="2"/>
        </w:numPr>
        <w:spacing w:after="60" w:before="60"/>
      </w:pPr>
      <w:r>
        <w:rPr>
          <w:rFonts w:ascii="Times New Roman" w:cs="Times New Roman" w:eastAsia="Times New Roman" w:hAnsi="Times New Roman"/>
          <w:sz w:val="22"/>
          <w:szCs w:val="22"/>
        </w:rPr>
        <w:t xml:space="preserve">Confirmed outgoing demand: existing sales order deliveries, reservations, transfer requirements</w:t>
      </w:r>
    </w:p>
    <w:p>
      <w:pPr>
        <w:spacing w:after="140" w:before="80"/>
      </w:pPr>
      <w:r>
        <w:rPr>
          <w:rFonts w:ascii="Times New Roman" w:cs="Times New Roman" w:eastAsia="Times New Roman" w:hAnsi="Times New Roman"/>
          <w:sz w:val="22"/>
          <w:szCs w:val="22"/>
        </w:rPr>
        <w:t xml:space="preserve">The ATP result provides a confirmed quantity and a committed delivery date — the date on which SAP guarantees the stock will be available for delivery. This commitment flows automatically into the Sales Order line item as the confirmed delivery date, which is then used by the logistics team to schedule the outbound delivery.</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4600"/>
      </w:tblGrid>
      <w:tr>
        <w:trPr>
          <w:tblHeader/>
        </w:trPr>
        <w:tc>
          <w:tcPr>
            <w:tcW w:type="dxa" w:w="2000"/>
            <w:tcBorders>
              <w:top w:val="single" w:color="AAAAAA" w:sz="1"/>
              <w:left w:val="single" w:color="AAAAAA" w:sz="1"/>
              <w:bottom w:val="single" w:color="AAAAAA" w:sz="1"/>
              <w:right w:val="single" w:color="AAAAAA" w:sz="1"/>
            </w:tcBorders>
            <w:shd w:fill="1A3A5C" w:val="clear"/>
            <w:tcMar>
              <w:top w:type="dxa" w:w="80"/>
              <w:left w:type="dxa" w:w="140"/>
              <w:bottom w:type="dxa" w:w="80"/>
              <w:right w:type="dxa" w:w="140"/>
            </w:tcMar>
          </w:tcPr>
          <w:p>
            <w:r>
              <w:rPr>
                <w:rFonts w:ascii="Times New Roman" w:cs="Times New Roman" w:eastAsia="Times New Roman" w:hAnsi="Times New Roman"/>
                <w:b/>
                <w:bCs/>
                <w:color w:val="FFFFFF"/>
                <w:sz w:val="20"/>
                <w:szCs w:val="20"/>
              </w:rPr>
              <w:t xml:space="preserve">ATP Scope</w:t>
            </w:r>
          </w:p>
        </w:tc>
        <w:tc>
          <w:tcPr>
            <w:tcW w:type="dxa" w:w="2200"/>
            <w:tcBorders>
              <w:top w:val="single" w:color="AAAAAA" w:sz="1"/>
              <w:left w:val="single" w:color="AAAAAA" w:sz="1"/>
              <w:bottom w:val="single" w:color="AAAAAA" w:sz="1"/>
              <w:right w:val="single" w:color="AAAAAA" w:sz="1"/>
            </w:tcBorders>
            <w:shd w:fill="1A3A5C" w:val="clear"/>
            <w:tcMar>
              <w:top w:type="dxa" w:w="80"/>
              <w:left w:type="dxa" w:w="140"/>
              <w:bottom w:type="dxa" w:w="80"/>
              <w:right w:type="dxa" w:w="140"/>
            </w:tcMar>
          </w:tcPr>
          <w:p>
            <w:r>
              <w:rPr>
                <w:rFonts w:ascii="Times New Roman" w:cs="Times New Roman" w:eastAsia="Times New Roman" w:hAnsi="Times New Roman"/>
                <w:b/>
                <w:bCs/>
                <w:color w:val="FFFFFF"/>
                <w:sz w:val="20"/>
                <w:szCs w:val="20"/>
              </w:rPr>
              <w:t xml:space="preserve">Configuration (CO09)</w:t>
            </w:r>
          </w:p>
        </w:tc>
        <w:tc>
          <w:tcPr>
            <w:tcW w:type="dxa" w:w="4600"/>
            <w:tcBorders>
              <w:top w:val="single" w:color="AAAAAA" w:sz="1"/>
              <w:left w:val="single" w:color="AAAAAA" w:sz="1"/>
              <w:bottom w:val="single" w:color="AAAAAA" w:sz="1"/>
              <w:right w:val="single" w:color="AAAAAA" w:sz="1"/>
            </w:tcBorders>
            <w:shd w:fill="1A3A5C" w:val="clear"/>
            <w:tcMar>
              <w:top w:type="dxa" w:w="80"/>
              <w:left w:type="dxa" w:w="140"/>
              <w:bottom w:type="dxa" w:w="80"/>
              <w:right w:type="dxa" w:w="140"/>
            </w:tcMar>
          </w:tcPr>
          <w:p>
            <w:r>
              <w:rPr>
                <w:rFonts w:ascii="Times New Roman" w:cs="Times New Roman" w:eastAsia="Times New Roman" w:hAnsi="Times New Roman"/>
                <w:b/>
                <w:bCs/>
                <w:color w:val="FFFFFF"/>
                <w:sz w:val="20"/>
                <w:szCs w:val="20"/>
              </w:rPr>
              <w:t xml:space="preserve">Integration Impact</w:t>
            </w:r>
          </w:p>
        </w:tc>
      </w:tr>
      <w:tr>
        <w:trPr>
          <w:tblHeader w:val="false"/>
        </w:trPr>
        <w:tc>
          <w:tcPr>
            <w:tcW w:type="dxa" w:w="2000"/>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Check against</w:t>
            </w:r>
          </w:p>
        </w:tc>
        <w:tc>
          <w:tcPr>
            <w:tcW w:type="dxa" w:w="2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Check rule 'A' (All MRP elements)</w:t>
            </w:r>
          </w:p>
        </w:tc>
        <w:tc>
          <w:tcPr>
            <w:tcW w:type="dxa" w:w="4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SD checks all MM supply/demand in real time</w:t>
            </w:r>
          </w:p>
        </w:tc>
      </w:tr>
      <w:tr>
        <w:trPr>
          <w:tblHeader w:val="false"/>
        </w:trPr>
        <w:tc>
          <w:tcPr>
            <w:tcW w:type="dxa" w:w="2000"/>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Replenishment lead time</w:t>
            </w:r>
          </w:p>
        </w:tc>
        <w:tc>
          <w:tcPr>
            <w:tcW w:type="dxa" w:w="2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Configured in Material Master MRP</w:t>
            </w:r>
          </w:p>
        </w:tc>
        <w:tc>
          <w:tcPr>
            <w:tcW w:type="dxa" w:w="4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If no stock, SAP calculates future availability from MRP data</w:t>
            </w:r>
          </w:p>
        </w:tc>
      </w:tr>
      <w:tr>
        <w:trPr>
          <w:tblHeader w:val="false"/>
        </w:trPr>
        <w:tc>
          <w:tcPr>
            <w:tcW w:type="dxa" w:w="2000"/>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Partial confirmation</w:t>
            </w:r>
          </w:p>
        </w:tc>
        <w:tc>
          <w:tcPr>
            <w:tcW w:type="dxa" w:w="2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Allowed (per item category config)</w:t>
            </w:r>
          </w:p>
        </w:tc>
        <w:tc>
          <w:tcPr>
            <w:tcW w:type="dxa" w:w="4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Can partially confirm order; rest on backorder</w:t>
            </w:r>
          </w:p>
        </w:tc>
      </w:tr>
      <w:tr>
        <w:trPr>
          <w:tblHeader w:val="false"/>
        </w:trPr>
        <w:tc>
          <w:tcPr>
            <w:tcW w:type="dxa" w:w="2000"/>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Rescheduling</w:t>
            </w:r>
          </w:p>
        </w:tc>
        <w:tc>
          <w:tcPr>
            <w:tcW w:type="dxa" w:w="2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Background job (SDV03V)</w:t>
            </w:r>
          </w:p>
        </w:tc>
        <w:tc>
          <w:tcPr>
            <w:tcW w:type="dxa" w:w="4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Automatically reschedules confirmed deliveries when supply changes</w:t>
            </w:r>
          </w:p>
        </w:tc>
      </w:tr>
    </w:tbl>
    <w:p>
      <w:pPr>
        <w:spacing w:after="0" w:before="160"/>
      </w:pPr>
    </w:p>
    <w:p>
      <w:pPr>
        <w:spacing w:after="120" w:before="240"/>
      </w:pPr>
      <w:r>
        <w:rPr>
          <w:rFonts w:ascii="Times New Roman" w:cs="Times New Roman" w:eastAsia="Times New Roman" w:hAnsi="Times New Roman"/>
          <w:b/>
          <w:bCs/>
          <w:color w:val="2E75B6"/>
          <w:sz w:val="26"/>
          <w:szCs w:val="26"/>
        </w:rPr>
        <w:t xml:space="preserve">5.5 Step 5 — Outbound Delivery Creation (VL01N)</w:t>
      </w:r>
    </w:p>
    <w:p>
      <w:pPr>
        <w:spacing w:after="140" w:before="80"/>
      </w:pPr>
      <w:r>
        <w:rPr>
          <w:rFonts w:ascii="Times New Roman" w:cs="Times New Roman" w:eastAsia="Times New Roman" w:hAnsi="Times New Roman"/>
          <w:sz w:val="22"/>
          <w:szCs w:val="22"/>
        </w:rPr>
        <w:t xml:space="preserve">The Outbound Delivery, created in VL01N, is the logistics execution document that bridges the gap between the commercial order in SD and the physical movement of goods managed by WM. Its creation triggers the warehouse execution workflow.</w:t>
      </w:r>
    </w:p>
    <w:p>
      <w:pPr>
        <w:spacing w:after="140" w:before="80"/>
      </w:pPr>
      <w:r>
        <w:rPr>
          <w:rFonts w:ascii="Times New Roman" w:cs="Times New Roman" w:eastAsia="Times New Roman" w:hAnsi="Times New Roman"/>
          <w:sz w:val="22"/>
          <w:szCs w:val="22"/>
        </w:rPr>
        <w:t xml:space="preserve">When VL01N is executed against a Sales Order, SAP copies the relevant delivery data (ship-to party, delivery quantity, plant, storage location, shipping point) from the Sales Order. The delivery document then serves as the control document for all subsequent logistics activities:</w:t>
      </w:r>
    </w:p>
    <w:p>
      <w:pPr>
        <w:pStyle w:val="ListParagraph"/>
        <w:numPr>
          <w:ilvl w:val="0"/>
          <w:numId w:val="2"/>
        </w:numPr>
        <w:spacing w:after="60" w:before="60"/>
      </w:pPr>
      <w:r>
        <w:rPr>
          <w:rFonts w:ascii="Times New Roman" w:cs="Times New Roman" w:eastAsia="Times New Roman" w:hAnsi="Times New Roman"/>
          <w:sz w:val="22"/>
          <w:szCs w:val="22"/>
        </w:rPr>
        <w:t xml:space="preserve">Transfer Order Creation (SD→WM): SAP automatically creates a Transfer Order in Warehouse Management, instructing the warehouse to pick the specified material quantity from the assigned storage bin. This is an automated SD-WM integration event.</w:t>
      </w:r>
    </w:p>
    <w:p>
      <w:pPr>
        <w:pStyle w:val="ListParagraph"/>
        <w:numPr>
          <w:ilvl w:val="0"/>
          <w:numId w:val="2"/>
        </w:numPr>
        <w:spacing w:after="60" w:before="60"/>
      </w:pPr>
      <w:r>
        <w:rPr>
          <w:rFonts w:ascii="Times New Roman" w:cs="Times New Roman" w:eastAsia="Times New Roman" w:hAnsi="Times New Roman"/>
          <w:sz w:val="22"/>
          <w:szCs w:val="22"/>
        </w:rPr>
        <w:t xml:space="preserve">Picking Confirmation (WM→SD): Once the warehouse confirms the pick (via LT0A or WM-managed RF transactions), the delivery document is updated with the picked quantity, enabling the Post Goods Issue step.</w:t>
      </w:r>
    </w:p>
    <w:p>
      <w:pPr>
        <w:pStyle w:val="ListParagraph"/>
        <w:numPr>
          <w:ilvl w:val="0"/>
          <w:numId w:val="2"/>
        </w:numPr>
        <w:spacing w:after="60" w:before="60"/>
      </w:pPr>
      <w:r>
        <w:rPr>
          <w:rFonts w:ascii="Times New Roman" w:cs="Times New Roman" w:eastAsia="Times New Roman" w:hAnsi="Times New Roman"/>
          <w:sz w:val="22"/>
          <w:szCs w:val="22"/>
        </w:rPr>
        <w:t xml:space="preserve">Packing (Optional): Packing materials and handling unit data can be assigned to the delivery, recording the physical packaging configuration.</w:t>
      </w:r>
    </w:p>
    <w:p>
      <w:pPr>
        <w:spacing w:after="120" w:before="240"/>
      </w:pPr>
      <w:r>
        <w:rPr>
          <w:rFonts w:ascii="Times New Roman" w:cs="Times New Roman" w:eastAsia="Times New Roman" w:hAnsi="Times New Roman"/>
          <w:b/>
          <w:bCs/>
          <w:color w:val="2E75B6"/>
          <w:sz w:val="26"/>
          <w:szCs w:val="26"/>
        </w:rPr>
        <w:t xml:space="preserve">5.6 Step 6 — Post Goods Issue (VL02N) — The SD-MM-FI Integration Event</w:t>
      </w:r>
    </w:p>
    <w:p>
      <w:pPr>
        <w:spacing w:after="140" w:before="80"/>
      </w:pPr>
      <w:r>
        <w:rPr>
          <w:rFonts w:ascii="Times New Roman" w:cs="Times New Roman" w:eastAsia="Times New Roman" w:hAnsi="Times New Roman"/>
          <w:sz w:val="22"/>
          <w:szCs w:val="22"/>
        </w:rPr>
        <w:t xml:space="preserve">Post Goods Issue (PGI), executed in VL02N, is the most impactful automated integration event in the entire O2C cycle. A single button click — 'Post Goods Issue' — simultaneously triggers a coordinated set of events across three SAP modules without any human intervention in the connected systems:</w:t>
      </w:r>
    </w:p>
    <w:p>
      <w:pPr>
        <w:spacing w:after="100" w:before="180"/>
      </w:pPr>
      <w:r>
        <w:rPr>
          <w:rFonts w:ascii="Times New Roman" w:cs="Times New Roman" w:eastAsia="Times New Roman" w:hAnsi="Times New Roman"/>
          <w:b/>
          <w:bCs/>
          <w:i/>
          <w:iCs/>
          <w:color w:val="1A3A5C"/>
          <w:sz w:val="23"/>
          <w:szCs w:val="23"/>
        </w:rPr>
        <w:t xml:space="preserve">MM Integration — Stock Reduction:</w:t>
      </w:r>
    </w:p>
    <w:p>
      <w:pPr>
        <w:spacing w:after="140" w:before="80"/>
      </w:pPr>
      <w:r>
        <w:rPr>
          <w:rFonts w:ascii="Times New Roman" w:cs="Times New Roman" w:eastAsia="Times New Roman" w:hAnsi="Times New Roman"/>
          <w:sz w:val="22"/>
          <w:szCs w:val="22"/>
        </w:rPr>
        <w:t xml:space="preserve">SAP posts a Goods Issue movement (Movement Type 601) in Materials Management, reducing the unrestricted-use stock of the material in the confirmed storage location. A material document is created in MM as the accounting record of this inventory movement.</w:t>
      </w:r>
    </w:p>
    <w:p>
      <w:pPr>
        <w:spacing w:after="100" w:before="180"/>
      </w:pPr>
      <w:r>
        <w:rPr>
          <w:rFonts w:ascii="Times New Roman" w:cs="Times New Roman" w:eastAsia="Times New Roman" w:hAnsi="Times New Roman"/>
          <w:b/>
          <w:bCs/>
          <w:i/>
          <w:iCs/>
          <w:color w:val="1A3A5C"/>
          <w:sz w:val="23"/>
          <w:szCs w:val="23"/>
        </w:rPr>
        <w:t xml:space="preserve">FI Integration — Automatic COGS Posting:</w:t>
      </w:r>
    </w:p>
    <w:p>
      <w:pPr>
        <w:spacing w:after="140" w:before="80"/>
      </w:pPr>
      <w:r>
        <w:rPr>
          <w:rFonts w:ascii="Times New Roman" w:cs="Times New Roman" w:eastAsia="Times New Roman" w:hAnsi="Times New Roman"/>
          <w:sz w:val="22"/>
          <w:szCs w:val="22"/>
        </w:rPr>
        <w:t xml:space="preserve">Simultaneously, SAP creates an accounting document in Financial Accounting, posting:</w:t>
      </w:r>
    </w:p>
    <w:p>
      <w:pPr>
        <w:pStyle w:val="ListParagraph"/>
        <w:numPr>
          <w:ilvl w:val="0"/>
          <w:numId w:val="2"/>
        </w:numPr>
        <w:spacing w:after="60" w:before="60"/>
      </w:pPr>
      <w:r>
        <w:rPr>
          <w:rFonts w:ascii="Times New Roman" w:cs="Times New Roman" w:eastAsia="Times New Roman" w:hAnsi="Times New Roman"/>
          <w:sz w:val="22"/>
          <w:szCs w:val="22"/>
        </w:rPr>
        <w:t xml:space="preserve">Debit: Cost of Goods Sold (COGS) — P&amp;L account (e.g., Account 500000)</w:t>
      </w:r>
    </w:p>
    <w:p>
      <w:pPr>
        <w:pStyle w:val="ListParagraph"/>
        <w:numPr>
          <w:ilvl w:val="0"/>
          <w:numId w:val="2"/>
        </w:numPr>
        <w:spacing w:after="60" w:before="60"/>
      </w:pPr>
      <w:r>
        <w:rPr>
          <w:rFonts w:ascii="Times New Roman" w:cs="Times New Roman" w:eastAsia="Times New Roman" w:hAnsi="Times New Roman"/>
          <w:sz w:val="22"/>
          <w:szCs w:val="22"/>
        </w:rPr>
        <w:t xml:space="preserve">Credit: Inventory / Stock Account — Balance Sheet account (e.g., Account 300000)</w:t>
      </w:r>
    </w:p>
    <w:p>
      <w:pPr>
        <w:spacing w:after="140" w:before="80"/>
      </w:pPr>
      <w:r>
        <w:rPr>
          <w:rFonts w:ascii="Times New Roman" w:cs="Times New Roman" w:eastAsia="Times New Roman" w:hAnsi="Times New Roman"/>
          <w:sz w:val="22"/>
          <w:szCs w:val="22"/>
        </w:rPr>
        <w:t xml:space="preserve">The COGS value is calculated from the material's standard price or moving average price configured in the Material Master (Accounting 1 view). This automatic posting eliminates the need for any manual journal entry by the accounting team — the PGI event is the integration trigger, and the financial recording is automatic.</w:t>
      </w:r>
    </w:p>
    <w:p>
      <w:pPr>
        <w:spacing w:after="100" w:before="180"/>
      </w:pPr>
      <w:r>
        <w:rPr>
          <w:rFonts w:ascii="Times New Roman" w:cs="Times New Roman" w:eastAsia="Times New Roman" w:hAnsi="Times New Roman"/>
          <w:b/>
          <w:bCs/>
          <w:i/>
          <w:iCs/>
          <w:color w:val="1A3A5C"/>
          <w:sz w:val="23"/>
          <w:szCs w:val="23"/>
        </w:rPr>
        <w:t xml:space="preserve">SD Integration — Billing Due List Update:</w:t>
      </w:r>
    </w:p>
    <w:p>
      <w:pPr>
        <w:spacing w:after="140" w:before="80"/>
      </w:pPr>
      <w:r>
        <w:rPr>
          <w:rFonts w:ascii="Times New Roman" w:cs="Times New Roman" w:eastAsia="Times New Roman" w:hAnsi="Times New Roman"/>
          <w:sz w:val="22"/>
          <w:szCs w:val="22"/>
        </w:rPr>
        <w:t xml:space="preserve">The delivery document's status is updated to 'Goods Issued', which adds it to the Billing Due List (VF04). This is the integration signal to the billing team that the delivery is ready for invoice creation. Before PGI, billing is not possible; after PGI, billing is unlocked automatically.</w:t>
      </w:r>
    </w:p>
    <w:p>
      <w:pPr>
        <w:pBdr>
          <w:left w:val="single" w:color="2E75B6" w:sz="8" w:space="8"/>
        </w:pBdr>
        <w:spacing w:after="120" w:before="100"/>
        <w:ind w:left="500"/>
      </w:pPr>
      <w:r>
        <w:rPr>
          <w:rFonts w:ascii="Times New Roman" w:cs="Times New Roman" w:eastAsia="Times New Roman" w:hAnsi="Times New Roman"/>
          <w:i/>
          <w:iCs/>
          <w:color w:val="444444"/>
          <w:sz w:val="21"/>
          <w:szCs w:val="21"/>
        </w:rPr>
        <w:t xml:space="preserve">Event-Driven Integration Principle: PGI is a textbook example of event-driven integration in SAP. The business event (physical goods leave the warehouse) serves as the integration trigger. SAP propagates this event automatically to MM (stock reduction) and FI (COGS posting) without any human action across systems. This is the power of deep ERP integration versus point-to-point system integrations.</w:t>
      </w:r>
    </w:p>
    <w:p>
      <w:pPr>
        <w:spacing w:after="120" w:before="240"/>
      </w:pPr>
      <w:r>
        <w:rPr>
          <w:rFonts w:ascii="Times New Roman" w:cs="Times New Roman" w:eastAsia="Times New Roman" w:hAnsi="Times New Roman"/>
          <w:b/>
          <w:bCs/>
          <w:color w:val="2E75B6"/>
          <w:sz w:val="26"/>
          <w:szCs w:val="26"/>
        </w:rPr>
        <w:t xml:space="preserve">5.7 Step 7 — Billing Document Creation (VF01)</w:t>
      </w:r>
    </w:p>
    <w:p>
      <w:pPr>
        <w:spacing w:after="140" w:before="80"/>
      </w:pPr>
      <w:r>
        <w:rPr>
          <w:rFonts w:ascii="Times New Roman" w:cs="Times New Roman" w:eastAsia="Times New Roman" w:hAnsi="Times New Roman"/>
          <w:sz w:val="22"/>
          <w:szCs w:val="22"/>
        </w:rPr>
        <w:t xml:space="preserve">Transaction VF01 creates the customer-facing billing document (invoice) against the completed delivery. Like PGI, billing document creation is a multi-module integration event that simultaneously updates the financial ledgers.</w:t>
      </w:r>
    </w:p>
    <w:p>
      <w:pPr>
        <w:spacing w:after="140" w:before="80"/>
      </w:pPr>
      <w:r>
        <w:rPr>
          <w:rFonts w:ascii="Times New Roman" w:cs="Times New Roman" w:eastAsia="Times New Roman" w:hAnsi="Times New Roman"/>
          <w:sz w:val="22"/>
          <w:szCs w:val="22"/>
        </w:rPr>
        <w:t xml:space="preserve">When VF01 is posted, the following integration events occur simultaneously:</w:t>
      </w:r>
    </w:p>
    <w:p>
      <w:pPr>
        <w:pStyle w:val="ListParagraph"/>
        <w:numPr>
          <w:ilvl w:val="0"/>
          <w:numId w:val="2"/>
        </w:numPr>
        <w:spacing w:after="60" w:before="60"/>
      </w:pPr>
      <w:r>
        <w:rPr>
          <w:rFonts w:ascii="Times New Roman" w:cs="Times New Roman" w:eastAsia="Times New Roman" w:hAnsi="Times New Roman"/>
          <w:sz w:val="22"/>
          <w:szCs w:val="22"/>
        </w:rPr>
        <w:t xml:space="preserve">FI Posting — Accounts Receivable: Debit to Customer Reconciliation Account (e.g., 150000) — increases the customer's outstanding balance</w:t>
      </w:r>
    </w:p>
    <w:p>
      <w:pPr>
        <w:pStyle w:val="ListParagraph"/>
        <w:numPr>
          <w:ilvl w:val="0"/>
          <w:numId w:val="2"/>
        </w:numPr>
        <w:spacing w:after="60" w:before="60"/>
      </w:pPr>
      <w:r>
        <w:rPr>
          <w:rFonts w:ascii="Times New Roman" w:cs="Times New Roman" w:eastAsia="Times New Roman" w:hAnsi="Times New Roman"/>
          <w:sz w:val="22"/>
          <w:szCs w:val="22"/>
        </w:rPr>
        <w:t xml:space="preserve">FI Posting — Revenue Recognition: Credit to Revenue G/L Account (e.g., 800000) — records revenue in the P&amp;L. The revenue account is determined automatically by SAP's Account Determination configuration (VKOA), using the combination of Account Assignment Group from the Customer Master and Material Master.</w:t>
      </w:r>
    </w:p>
    <w:p>
      <w:pPr>
        <w:pStyle w:val="ListParagraph"/>
        <w:numPr>
          <w:ilvl w:val="0"/>
          <w:numId w:val="2"/>
        </w:numPr>
        <w:spacing w:after="60" w:before="60"/>
      </w:pPr>
      <w:r>
        <w:rPr>
          <w:rFonts w:ascii="Times New Roman" w:cs="Times New Roman" w:eastAsia="Times New Roman" w:hAnsi="Times New Roman"/>
          <w:sz w:val="22"/>
          <w:szCs w:val="22"/>
        </w:rPr>
        <w:t xml:space="preserve">FI Posting — Tax Liability: Credit to Tax Payable Account (GST/VAT) — automatically calculated from the tax condition type (MWST) configured in the pricing procedure.</w:t>
      </w:r>
    </w:p>
    <w:p>
      <w:pPr>
        <w:pStyle w:val="ListParagraph"/>
        <w:numPr>
          <w:ilvl w:val="0"/>
          <w:numId w:val="2"/>
        </w:numPr>
        <w:spacing w:after="60" w:before="60"/>
      </w:pPr>
      <w:r>
        <w:rPr>
          <w:rFonts w:ascii="Times New Roman" w:cs="Times New Roman" w:eastAsia="Times New Roman" w:hAnsi="Times New Roman"/>
          <w:sz w:val="22"/>
          <w:szCs w:val="22"/>
        </w:rPr>
        <w:t xml:space="preserve">Output Determination — Invoice PDF: SAP's Output Determination framework fires automatically, rendering the invoice in the configured SmartForm or Adobe Form template and queuing it for email delivery to the customer's configured email address.</w:t>
      </w:r>
    </w:p>
    <w:p>
      <w:pPr>
        <w:spacing w:after="120" w:before="240"/>
      </w:pPr>
      <w:r>
        <w:rPr>
          <w:rFonts w:ascii="Times New Roman" w:cs="Times New Roman" w:eastAsia="Times New Roman" w:hAnsi="Times New Roman"/>
          <w:b/>
          <w:bCs/>
          <w:color w:val="2E75B6"/>
          <w:sz w:val="26"/>
          <w:szCs w:val="26"/>
        </w:rPr>
        <w:t xml:space="preserve">5.8 Step 8 — Incoming Payment Clearing (F-28)</w:t>
      </w:r>
    </w:p>
    <w:p>
      <w:pPr>
        <w:spacing w:after="140" w:before="80"/>
      </w:pPr>
      <w:r>
        <w:rPr>
          <w:rFonts w:ascii="Times New Roman" w:cs="Times New Roman" w:eastAsia="Times New Roman" w:hAnsi="Times New Roman"/>
          <w:sz w:val="22"/>
          <w:szCs w:val="22"/>
        </w:rPr>
        <w:t xml:space="preserve">The final step in the O2C cycle is the receipt and clearing of the customer's payment, processed in Financial Accounting via transaction F-28. When the payment is posted, SAP matches it against the open Accounts Receivable item created by VF01, clearing it from the customer's open item list. The customer's balance returns to zero, and the O2C cycle is financially complete.</w:t>
      </w:r>
    </w:p>
    <w:p>
      <w:pPr>
        <w:spacing w:after="140" w:before="80"/>
      </w:pPr>
      <w:r>
        <w:rPr>
          <w:rFonts w:ascii="Times New Roman" w:cs="Times New Roman" w:eastAsia="Times New Roman" w:hAnsi="Times New Roman"/>
          <w:sz w:val="22"/>
          <w:szCs w:val="22"/>
        </w:rPr>
        <w:t xml:space="preserve">The clearing event also updates the Sales Order's billing status and the delivery's accounting status to 'Cleared', providing complete end-to-end status visibility across the document chain.</w:t>
      </w:r>
    </w:p>
    <w:p>
      <w:pPr>
        <w:spacing w:after="0" w:before="160"/>
      </w:pPr>
    </w:p>
    <w:p>
      <w:pPr>
        <w:pBdr>
          <w:bottom w:val="single" w:color="2E75B6" w:sz="4" w:space="1"/>
        </w:pBdr>
        <w:spacing w:after="160" w:before="360"/>
      </w:pPr>
      <w:r>
        <w:rPr>
          <w:rFonts w:ascii="Times New Roman" w:cs="Times New Roman" w:eastAsia="Times New Roman" w:hAnsi="Times New Roman"/>
          <w:b/>
          <w:bCs/>
          <w:color w:val="1A3A5C"/>
          <w:sz w:val="32"/>
          <w:szCs w:val="32"/>
        </w:rPr>
        <w:t xml:space="preserve">6. PRICING &amp; CONDITION TECHNIQUE</w:t>
      </w:r>
    </w:p>
    <w:p>
      <w:pPr>
        <w:spacing w:after="120" w:before="240"/>
      </w:pPr>
      <w:r>
        <w:rPr>
          <w:rFonts w:ascii="Times New Roman" w:cs="Times New Roman" w:eastAsia="Times New Roman" w:hAnsi="Times New Roman"/>
          <w:b/>
          <w:bCs/>
          <w:color w:val="2E75B6"/>
          <w:sz w:val="26"/>
          <w:szCs w:val="26"/>
        </w:rPr>
        <w:t xml:space="preserve">6.1 Architecture of the Condition Technique</w:t>
      </w:r>
    </w:p>
    <w:p>
      <w:pPr>
        <w:spacing w:after="140" w:before="80"/>
      </w:pPr>
      <w:r>
        <w:rPr>
          <w:rFonts w:ascii="Times New Roman" w:cs="Times New Roman" w:eastAsia="Times New Roman" w:hAnsi="Times New Roman"/>
          <w:sz w:val="22"/>
          <w:szCs w:val="22"/>
        </w:rPr>
        <w:t xml:space="preserve">The SAP Condition Technique is one of the most architecturally significant integration mechanisms in the SD module. It is a rule-based engine that automatically determines prices, discounts, surcharges, and taxes on every sales document, eliminating manual price entry and ensuring consistency across all orders. Understanding the Condition Technique is essential for any SAP Integration Developer because it is also reused across Output Determination, Account Determination, and Partner Determination — the same architectural pattern governs multiple integration workflows.</w:t>
      </w:r>
    </w:p>
    <w:p>
      <w:pPr>
        <w:spacing w:after="140" w:before="80"/>
      </w:pPr>
      <w:r>
        <w:rPr>
          <w:rFonts w:ascii="Times New Roman" w:cs="Times New Roman" w:eastAsia="Times New Roman" w:hAnsi="Times New Roman"/>
          <w:sz w:val="22"/>
          <w:szCs w:val="22"/>
        </w:rPr>
        <w:t xml:space="preserve">The Condition Technique comprises five interconnected configuration elements:</w:t>
      </w:r>
    </w:p>
    <w:p>
      <w:pPr>
        <w:pStyle w:val="ListParagraph"/>
        <w:numPr>
          <w:ilvl w:val="0"/>
          <w:numId w:val="2"/>
        </w:numPr>
        <w:spacing w:after="60" w:before="60"/>
      </w:pPr>
      <w:r>
        <w:rPr>
          <w:rFonts w:ascii="Times New Roman" w:cs="Times New Roman" w:eastAsia="Times New Roman" w:hAnsi="Times New Roman"/>
          <w:sz w:val="22"/>
          <w:szCs w:val="22"/>
        </w:rPr>
        <w:t xml:space="preserve">Condition Types: Define individual pricing elements (PR00 = base price, K007 = customer discount, MWST = tax)</w:t>
      </w:r>
    </w:p>
    <w:p>
      <w:pPr>
        <w:pStyle w:val="ListParagraph"/>
        <w:numPr>
          <w:ilvl w:val="0"/>
          <w:numId w:val="2"/>
        </w:numPr>
        <w:spacing w:after="60" w:before="60"/>
      </w:pPr>
      <w:r>
        <w:rPr>
          <w:rFonts w:ascii="Times New Roman" w:cs="Times New Roman" w:eastAsia="Times New Roman" w:hAnsi="Times New Roman"/>
          <w:sz w:val="22"/>
          <w:szCs w:val="22"/>
        </w:rPr>
        <w:t xml:space="preserve">Access Sequences: Define the search strategy for finding the correct condition record (Customer + Material → Price List + Material → Material only)</w:t>
      </w:r>
    </w:p>
    <w:p>
      <w:pPr>
        <w:pStyle w:val="ListParagraph"/>
        <w:numPr>
          <w:ilvl w:val="0"/>
          <w:numId w:val="2"/>
        </w:numPr>
        <w:spacing w:after="60" w:before="60"/>
      </w:pPr>
      <w:r>
        <w:rPr>
          <w:rFonts w:ascii="Times New Roman" w:cs="Times New Roman" w:eastAsia="Times New Roman" w:hAnsi="Times New Roman"/>
          <w:sz w:val="22"/>
          <w:szCs w:val="22"/>
        </w:rPr>
        <w:t xml:space="preserve">Pricing Procedures: Assemble condition types in calculation order with subtotals, requirements, and alternative formulas</w:t>
      </w:r>
    </w:p>
    <w:p>
      <w:pPr>
        <w:pStyle w:val="ListParagraph"/>
        <w:numPr>
          <w:ilvl w:val="0"/>
          <w:numId w:val="2"/>
        </w:numPr>
        <w:spacing w:after="60" w:before="60"/>
      </w:pPr>
      <w:r>
        <w:rPr>
          <w:rFonts w:ascii="Times New Roman" w:cs="Times New Roman" w:eastAsia="Times New Roman" w:hAnsi="Times New Roman"/>
          <w:sz w:val="22"/>
          <w:szCs w:val="22"/>
        </w:rPr>
        <w:t xml:space="preserve">Determination Procedure: Links the pricing procedure to a Sales Area + Customer Pricing Indicator combination</w:t>
      </w:r>
    </w:p>
    <w:p>
      <w:pPr>
        <w:pStyle w:val="ListParagraph"/>
        <w:numPr>
          <w:ilvl w:val="0"/>
          <w:numId w:val="2"/>
        </w:numPr>
        <w:spacing w:after="60" w:before="60"/>
      </w:pPr>
      <w:r>
        <w:rPr>
          <w:rFonts w:ascii="Times New Roman" w:cs="Times New Roman" w:eastAsia="Times New Roman" w:hAnsi="Times New Roman"/>
          <w:sz w:val="22"/>
          <w:szCs w:val="22"/>
        </w:rPr>
        <w:t xml:space="preserve">Condition Records (VK11): The actual price/discount values maintained by the business, stored against the keys defined by the access sequence</w:t>
      </w:r>
    </w:p>
    <w:p>
      <w:pPr>
        <w:spacing w:after="120" w:before="240"/>
      </w:pPr>
      <w:r>
        <w:rPr>
          <w:rFonts w:ascii="Times New Roman" w:cs="Times New Roman" w:eastAsia="Times New Roman" w:hAnsi="Times New Roman"/>
          <w:b/>
          <w:bCs/>
          <w:color w:val="2E75B6"/>
          <w:sz w:val="26"/>
          <w:szCs w:val="26"/>
        </w:rPr>
        <w:t xml:space="preserve">6.2 Pricing Procedure for VKJ Trading Co.</w:t>
      </w:r>
    </w:p>
    <w:p>
      <w:pPr>
        <w:spacing w:after="0" w:before="8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000"/>
        <w:gridCol w:w="3400"/>
      </w:tblGrid>
      <w:tr>
        <w:trPr>
          <w:tblHeader/>
        </w:trPr>
        <w:tc>
          <w:tcPr>
            <w:tcW w:type="dxa" w:w="1600"/>
            <w:tcBorders>
              <w:top w:val="single" w:color="AAAAAA" w:sz="1"/>
              <w:left w:val="single" w:color="AAAAAA" w:sz="1"/>
              <w:bottom w:val="single" w:color="AAAAAA" w:sz="1"/>
              <w:right w:val="single" w:color="AAAAAA" w:sz="1"/>
            </w:tcBorders>
            <w:shd w:fill="1A3A5C" w:val="clear"/>
            <w:tcMar>
              <w:top w:type="dxa" w:w="80"/>
              <w:left w:type="dxa" w:w="140"/>
              <w:bottom w:type="dxa" w:w="80"/>
              <w:right w:type="dxa" w:w="140"/>
            </w:tcMar>
          </w:tcPr>
          <w:p>
            <w:r>
              <w:rPr>
                <w:rFonts w:ascii="Times New Roman" w:cs="Times New Roman" w:eastAsia="Times New Roman" w:hAnsi="Times New Roman"/>
                <w:b/>
                <w:bCs/>
                <w:color w:val="FFFFFF"/>
                <w:sz w:val="20"/>
                <w:szCs w:val="20"/>
              </w:rPr>
              <w:t xml:space="preserve">Step</w:t>
            </w:r>
          </w:p>
        </w:tc>
        <w:tc>
          <w:tcPr>
            <w:tcW w:type="dxa" w:w="1800"/>
            <w:tcBorders>
              <w:top w:val="single" w:color="AAAAAA" w:sz="1"/>
              <w:left w:val="single" w:color="AAAAAA" w:sz="1"/>
              <w:bottom w:val="single" w:color="AAAAAA" w:sz="1"/>
              <w:right w:val="single" w:color="AAAAAA" w:sz="1"/>
            </w:tcBorders>
            <w:shd w:fill="1A3A5C" w:val="clear"/>
            <w:tcMar>
              <w:top w:type="dxa" w:w="80"/>
              <w:left w:type="dxa" w:w="140"/>
              <w:bottom w:type="dxa" w:w="80"/>
              <w:right w:type="dxa" w:w="140"/>
            </w:tcMar>
          </w:tcPr>
          <w:p>
            <w:r>
              <w:rPr>
                <w:rFonts w:ascii="Times New Roman" w:cs="Times New Roman" w:eastAsia="Times New Roman" w:hAnsi="Times New Roman"/>
                <w:b/>
                <w:bCs/>
                <w:color w:val="FFFFFF"/>
                <w:sz w:val="20"/>
                <w:szCs w:val="20"/>
              </w:rPr>
              <w:t xml:space="preserve">Condition Type</w:t>
            </w:r>
          </w:p>
        </w:tc>
        <w:tc>
          <w:tcPr>
            <w:tcW w:type="dxa" w:w="2000"/>
            <w:tcBorders>
              <w:top w:val="single" w:color="AAAAAA" w:sz="1"/>
              <w:left w:val="single" w:color="AAAAAA" w:sz="1"/>
              <w:bottom w:val="single" w:color="AAAAAA" w:sz="1"/>
              <w:right w:val="single" w:color="AAAAAA" w:sz="1"/>
            </w:tcBorders>
            <w:shd w:fill="1A3A5C" w:val="clear"/>
            <w:tcMar>
              <w:top w:type="dxa" w:w="80"/>
              <w:left w:type="dxa" w:w="140"/>
              <w:bottom w:type="dxa" w:w="80"/>
              <w:right w:type="dxa" w:w="140"/>
            </w:tcMar>
          </w:tcPr>
          <w:p>
            <w:r>
              <w:rPr>
                <w:rFonts w:ascii="Times New Roman" w:cs="Times New Roman" w:eastAsia="Times New Roman" w:hAnsi="Times New Roman"/>
                <w:b/>
                <w:bCs/>
                <w:color w:val="FFFFFF"/>
                <w:sz w:val="20"/>
                <w:szCs w:val="20"/>
              </w:rPr>
              <w:t xml:space="preserve">Description</w:t>
            </w:r>
          </w:p>
        </w:tc>
        <w:tc>
          <w:tcPr>
            <w:tcW w:type="dxa" w:w="3400"/>
            <w:tcBorders>
              <w:top w:val="single" w:color="AAAAAA" w:sz="1"/>
              <w:left w:val="single" w:color="AAAAAA" w:sz="1"/>
              <w:bottom w:val="single" w:color="AAAAAA" w:sz="1"/>
              <w:right w:val="single" w:color="AAAAAA" w:sz="1"/>
            </w:tcBorders>
            <w:shd w:fill="1A3A5C" w:val="clear"/>
            <w:tcMar>
              <w:top w:type="dxa" w:w="80"/>
              <w:left w:type="dxa" w:w="140"/>
              <w:bottom w:type="dxa" w:w="80"/>
              <w:right w:type="dxa" w:w="140"/>
            </w:tcMar>
          </w:tcPr>
          <w:p>
            <w:r>
              <w:rPr>
                <w:rFonts w:ascii="Times New Roman" w:cs="Times New Roman" w:eastAsia="Times New Roman" w:hAnsi="Times New Roman"/>
                <w:b/>
                <w:bCs/>
                <w:color w:val="FFFFFF"/>
                <w:sz w:val="20"/>
                <w:szCs w:val="20"/>
              </w:rPr>
              <w:t xml:space="preserve">Calculation Logic</w:t>
            </w:r>
          </w:p>
        </w:tc>
      </w:tr>
      <w:tr>
        <w:trPr>
          <w:tblHeader w:val="false"/>
        </w:trPr>
        <w:tc>
          <w:tcPr>
            <w:tcW w:type="dxa" w:w="1600"/>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10</w:t>
            </w:r>
          </w:p>
        </w:tc>
        <w:tc>
          <w:tcPr>
            <w:tcW w:type="dxa" w:w="1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PR00</w:t>
            </w:r>
          </w:p>
        </w:tc>
        <w:tc>
          <w:tcPr>
            <w:tcW w:type="dxa" w:w="2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Base List Price</w:t>
            </w:r>
          </w:p>
        </w:tc>
        <w:tc>
          <w:tcPr>
            <w:tcW w:type="dxa" w:w="3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Standard list price from condition record (VK11)</w:t>
            </w:r>
          </w:p>
        </w:tc>
      </w:tr>
      <w:tr>
        <w:trPr>
          <w:tblHeader w:val="false"/>
        </w:trPr>
        <w:tc>
          <w:tcPr>
            <w:tcW w:type="dxa" w:w="1600"/>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20</w:t>
            </w:r>
          </w:p>
        </w:tc>
        <w:tc>
          <w:tcPr>
            <w:tcW w:type="dxa" w:w="1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K007</w:t>
            </w:r>
          </w:p>
        </w:tc>
        <w:tc>
          <w:tcPr>
            <w:tcW w:type="dxa" w:w="2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Customer Discount (%)</w:t>
            </w:r>
          </w:p>
        </w:tc>
        <w:tc>
          <w:tcPr>
            <w:tcW w:type="dxa" w:w="3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Customer-specific % discount; reduces PR00</w:t>
            </w:r>
          </w:p>
        </w:tc>
      </w:tr>
      <w:tr>
        <w:trPr>
          <w:tblHeader w:val="false"/>
        </w:trPr>
        <w:tc>
          <w:tcPr>
            <w:tcW w:type="dxa" w:w="1600"/>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30</w:t>
            </w:r>
          </w:p>
        </w:tc>
        <w:tc>
          <w:tcPr>
            <w:tcW w:type="dxa" w:w="1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K029</w:t>
            </w:r>
          </w:p>
        </w:tc>
        <w:tc>
          <w:tcPr>
            <w:tcW w:type="dxa" w:w="2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Material Group Discount</w:t>
            </w:r>
          </w:p>
        </w:tc>
        <w:tc>
          <w:tcPr>
            <w:tcW w:type="dxa" w:w="3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Additional discount based on material grouping</w:t>
            </w:r>
          </w:p>
        </w:tc>
      </w:tr>
      <w:tr>
        <w:trPr>
          <w:tblHeader w:val="false"/>
        </w:trPr>
        <w:tc>
          <w:tcPr>
            <w:tcW w:type="dxa" w:w="1600"/>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40</w:t>
            </w:r>
          </w:p>
        </w:tc>
        <w:tc>
          <w:tcPr>
            <w:tcW w:type="dxa" w:w="1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HA00</w:t>
            </w:r>
          </w:p>
        </w:tc>
        <w:tc>
          <w:tcPr>
            <w:tcW w:type="dxa" w:w="2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Order Value Discount</w:t>
            </w:r>
          </w:p>
        </w:tc>
        <w:tc>
          <w:tcPr>
            <w:tcW w:type="dxa" w:w="3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Volume-based discount on net order value</w:t>
            </w:r>
          </w:p>
        </w:tc>
      </w:tr>
      <w:tr>
        <w:trPr>
          <w:tblHeader w:val="false"/>
        </w:trPr>
        <w:tc>
          <w:tcPr>
            <w:tcW w:type="dxa" w:w="1600"/>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50</w:t>
            </w:r>
          </w:p>
        </w:tc>
        <w:tc>
          <w:tcPr>
            <w:tcW w:type="dxa" w:w="1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
            </w:r>
          </w:p>
        </w:tc>
        <w:tc>
          <w:tcPr>
            <w:tcW w:type="dxa" w:w="2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Net Value (Subtotal)</w:t>
            </w:r>
          </w:p>
        </w:tc>
        <w:tc>
          <w:tcPr>
            <w:tcW w:type="dxa" w:w="3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PR00 - K007 - K029 - HA00</w:t>
            </w:r>
          </w:p>
        </w:tc>
      </w:tr>
      <w:tr>
        <w:trPr>
          <w:tblHeader w:val="false"/>
        </w:trPr>
        <w:tc>
          <w:tcPr>
            <w:tcW w:type="dxa" w:w="1600"/>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60</w:t>
            </w:r>
          </w:p>
        </w:tc>
        <w:tc>
          <w:tcPr>
            <w:tcW w:type="dxa" w:w="1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MWST</w:t>
            </w:r>
          </w:p>
        </w:tc>
        <w:tc>
          <w:tcPr>
            <w:tcW w:type="dxa" w:w="2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GST / Output Tax</w:t>
            </w:r>
          </w:p>
        </w:tc>
        <w:tc>
          <w:tcPr>
            <w:tcW w:type="dxa" w:w="3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Tax calculated on Net Value; posted to FI tax account</w:t>
            </w:r>
          </w:p>
        </w:tc>
      </w:tr>
      <w:tr>
        <w:trPr>
          <w:tblHeader w:val="false"/>
        </w:trPr>
        <w:tc>
          <w:tcPr>
            <w:tcW w:type="dxa" w:w="1600"/>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70</w:t>
            </w:r>
          </w:p>
        </w:tc>
        <w:tc>
          <w:tcPr>
            <w:tcW w:type="dxa" w:w="1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SKTO</w:t>
            </w:r>
          </w:p>
        </w:tc>
        <w:tc>
          <w:tcPr>
            <w:tcW w:type="dxa" w:w="2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Cash Discount</w:t>
            </w:r>
          </w:p>
        </w:tc>
        <w:tc>
          <w:tcPr>
            <w:tcW w:type="dxa" w:w="3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Early payment discount; statistical (FI calculates actual discount)</w:t>
            </w:r>
          </w:p>
        </w:tc>
      </w:tr>
      <w:tr>
        <w:trPr>
          <w:tblHeader w:val="false"/>
        </w:trPr>
        <w:tc>
          <w:tcPr>
            <w:tcW w:type="dxa" w:w="1600"/>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80</w:t>
            </w:r>
          </w:p>
        </w:tc>
        <w:tc>
          <w:tcPr>
            <w:tcW w:type="dxa" w:w="1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
            </w:r>
          </w:p>
        </w:tc>
        <w:tc>
          <w:tcPr>
            <w:tcW w:type="dxa" w:w="2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Final Invoice Value</w:t>
            </w:r>
          </w:p>
        </w:tc>
        <w:tc>
          <w:tcPr>
            <w:tcW w:type="dxa" w:w="3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Net Value + MWST</w:t>
            </w:r>
          </w:p>
        </w:tc>
      </w:tr>
    </w:tbl>
    <w:p>
      <w:pPr>
        <w:spacing w:after="0" w:before="160"/>
      </w:pPr>
    </w:p>
    <w:p>
      <w:pPr>
        <w:pBdr>
          <w:bottom w:val="single" w:color="2E75B6" w:sz="4" w:space="1"/>
        </w:pBdr>
        <w:spacing w:after="160" w:before="360"/>
      </w:pPr>
      <w:r>
        <w:rPr>
          <w:rFonts w:ascii="Times New Roman" w:cs="Times New Roman" w:eastAsia="Times New Roman" w:hAnsi="Times New Roman"/>
          <w:b/>
          <w:bCs/>
          <w:color w:val="1A3A5C"/>
          <w:sz w:val="32"/>
          <w:szCs w:val="32"/>
        </w:rPr>
        <w:t xml:space="preserve">7. BAPI &amp; IDOC INTEGRATION FRAMEWORK</w:t>
      </w:r>
    </w:p>
    <w:p>
      <w:pPr>
        <w:spacing w:after="120" w:before="240"/>
      </w:pPr>
      <w:r>
        <w:rPr>
          <w:rFonts w:ascii="Times New Roman" w:cs="Times New Roman" w:eastAsia="Times New Roman" w:hAnsi="Times New Roman"/>
          <w:b/>
          <w:bCs/>
          <w:color w:val="2E75B6"/>
          <w:sz w:val="26"/>
          <w:szCs w:val="26"/>
        </w:rPr>
        <w:t xml:space="preserve">7.1 Introduction to External Integration</w:t>
      </w:r>
    </w:p>
    <w:p>
      <w:pPr>
        <w:spacing w:after="140" w:before="80"/>
      </w:pPr>
      <w:r>
        <w:rPr>
          <w:rFonts w:ascii="Times New Roman" w:cs="Times New Roman" w:eastAsia="Times New Roman" w:hAnsi="Times New Roman"/>
          <w:sz w:val="22"/>
          <w:szCs w:val="22"/>
        </w:rPr>
        <w:t xml:space="preserve">In real enterprise deployments, SAP does not operate in isolation. It must integrate with customer portals, e-commerce platforms, CRM systems, third-party logistics providers, EDI networks, and cloud applications. As an SAP Integration Developer, the ability to design and implement these external integrations is a core professional competency.</w:t>
      </w:r>
    </w:p>
    <w:p>
      <w:pPr>
        <w:spacing w:after="140" w:before="80"/>
      </w:pPr>
      <w:r>
        <w:rPr>
          <w:rFonts w:ascii="Times New Roman" w:cs="Times New Roman" w:eastAsia="Times New Roman" w:hAnsi="Times New Roman"/>
          <w:sz w:val="22"/>
          <w:szCs w:val="22"/>
        </w:rPr>
        <w:t xml:space="preserve">SAP provides two primary, standardized integration technologies for this purpose: BAPIs (Business Application Programming Interfaces) for synchronous, real-time integrations, and IDOCs (Intermediate Documents) for asynchronous, volume-oriented integrations. Both are stable, SAP-delivered, upgrade-safe interfaces — a critical requirement for production integration architectures.</w:t>
      </w:r>
    </w:p>
    <w:p>
      <w:pPr>
        <w:spacing w:after="120" w:before="240"/>
      </w:pPr>
      <w:r>
        <w:rPr>
          <w:rFonts w:ascii="Times New Roman" w:cs="Times New Roman" w:eastAsia="Times New Roman" w:hAnsi="Times New Roman"/>
          <w:b/>
          <w:bCs/>
          <w:color w:val="2E75B6"/>
          <w:sz w:val="26"/>
          <w:szCs w:val="26"/>
        </w:rPr>
        <w:t xml:space="preserve">7.2 BAPIs — Synchronous Real-Time Integration</w:t>
      </w:r>
    </w:p>
    <w:p>
      <w:pPr>
        <w:spacing w:after="140" w:before="80"/>
      </w:pPr>
      <w:r>
        <w:rPr>
          <w:rFonts w:ascii="Times New Roman" w:cs="Times New Roman" w:eastAsia="Times New Roman" w:hAnsi="Times New Roman"/>
          <w:sz w:val="22"/>
          <w:szCs w:val="22"/>
        </w:rPr>
        <w:t xml:space="preserve">BAPIs are RFC-enabled function modules that expose SAP business logic to external systems via a clean, documented API. They follow strict input/output parameter contracts and handle error messaging in a standardized way, making them the preferred choice for real-time request-response integrations such as order creation from a web portal or delivery status queries from a logistics dashboard.</w:t>
      </w:r>
    </w:p>
    <w:p>
      <w:pPr>
        <w:spacing w:after="100" w:before="180"/>
      </w:pPr>
      <w:r>
        <w:rPr>
          <w:rFonts w:ascii="Times New Roman" w:cs="Times New Roman" w:eastAsia="Times New Roman" w:hAnsi="Times New Roman"/>
          <w:b/>
          <w:bCs/>
          <w:i/>
          <w:iCs/>
          <w:color w:val="1A3A5C"/>
          <w:sz w:val="23"/>
          <w:szCs w:val="23"/>
        </w:rPr>
        <w:t xml:space="preserve">Key O2C BAPIs: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200"/>
      </w:tblGrid>
      <w:tr>
        <w:trPr>
          <w:tblHeader/>
        </w:trPr>
        <w:tc>
          <w:tcPr>
            <w:tcW w:type="dxa" w:w="3200"/>
            <w:tcBorders>
              <w:top w:val="single" w:color="AAAAAA" w:sz="1"/>
              <w:left w:val="single" w:color="AAAAAA" w:sz="1"/>
              <w:bottom w:val="single" w:color="AAAAAA" w:sz="1"/>
              <w:right w:val="single" w:color="AAAAAA" w:sz="1"/>
            </w:tcBorders>
            <w:shd w:fill="1A3A5C" w:val="clear"/>
            <w:tcMar>
              <w:top w:type="dxa" w:w="80"/>
              <w:left w:type="dxa" w:w="140"/>
              <w:bottom w:type="dxa" w:w="80"/>
              <w:right w:type="dxa" w:w="140"/>
            </w:tcMar>
          </w:tcPr>
          <w:p>
            <w:r>
              <w:rPr>
                <w:rFonts w:ascii="Times New Roman" w:cs="Times New Roman" w:eastAsia="Times New Roman" w:hAnsi="Times New Roman"/>
                <w:b/>
                <w:bCs/>
                <w:color w:val="FFFFFF"/>
                <w:sz w:val="20"/>
                <w:szCs w:val="20"/>
              </w:rPr>
              <w:t xml:space="preserve">BAPI Name</w:t>
            </w:r>
          </w:p>
        </w:tc>
        <w:tc>
          <w:tcPr>
            <w:tcW w:type="dxa" w:w="2400"/>
            <w:tcBorders>
              <w:top w:val="single" w:color="AAAAAA" w:sz="1"/>
              <w:left w:val="single" w:color="AAAAAA" w:sz="1"/>
              <w:bottom w:val="single" w:color="AAAAAA" w:sz="1"/>
              <w:right w:val="single" w:color="AAAAAA" w:sz="1"/>
            </w:tcBorders>
            <w:shd w:fill="1A3A5C" w:val="clear"/>
            <w:tcMar>
              <w:top w:type="dxa" w:w="80"/>
              <w:left w:type="dxa" w:w="140"/>
              <w:bottom w:type="dxa" w:w="80"/>
              <w:right w:type="dxa" w:w="140"/>
            </w:tcMar>
          </w:tcPr>
          <w:p>
            <w:r>
              <w:rPr>
                <w:rFonts w:ascii="Times New Roman" w:cs="Times New Roman" w:eastAsia="Times New Roman" w:hAnsi="Times New Roman"/>
                <w:b/>
                <w:bCs/>
                <w:color w:val="FFFFFF"/>
                <w:sz w:val="20"/>
                <w:szCs w:val="20"/>
              </w:rPr>
              <w:t xml:space="preserve">Direction</w:t>
            </w:r>
          </w:p>
        </w:tc>
        <w:tc>
          <w:tcPr>
            <w:tcW w:type="dxa" w:w="3200"/>
            <w:tcBorders>
              <w:top w:val="single" w:color="AAAAAA" w:sz="1"/>
              <w:left w:val="single" w:color="AAAAAA" w:sz="1"/>
              <w:bottom w:val="single" w:color="AAAAAA" w:sz="1"/>
              <w:right w:val="single" w:color="AAAAAA" w:sz="1"/>
            </w:tcBorders>
            <w:shd w:fill="1A3A5C" w:val="clear"/>
            <w:tcMar>
              <w:top w:type="dxa" w:w="80"/>
              <w:left w:type="dxa" w:w="140"/>
              <w:bottom w:type="dxa" w:w="80"/>
              <w:right w:type="dxa" w:w="140"/>
            </w:tcMar>
          </w:tcPr>
          <w:p>
            <w:r>
              <w:rPr>
                <w:rFonts w:ascii="Times New Roman" w:cs="Times New Roman" w:eastAsia="Times New Roman" w:hAnsi="Times New Roman"/>
                <w:b/>
                <w:bCs/>
                <w:color w:val="FFFFFF"/>
                <w:sz w:val="20"/>
                <w:szCs w:val="20"/>
              </w:rPr>
              <w:t xml:space="preserve">Use Case</w:t>
            </w:r>
          </w:p>
        </w:tc>
      </w:tr>
      <w:tr>
        <w:trPr>
          <w:tblHeader w:val="false"/>
        </w:trPr>
        <w:tc>
          <w:tcPr>
            <w:tcW w:type="dxa" w:w="3200"/>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BAPI_SALESORDER_CREATEFROMDAT2</w:t>
            </w:r>
          </w:p>
        </w:tc>
        <w:tc>
          <w:tcPr>
            <w:tcW w:type="dxa" w:w="2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Inbound (ext→SAP)</w:t>
            </w:r>
          </w:p>
        </w:tc>
        <w:tc>
          <w:tcPr>
            <w:tcW w:type="dxa" w:w="3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E-commerce platform pushes orders to SAP in real time</w:t>
            </w:r>
          </w:p>
        </w:tc>
      </w:tr>
      <w:tr>
        <w:trPr>
          <w:tblHeader w:val="false"/>
        </w:trPr>
        <w:tc>
          <w:tcPr>
            <w:tcW w:type="dxa" w:w="3200"/>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BAPI_SALESORDER_CHANGE</w:t>
            </w:r>
          </w:p>
        </w:tc>
        <w:tc>
          <w:tcPr>
            <w:tcW w:type="dxa" w:w="2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Inbound (ext→SAP)</w:t>
            </w:r>
          </w:p>
        </w:tc>
        <w:tc>
          <w:tcPr>
            <w:tcW w:type="dxa" w:w="3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CRM system syncs order changes to SAP</w:t>
            </w:r>
          </w:p>
        </w:tc>
      </w:tr>
      <w:tr>
        <w:trPr>
          <w:tblHeader w:val="false"/>
        </w:trPr>
        <w:tc>
          <w:tcPr>
            <w:tcW w:type="dxa" w:w="3200"/>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BAPI_SALESORDER_GETLIST</w:t>
            </w:r>
          </w:p>
        </w:tc>
        <w:tc>
          <w:tcPr>
            <w:tcW w:type="dxa" w:w="2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Outbound (SAP→ext)</w:t>
            </w:r>
          </w:p>
        </w:tc>
        <w:tc>
          <w:tcPr>
            <w:tcW w:type="dxa" w:w="3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Customer portal queries order status from SAP</w:t>
            </w:r>
          </w:p>
        </w:tc>
      </w:tr>
      <w:tr>
        <w:trPr>
          <w:tblHeader w:val="false"/>
        </w:trPr>
        <w:tc>
          <w:tcPr>
            <w:tcW w:type="dxa" w:w="3200"/>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BAPI_DELIVERY_GETLIST</w:t>
            </w:r>
          </w:p>
        </w:tc>
        <w:tc>
          <w:tcPr>
            <w:tcW w:type="dxa" w:w="2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Outbound (SAP→ext)</w:t>
            </w:r>
          </w:p>
        </w:tc>
        <w:tc>
          <w:tcPr>
            <w:tcW w:type="dxa" w:w="3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Logistics partner queries delivery schedule</w:t>
            </w:r>
          </w:p>
        </w:tc>
      </w:tr>
      <w:tr>
        <w:trPr>
          <w:tblHeader w:val="false"/>
        </w:trPr>
        <w:tc>
          <w:tcPr>
            <w:tcW w:type="dxa" w:w="3200"/>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BAPI_BILLINGDOC_GETDETAIL</w:t>
            </w:r>
          </w:p>
        </w:tc>
        <w:tc>
          <w:tcPr>
            <w:tcW w:type="dxa" w:w="2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Outbound (SAP→ext)</w:t>
            </w:r>
          </w:p>
        </w:tc>
        <w:tc>
          <w:tcPr>
            <w:tcW w:type="dxa" w:w="3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Finance system retrieves invoice details for reconciliation</w:t>
            </w:r>
          </w:p>
        </w:tc>
      </w:tr>
      <w:tr>
        <w:trPr>
          <w:tblHeader w:val="false"/>
        </w:trPr>
        <w:tc>
          <w:tcPr>
            <w:tcW w:type="dxa" w:w="3200"/>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BAPI_CUSTOMER_GETDETAIL2</w:t>
            </w:r>
          </w:p>
        </w:tc>
        <w:tc>
          <w:tcPr>
            <w:tcW w:type="dxa" w:w="2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Outbound (SAP→ext)</w:t>
            </w:r>
          </w:p>
        </w:tc>
        <w:tc>
          <w:tcPr>
            <w:tcW w:type="dxa" w:w="3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CRM syncs customer master data from SAP</w:t>
            </w:r>
          </w:p>
        </w:tc>
      </w:tr>
      <w:tr>
        <w:trPr>
          <w:tblHeader w:val="false"/>
        </w:trPr>
        <w:tc>
          <w:tcPr>
            <w:tcW w:type="dxa" w:w="3200"/>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BAPI_MATERIAL_AVAILABILITY</w:t>
            </w:r>
          </w:p>
        </w:tc>
        <w:tc>
          <w:tcPr>
            <w:tcW w:type="dxa" w:w="2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Outbound (SAP→ext)</w:t>
            </w:r>
          </w:p>
        </w:tc>
        <w:tc>
          <w:tcPr>
            <w:tcW w:type="dxa" w:w="3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Portal queries real-time stock availability</w:t>
            </w:r>
          </w:p>
        </w:tc>
      </w:tr>
    </w:tbl>
    <w:p>
      <w:pPr>
        <w:spacing w:after="0" w:before="80"/>
      </w:pPr>
    </w:p>
    <w:p>
      <w:pPr>
        <w:spacing w:after="120" w:before="240"/>
      </w:pPr>
      <w:r>
        <w:rPr>
          <w:rFonts w:ascii="Times New Roman" w:cs="Times New Roman" w:eastAsia="Times New Roman" w:hAnsi="Times New Roman"/>
          <w:b/>
          <w:bCs/>
          <w:color w:val="2E75B6"/>
          <w:sz w:val="26"/>
          <w:szCs w:val="26"/>
        </w:rPr>
        <w:t xml:space="preserve">7.3 IDOCs — Asynchronous High-Volume Integration</w:t>
      </w:r>
    </w:p>
    <w:p>
      <w:pPr>
        <w:spacing w:after="140" w:before="80"/>
      </w:pPr>
      <w:r>
        <w:rPr>
          <w:rFonts w:ascii="Times New Roman" w:cs="Times New Roman" w:eastAsia="Times New Roman" w:hAnsi="Times New Roman"/>
          <w:sz w:val="22"/>
          <w:szCs w:val="22"/>
        </w:rPr>
        <w:t xml:space="preserve">IDOCs are SAP's XML-predecessor message format — structured data containers used for asynchronous, store-and-forward integration. They are the backbone of EDI (Electronic Data Interchange) integration, connecting SAP to external trading partner systems using industry-standard message formats (EDIFACT, X12, ANSI).</w:t>
      </w:r>
    </w:p>
    <w:p>
      <w:pPr>
        <w:spacing w:after="140" w:before="80"/>
      </w:pPr>
      <w:r>
        <w:rPr>
          <w:rFonts w:ascii="Times New Roman" w:cs="Times New Roman" w:eastAsia="Times New Roman" w:hAnsi="Times New Roman"/>
          <w:sz w:val="22"/>
          <w:szCs w:val="22"/>
        </w:rPr>
        <w:t xml:space="preserve">Unlike BAPIs, IDOCs are processed asynchronously — the sending system does not wait for a response. This makes them ideal for high-volume integrations where real-time response is not required, such as nightly order imports or bulk invoice transmission.</w:t>
      </w:r>
    </w:p>
    <w:p>
      <w:pPr>
        <w:spacing w:after="100" w:before="180"/>
      </w:pPr>
      <w:r>
        <w:rPr>
          <w:rFonts w:ascii="Times New Roman" w:cs="Times New Roman" w:eastAsia="Times New Roman" w:hAnsi="Times New Roman"/>
          <w:b/>
          <w:bCs/>
          <w:i/>
          <w:iCs/>
          <w:color w:val="1A3A5C"/>
          <w:sz w:val="23"/>
          <w:szCs w:val="23"/>
        </w:rPr>
        <w:t xml:space="preserve">Key O2C IDOCs: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000"/>
        <w:gridCol w:w="3000"/>
      </w:tblGrid>
      <w:tr>
        <w:trPr>
          <w:tblHeader/>
        </w:trPr>
        <w:tc>
          <w:tcPr>
            <w:tcW w:type="dxa" w:w="2000"/>
            <w:tcBorders>
              <w:top w:val="single" w:color="AAAAAA" w:sz="1"/>
              <w:left w:val="single" w:color="AAAAAA" w:sz="1"/>
              <w:bottom w:val="single" w:color="AAAAAA" w:sz="1"/>
              <w:right w:val="single" w:color="AAAAAA" w:sz="1"/>
            </w:tcBorders>
            <w:shd w:fill="1A3A5C" w:val="clear"/>
            <w:tcMar>
              <w:top w:type="dxa" w:w="80"/>
              <w:left w:type="dxa" w:w="140"/>
              <w:bottom w:type="dxa" w:w="80"/>
              <w:right w:type="dxa" w:w="140"/>
            </w:tcMar>
          </w:tcPr>
          <w:p>
            <w:r>
              <w:rPr>
                <w:rFonts w:ascii="Times New Roman" w:cs="Times New Roman" w:eastAsia="Times New Roman" w:hAnsi="Times New Roman"/>
                <w:b/>
                <w:bCs/>
                <w:color w:val="FFFFFF"/>
                <w:sz w:val="20"/>
                <w:szCs w:val="20"/>
              </w:rPr>
              <w:t xml:space="preserve">IDOC Type</w:t>
            </w:r>
          </w:p>
        </w:tc>
        <w:tc>
          <w:tcPr>
            <w:tcW w:type="dxa" w:w="1800"/>
            <w:tcBorders>
              <w:top w:val="single" w:color="AAAAAA" w:sz="1"/>
              <w:left w:val="single" w:color="AAAAAA" w:sz="1"/>
              <w:bottom w:val="single" w:color="AAAAAA" w:sz="1"/>
              <w:right w:val="single" w:color="AAAAAA" w:sz="1"/>
            </w:tcBorders>
            <w:shd w:fill="1A3A5C" w:val="clear"/>
            <w:tcMar>
              <w:top w:type="dxa" w:w="80"/>
              <w:left w:type="dxa" w:w="140"/>
              <w:bottom w:type="dxa" w:w="80"/>
              <w:right w:type="dxa" w:w="140"/>
            </w:tcMar>
          </w:tcPr>
          <w:p>
            <w:r>
              <w:rPr>
                <w:rFonts w:ascii="Times New Roman" w:cs="Times New Roman" w:eastAsia="Times New Roman" w:hAnsi="Times New Roman"/>
                <w:b/>
                <w:bCs/>
                <w:color w:val="FFFFFF"/>
                <w:sz w:val="20"/>
                <w:szCs w:val="20"/>
              </w:rPr>
              <w:t xml:space="preserve">Message Type</w:t>
            </w:r>
          </w:p>
        </w:tc>
        <w:tc>
          <w:tcPr>
            <w:tcW w:type="dxa" w:w="2000"/>
            <w:tcBorders>
              <w:top w:val="single" w:color="AAAAAA" w:sz="1"/>
              <w:left w:val="single" w:color="AAAAAA" w:sz="1"/>
              <w:bottom w:val="single" w:color="AAAAAA" w:sz="1"/>
              <w:right w:val="single" w:color="AAAAAA" w:sz="1"/>
            </w:tcBorders>
            <w:shd w:fill="1A3A5C" w:val="clear"/>
            <w:tcMar>
              <w:top w:type="dxa" w:w="80"/>
              <w:left w:type="dxa" w:w="140"/>
              <w:bottom w:type="dxa" w:w="80"/>
              <w:right w:type="dxa" w:w="140"/>
            </w:tcMar>
          </w:tcPr>
          <w:p>
            <w:r>
              <w:rPr>
                <w:rFonts w:ascii="Times New Roman" w:cs="Times New Roman" w:eastAsia="Times New Roman" w:hAnsi="Times New Roman"/>
                <w:b/>
                <w:bCs/>
                <w:color w:val="FFFFFF"/>
                <w:sz w:val="20"/>
                <w:szCs w:val="20"/>
              </w:rPr>
              <w:t xml:space="preserve">Direction</w:t>
            </w:r>
          </w:p>
        </w:tc>
        <w:tc>
          <w:tcPr>
            <w:tcW w:type="dxa" w:w="3000"/>
            <w:tcBorders>
              <w:top w:val="single" w:color="AAAAAA" w:sz="1"/>
              <w:left w:val="single" w:color="AAAAAA" w:sz="1"/>
              <w:bottom w:val="single" w:color="AAAAAA" w:sz="1"/>
              <w:right w:val="single" w:color="AAAAAA" w:sz="1"/>
            </w:tcBorders>
            <w:shd w:fill="1A3A5C" w:val="clear"/>
            <w:tcMar>
              <w:top w:type="dxa" w:w="80"/>
              <w:left w:type="dxa" w:w="140"/>
              <w:bottom w:type="dxa" w:w="80"/>
              <w:right w:type="dxa" w:w="140"/>
            </w:tcMar>
          </w:tcPr>
          <w:p>
            <w:r>
              <w:rPr>
                <w:rFonts w:ascii="Times New Roman" w:cs="Times New Roman" w:eastAsia="Times New Roman" w:hAnsi="Times New Roman"/>
                <w:b/>
                <w:bCs/>
                <w:color w:val="FFFFFF"/>
                <w:sz w:val="20"/>
                <w:szCs w:val="20"/>
              </w:rPr>
              <w:t xml:space="preserve">Business Event</w:t>
            </w:r>
          </w:p>
        </w:tc>
      </w:tr>
      <w:tr>
        <w:trPr>
          <w:tblHeader w:val="false"/>
        </w:trPr>
        <w:tc>
          <w:tcPr>
            <w:tcW w:type="dxa" w:w="2000"/>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ORDERS05</w:t>
            </w:r>
          </w:p>
        </w:tc>
        <w:tc>
          <w:tcPr>
            <w:tcW w:type="dxa" w:w="1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ORDERS</w:t>
            </w:r>
          </w:p>
        </w:tc>
        <w:tc>
          <w:tcPr>
            <w:tcW w:type="dxa" w:w="2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Inbound</w:t>
            </w:r>
          </w:p>
        </w:tc>
        <w:tc>
          <w:tcPr>
            <w:tcW w:type="dxa" w:w="3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Customer sends purchase order to SAP (EDI 850)</w:t>
            </w:r>
          </w:p>
        </w:tc>
      </w:tr>
      <w:tr>
        <w:trPr>
          <w:tblHeader w:val="false"/>
        </w:trPr>
        <w:tc>
          <w:tcPr>
            <w:tcW w:type="dxa" w:w="2000"/>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ORDRSP</w:t>
            </w:r>
          </w:p>
        </w:tc>
        <w:tc>
          <w:tcPr>
            <w:tcW w:type="dxa" w:w="1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ORDRSP</w:t>
            </w:r>
          </w:p>
        </w:tc>
        <w:tc>
          <w:tcPr>
            <w:tcW w:type="dxa" w:w="2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Outbound</w:t>
            </w:r>
          </w:p>
        </w:tc>
        <w:tc>
          <w:tcPr>
            <w:tcW w:type="dxa" w:w="3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SAP sends order acknowledgement to customer</w:t>
            </w:r>
          </w:p>
        </w:tc>
      </w:tr>
      <w:tr>
        <w:trPr>
          <w:tblHeader w:val="false"/>
        </w:trPr>
        <w:tc>
          <w:tcPr>
            <w:tcW w:type="dxa" w:w="2000"/>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DESADV</w:t>
            </w:r>
          </w:p>
        </w:tc>
        <w:tc>
          <w:tcPr>
            <w:tcW w:type="dxa" w:w="1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DELVRY07</w:t>
            </w:r>
          </w:p>
        </w:tc>
        <w:tc>
          <w:tcPr>
            <w:tcW w:type="dxa" w:w="2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Outbound</w:t>
            </w:r>
          </w:p>
        </w:tc>
        <w:tc>
          <w:tcPr>
            <w:tcW w:type="dxa" w:w="3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SAP sends advance shipping notice (EDI 856)</w:t>
            </w:r>
          </w:p>
        </w:tc>
      </w:tr>
      <w:tr>
        <w:trPr>
          <w:tblHeader w:val="false"/>
        </w:trPr>
        <w:tc>
          <w:tcPr>
            <w:tcW w:type="dxa" w:w="2000"/>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INVOIC02</w:t>
            </w:r>
          </w:p>
        </w:tc>
        <w:tc>
          <w:tcPr>
            <w:tcW w:type="dxa" w:w="1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INVOIC</w:t>
            </w:r>
          </w:p>
        </w:tc>
        <w:tc>
          <w:tcPr>
            <w:tcW w:type="dxa" w:w="2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Outbound</w:t>
            </w:r>
          </w:p>
        </w:tc>
        <w:tc>
          <w:tcPr>
            <w:tcW w:type="dxa" w:w="3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SAP sends electronic invoice to customer (EDI 810)</w:t>
            </w:r>
          </w:p>
        </w:tc>
      </w:tr>
      <w:tr>
        <w:trPr>
          <w:tblHeader w:val="false"/>
        </w:trPr>
        <w:tc>
          <w:tcPr>
            <w:tcW w:type="dxa" w:w="2000"/>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REMADV</w:t>
            </w:r>
          </w:p>
        </w:tc>
        <w:tc>
          <w:tcPr>
            <w:tcW w:type="dxa" w:w="1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REMADV</w:t>
            </w:r>
          </w:p>
        </w:tc>
        <w:tc>
          <w:tcPr>
            <w:tcW w:type="dxa" w:w="2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Inbound</w:t>
            </w:r>
          </w:p>
        </w:tc>
        <w:tc>
          <w:tcPr>
            <w:tcW w:type="dxa" w:w="3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Customer sends payment remittance advice (EDI 820)</w:t>
            </w:r>
          </w:p>
        </w:tc>
      </w:tr>
      <w:tr>
        <w:trPr>
          <w:tblHeader w:val="false"/>
        </w:trPr>
        <w:tc>
          <w:tcPr>
            <w:tcW w:type="dxa" w:w="2000"/>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SHPMNT</w:t>
            </w:r>
          </w:p>
        </w:tc>
        <w:tc>
          <w:tcPr>
            <w:tcW w:type="dxa" w:w="1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SHPMNT05</w:t>
            </w:r>
          </w:p>
        </w:tc>
        <w:tc>
          <w:tcPr>
            <w:tcW w:type="dxa" w:w="2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Outbound</w:t>
            </w:r>
          </w:p>
        </w:tc>
        <w:tc>
          <w:tcPr>
            <w:tcW w:type="dxa" w:w="3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SAP sends shipment tracking update to logistics partner</w:t>
            </w:r>
          </w:p>
        </w:tc>
      </w:tr>
    </w:tbl>
    <w:p>
      <w:pPr>
        <w:spacing w:after="0" w:before="160"/>
      </w:pPr>
    </w:p>
    <w:p>
      <w:pPr>
        <w:pBdr>
          <w:bottom w:val="single" w:color="2E75B6" w:sz="4" w:space="1"/>
        </w:pBdr>
        <w:spacing w:after="160" w:before="360"/>
      </w:pPr>
      <w:r>
        <w:rPr>
          <w:rFonts w:ascii="Times New Roman" w:cs="Times New Roman" w:eastAsia="Times New Roman" w:hAnsi="Times New Roman"/>
          <w:b/>
          <w:bCs/>
          <w:color w:val="1A3A5C"/>
          <w:sz w:val="32"/>
          <w:szCs w:val="32"/>
        </w:rPr>
        <w:t xml:space="preserve">8. OUTPUT DETERMINATION FRAMEWORK</w:t>
      </w:r>
    </w:p>
    <w:p>
      <w:pPr>
        <w:spacing w:after="120" w:before="240"/>
      </w:pPr>
      <w:r>
        <w:rPr>
          <w:rFonts w:ascii="Times New Roman" w:cs="Times New Roman" w:eastAsia="Times New Roman" w:hAnsi="Times New Roman"/>
          <w:b/>
          <w:bCs/>
          <w:color w:val="2E75B6"/>
          <w:sz w:val="26"/>
          <w:szCs w:val="26"/>
        </w:rPr>
        <w:t xml:space="preserve">8.1 What Is Output Determination?</w:t>
      </w:r>
    </w:p>
    <w:p>
      <w:pPr>
        <w:spacing w:after="140" w:before="80"/>
      </w:pPr>
      <w:r>
        <w:rPr>
          <w:rFonts w:ascii="Times New Roman" w:cs="Times New Roman" w:eastAsia="Times New Roman" w:hAnsi="Times New Roman"/>
          <w:sz w:val="22"/>
          <w:szCs w:val="22"/>
        </w:rPr>
        <w:t xml:space="preserve">The Output Determination framework in SAP SD governs how business documents — order confirmations, delivery notes, picking lists, invoices — are automatically generated, formatted, and transmitted to the relevant parties. It is built on the same Condition Technique architecture as pricing, but instead of returning a price value, it returns an output medium and form template.</w:t>
      </w:r>
    </w:p>
    <w:p>
      <w:pPr>
        <w:spacing w:after="140" w:before="80"/>
      </w:pPr>
      <w:r>
        <w:rPr>
          <w:rFonts w:ascii="Times New Roman" w:cs="Times New Roman" w:eastAsia="Times New Roman" w:hAnsi="Times New Roman"/>
          <w:sz w:val="22"/>
          <w:szCs w:val="22"/>
        </w:rPr>
        <w:t xml:space="preserve">For an Integration Developer, Output Determination is a particularly interesting integration mechanism because it bridges the transactional world of SAP documents with the communication world of external business processes. A billing document posted in VF01 automatically generating and emailing an invoice PDF to the customer's finance team is a classic, often underappreciated, integration automation.</w:t>
      </w:r>
    </w:p>
    <w:p>
      <w:pPr>
        <w:spacing w:after="120" w:before="240"/>
      </w:pPr>
      <w:r>
        <w:rPr>
          <w:rFonts w:ascii="Times New Roman" w:cs="Times New Roman" w:eastAsia="Times New Roman" w:hAnsi="Times New Roman"/>
          <w:b/>
          <w:bCs/>
          <w:color w:val="2E75B6"/>
          <w:sz w:val="26"/>
          <w:szCs w:val="26"/>
        </w:rPr>
        <w:t xml:space="preserve">8.2 Output Types Configured in This Project</w:t>
      </w:r>
    </w:p>
    <w:p>
      <w:pPr>
        <w:spacing w:after="0" w:before="8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800"/>
        <w:gridCol w:w="2400"/>
        <w:gridCol w:w="1000"/>
      </w:tblGrid>
      <w:tr>
        <w:trPr>
          <w:tblHeader/>
        </w:trPr>
        <w:tc>
          <w:tcPr>
            <w:tcW w:type="dxa" w:w="1600"/>
            <w:tcBorders>
              <w:top w:val="single" w:color="AAAAAA" w:sz="1"/>
              <w:left w:val="single" w:color="AAAAAA" w:sz="1"/>
              <w:bottom w:val="single" w:color="AAAAAA" w:sz="1"/>
              <w:right w:val="single" w:color="AAAAAA" w:sz="1"/>
            </w:tcBorders>
            <w:shd w:fill="1A3A5C" w:val="clear"/>
            <w:tcMar>
              <w:top w:type="dxa" w:w="80"/>
              <w:left w:type="dxa" w:w="140"/>
              <w:bottom w:type="dxa" w:w="80"/>
              <w:right w:type="dxa" w:w="140"/>
            </w:tcMar>
          </w:tcPr>
          <w:p>
            <w:r>
              <w:rPr>
                <w:rFonts w:ascii="Times New Roman" w:cs="Times New Roman" w:eastAsia="Times New Roman" w:hAnsi="Times New Roman"/>
                <w:b/>
                <w:bCs/>
                <w:color w:val="FFFFFF"/>
                <w:sz w:val="20"/>
                <w:szCs w:val="20"/>
              </w:rPr>
              <w:t xml:space="preserve">Output Type</w:t>
            </w:r>
          </w:p>
        </w:tc>
        <w:tc>
          <w:tcPr>
            <w:tcW w:type="dxa" w:w="2000"/>
            <w:tcBorders>
              <w:top w:val="single" w:color="AAAAAA" w:sz="1"/>
              <w:left w:val="single" w:color="AAAAAA" w:sz="1"/>
              <w:bottom w:val="single" w:color="AAAAAA" w:sz="1"/>
              <w:right w:val="single" w:color="AAAAAA" w:sz="1"/>
            </w:tcBorders>
            <w:shd w:fill="1A3A5C" w:val="clear"/>
            <w:tcMar>
              <w:top w:type="dxa" w:w="80"/>
              <w:left w:type="dxa" w:w="140"/>
              <w:bottom w:type="dxa" w:w="80"/>
              <w:right w:type="dxa" w:w="140"/>
            </w:tcMar>
          </w:tcPr>
          <w:p>
            <w:r>
              <w:rPr>
                <w:rFonts w:ascii="Times New Roman" w:cs="Times New Roman" w:eastAsia="Times New Roman" w:hAnsi="Times New Roman"/>
                <w:b/>
                <w:bCs/>
                <w:color w:val="FFFFFF"/>
                <w:sz w:val="20"/>
                <w:szCs w:val="20"/>
              </w:rPr>
              <w:t xml:space="preserve">Document Type</w:t>
            </w:r>
          </w:p>
        </w:tc>
        <w:tc>
          <w:tcPr>
            <w:tcW w:type="dxa" w:w="1800"/>
            <w:tcBorders>
              <w:top w:val="single" w:color="AAAAAA" w:sz="1"/>
              <w:left w:val="single" w:color="AAAAAA" w:sz="1"/>
              <w:bottom w:val="single" w:color="AAAAAA" w:sz="1"/>
              <w:right w:val="single" w:color="AAAAAA" w:sz="1"/>
            </w:tcBorders>
            <w:shd w:fill="1A3A5C" w:val="clear"/>
            <w:tcMar>
              <w:top w:type="dxa" w:w="80"/>
              <w:left w:type="dxa" w:w="140"/>
              <w:bottom w:type="dxa" w:w="80"/>
              <w:right w:type="dxa" w:w="140"/>
            </w:tcMar>
          </w:tcPr>
          <w:p>
            <w:r>
              <w:rPr>
                <w:rFonts w:ascii="Times New Roman" w:cs="Times New Roman" w:eastAsia="Times New Roman" w:hAnsi="Times New Roman"/>
                <w:b/>
                <w:bCs/>
                <w:color w:val="FFFFFF"/>
                <w:sz w:val="20"/>
                <w:szCs w:val="20"/>
              </w:rPr>
              <w:t xml:space="preserve">Trigger Event</w:t>
            </w:r>
          </w:p>
        </w:tc>
        <w:tc>
          <w:tcPr>
            <w:tcW w:type="dxa" w:w="2400"/>
            <w:tcBorders>
              <w:top w:val="single" w:color="AAAAAA" w:sz="1"/>
              <w:left w:val="single" w:color="AAAAAA" w:sz="1"/>
              <w:bottom w:val="single" w:color="AAAAAA" w:sz="1"/>
              <w:right w:val="single" w:color="AAAAAA" w:sz="1"/>
            </w:tcBorders>
            <w:shd w:fill="1A3A5C" w:val="clear"/>
            <w:tcMar>
              <w:top w:type="dxa" w:w="80"/>
              <w:left w:type="dxa" w:w="140"/>
              <w:bottom w:type="dxa" w:w="80"/>
              <w:right w:type="dxa" w:w="140"/>
            </w:tcMar>
          </w:tcPr>
          <w:p>
            <w:r>
              <w:rPr>
                <w:rFonts w:ascii="Times New Roman" w:cs="Times New Roman" w:eastAsia="Times New Roman" w:hAnsi="Times New Roman"/>
                <w:b/>
                <w:bCs/>
                <w:color w:val="FFFFFF"/>
                <w:sz w:val="20"/>
                <w:szCs w:val="20"/>
              </w:rPr>
              <w:t xml:space="preserve">Transmission Medium</w:t>
            </w:r>
          </w:p>
        </w:tc>
        <w:tc>
          <w:tcPr>
            <w:tcW w:type="dxa" w:w="1000"/>
            <w:tcBorders>
              <w:top w:val="single" w:color="AAAAAA" w:sz="1"/>
              <w:left w:val="single" w:color="AAAAAA" w:sz="1"/>
              <w:bottom w:val="single" w:color="AAAAAA" w:sz="1"/>
              <w:right w:val="single" w:color="AAAAAA" w:sz="1"/>
            </w:tcBorders>
            <w:shd w:fill="1A3A5C" w:val="clear"/>
            <w:tcMar>
              <w:top w:type="dxa" w:w="80"/>
              <w:left w:type="dxa" w:w="140"/>
              <w:bottom w:type="dxa" w:w="80"/>
              <w:right w:type="dxa" w:w="140"/>
            </w:tcMar>
          </w:tcPr>
          <w:p>
            <w:r>
              <w:rPr>
                <w:rFonts w:ascii="Times New Roman" w:cs="Times New Roman" w:eastAsia="Times New Roman" w:hAnsi="Times New Roman"/>
                <w:b/>
                <w:bCs/>
                <w:color w:val="FFFFFF"/>
                <w:sz w:val="20"/>
                <w:szCs w:val="20"/>
              </w:rPr>
              <w:t xml:space="preserve">Timing</w:t>
            </w:r>
          </w:p>
        </w:tc>
      </w:tr>
      <w:tr>
        <w:trPr>
          <w:tblHeader w:val="false"/>
        </w:trPr>
        <w:tc>
          <w:tcPr>
            <w:tcW w:type="dxa" w:w="1600"/>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BA00</w:t>
            </w:r>
          </w:p>
        </w:tc>
        <w:tc>
          <w:tcPr>
            <w:tcW w:type="dxa" w:w="2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Sales Order</w:t>
            </w:r>
          </w:p>
        </w:tc>
        <w:tc>
          <w:tcPr>
            <w:tcW w:type="dxa" w:w="1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Order saved (VA01)</w:t>
            </w:r>
          </w:p>
        </w:tc>
        <w:tc>
          <w:tcPr>
            <w:tcW w:type="dxa" w:w="2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Print / Email</w:t>
            </w:r>
          </w:p>
        </w:tc>
        <w:tc>
          <w:tcPr>
            <w:tcW w:type="dxa" w:w="1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Immediate</w:t>
            </w:r>
          </w:p>
        </w:tc>
      </w:tr>
      <w:tr>
        <w:trPr>
          <w:tblHeader w:val="false"/>
        </w:trPr>
        <w:tc>
          <w:tcPr>
            <w:tcW w:type="dxa" w:w="1600"/>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LD00</w:t>
            </w:r>
          </w:p>
        </w:tc>
        <w:tc>
          <w:tcPr>
            <w:tcW w:type="dxa" w:w="2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Delivery</w:t>
            </w:r>
          </w:p>
        </w:tc>
        <w:tc>
          <w:tcPr>
            <w:tcW w:type="dxa" w:w="1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Delivery created (VL01N)</w:t>
            </w:r>
          </w:p>
        </w:tc>
        <w:tc>
          <w:tcPr>
            <w:tcW w:type="dxa" w:w="2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Print</w:t>
            </w:r>
          </w:p>
        </w:tc>
        <w:tc>
          <w:tcPr>
            <w:tcW w:type="dxa" w:w="1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Immediate</w:t>
            </w:r>
          </w:p>
        </w:tc>
      </w:tr>
      <w:tr>
        <w:trPr>
          <w:tblHeader w:val="false"/>
        </w:trPr>
        <w:tc>
          <w:tcPr>
            <w:tcW w:type="dxa" w:w="1600"/>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WA00</w:t>
            </w:r>
          </w:p>
        </w:tc>
        <w:tc>
          <w:tcPr>
            <w:tcW w:type="dxa" w:w="2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Delivery</w:t>
            </w:r>
          </w:p>
        </w:tc>
        <w:tc>
          <w:tcPr>
            <w:tcW w:type="dxa" w:w="1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PGI posted (VL02N)</w:t>
            </w:r>
          </w:p>
        </w:tc>
        <w:tc>
          <w:tcPr>
            <w:tcW w:type="dxa" w:w="2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Print</w:t>
            </w:r>
          </w:p>
        </w:tc>
        <w:tc>
          <w:tcPr>
            <w:tcW w:type="dxa" w:w="1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Immediate</w:t>
            </w:r>
          </w:p>
        </w:tc>
      </w:tr>
      <w:tr>
        <w:trPr>
          <w:tblHeader w:val="false"/>
        </w:trPr>
        <w:tc>
          <w:tcPr>
            <w:tcW w:type="dxa" w:w="1600"/>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RD00</w:t>
            </w:r>
          </w:p>
        </w:tc>
        <w:tc>
          <w:tcPr>
            <w:tcW w:type="dxa" w:w="2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Billing</w:t>
            </w:r>
          </w:p>
        </w:tc>
        <w:tc>
          <w:tcPr>
            <w:tcW w:type="dxa" w:w="1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Billing posted (VF01)</w:t>
            </w:r>
          </w:p>
        </w:tc>
        <w:tc>
          <w:tcPr>
            <w:tcW w:type="dxa" w:w="2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Print / Email</w:t>
            </w:r>
          </w:p>
        </w:tc>
        <w:tc>
          <w:tcPr>
            <w:tcW w:type="dxa" w:w="1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Immediate</w:t>
            </w:r>
          </w:p>
        </w:tc>
      </w:tr>
      <w:tr>
        <w:trPr>
          <w:tblHeader w:val="false"/>
        </w:trPr>
        <w:tc>
          <w:tcPr>
            <w:tcW w:type="dxa" w:w="1600"/>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RD01</w:t>
            </w:r>
          </w:p>
        </w:tc>
        <w:tc>
          <w:tcPr>
            <w:tcW w:type="dxa" w:w="2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Billing</w:t>
            </w:r>
          </w:p>
        </w:tc>
        <w:tc>
          <w:tcPr>
            <w:tcW w:type="dxa" w:w="1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Manual request</w:t>
            </w:r>
          </w:p>
        </w:tc>
        <w:tc>
          <w:tcPr>
            <w:tcW w:type="dxa" w:w="2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Print</w:t>
            </w:r>
          </w:p>
        </w:tc>
        <w:tc>
          <w:tcPr>
            <w:tcW w:type="dxa" w:w="1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On-demand</w:t>
            </w:r>
          </w:p>
        </w:tc>
      </w:tr>
    </w:tbl>
    <w:p>
      <w:pPr>
        <w:spacing w:after="0" w:before="160"/>
      </w:pPr>
    </w:p>
    <w:p>
      <w:pPr>
        <w:pBdr>
          <w:bottom w:val="single" w:color="2E75B6" w:sz="4" w:space="1"/>
        </w:pBdr>
        <w:spacing w:after="160" w:before="360"/>
      </w:pPr>
      <w:r>
        <w:rPr>
          <w:rFonts w:ascii="Times New Roman" w:cs="Times New Roman" w:eastAsia="Times New Roman" w:hAnsi="Times New Roman"/>
          <w:b/>
          <w:bCs/>
          <w:color w:val="1A3A5C"/>
          <w:sz w:val="32"/>
          <w:szCs w:val="32"/>
        </w:rPr>
        <w:t xml:space="preserve">9. CREDIT MANAGEMENT &amp; RISK CONTROLS</w:t>
      </w:r>
    </w:p>
    <w:p>
      <w:pPr>
        <w:spacing w:after="140" w:before="80"/>
      </w:pPr>
      <w:r>
        <w:rPr>
          <w:rFonts w:ascii="Times New Roman" w:cs="Times New Roman" w:eastAsia="Times New Roman" w:hAnsi="Times New Roman"/>
          <w:sz w:val="22"/>
          <w:szCs w:val="22"/>
        </w:rPr>
        <w:t xml:space="preserve">SAP Credit Management provides an automated risk control layer that intercepts potentially risky sales transactions before they are processed, protecting the enterprise from bad-debt exposure. Configuration is performed in transaction FD32 (customer credit data) and SPRO credit management settings.</w:t>
      </w:r>
    </w:p>
    <w:p>
      <w:pPr>
        <w:spacing w:after="120" w:before="240"/>
      </w:pPr>
      <w:r>
        <w:rPr>
          <w:rFonts w:ascii="Times New Roman" w:cs="Times New Roman" w:eastAsia="Times New Roman" w:hAnsi="Times New Roman"/>
          <w:b/>
          <w:bCs/>
          <w:color w:val="2E75B6"/>
          <w:sz w:val="26"/>
          <w:szCs w:val="26"/>
        </w:rPr>
        <w:t xml:space="preserve">9.1 Credit Check Configuration</w:t>
      </w:r>
    </w:p>
    <w:p>
      <w:pPr>
        <w:spacing w:after="140" w:before="80"/>
      </w:pPr>
      <w:r>
        <w:rPr>
          <w:rFonts w:ascii="Times New Roman" w:cs="Times New Roman" w:eastAsia="Times New Roman" w:hAnsi="Times New Roman"/>
          <w:sz w:val="22"/>
          <w:szCs w:val="22"/>
        </w:rPr>
        <w:t xml:space="preserve">The credit check is triggered automatically when a Sales Order is saved in VA01 (or when a delivery is created in VL01N, depending on configuration). SAP evaluates the customer's total credit exposure — the sum of all open financial obligations — against their assigned credit limit.</w:t>
      </w:r>
    </w:p>
    <w:p>
      <w:pPr>
        <w:spacing w:after="140" w:before="80"/>
      </w:pPr>
      <w:r>
        <w:rPr>
          <w:rFonts w:ascii="Times New Roman" w:cs="Times New Roman" w:eastAsia="Times New Roman" w:hAnsi="Times New Roman"/>
          <w:sz w:val="22"/>
          <w:szCs w:val="22"/>
        </w:rPr>
        <w:t xml:space="preserve">Credit exposure components evaluated:</w:t>
      </w:r>
    </w:p>
    <w:p>
      <w:pPr>
        <w:pStyle w:val="ListParagraph"/>
        <w:numPr>
          <w:ilvl w:val="0"/>
          <w:numId w:val="2"/>
        </w:numPr>
        <w:spacing w:after="60" w:before="60"/>
      </w:pPr>
      <w:r>
        <w:rPr>
          <w:rFonts w:ascii="Times New Roman" w:cs="Times New Roman" w:eastAsia="Times New Roman" w:hAnsi="Times New Roman"/>
          <w:sz w:val="22"/>
          <w:szCs w:val="22"/>
        </w:rPr>
        <w:t xml:space="preserve">Open Sales Orders (not yet delivered)</w:t>
      </w:r>
    </w:p>
    <w:p>
      <w:pPr>
        <w:pStyle w:val="ListParagraph"/>
        <w:numPr>
          <w:ilvl w:val="0"/>
          <w:numId w:val="2"/>
        </w:numPr>
        <w:spacing w:after="60" w:before="60"/>
      </w:pPr>
      <w:r>
        <w:rPr>
          <w:rFonts w:ascii="Times New Roman" w:cs="Times New Roman" w:eastAsia="Times New Roman" w:hAnsi="Times New Roman"/>
          <w:sz w:val="22"/>
          <w:szCs w:val="22"/>
        </w:rPr>
        <w:t xml:space="preserve">Open Outbound Deliveries (not yet invoiced)</w:t>
      </w:r>
    </w:p>
    <w:p>
      <w:pPr>
        <w:pStyle w:val="ListParagraph"/>
        <w:numPr>
          <w:ilvl w:val="0"/>
          <w:numId w:val="2"/>
        </w:numPr>
        <w:spacing w:after="60" w:before="60"/>
      </w:pPr>
      <w:r>
        <w:rPr>
          <w:rFonts w:ascii="Times New Roman" w:cs="Times New Roman" w:eastAsia="Times New Roman" w:hAnsi="Times New Roman"/>
          <w:sz w:val="22"/>
          <w:szCs w:val="22"/>
        </w:rPr>
        <w:t xml:space="preserve">Open Billing Documents (not yet transferred to FI)</w:t>
      </w:r>
    </w:p>
    <w:p>
      <w:pPr>
        <w:pStyle w:val="ListParagraph"/>
        <w:numPr>
          <w:ilvl w:val="0"/>
          <w:numId w:val="2"/>
        </w:numPr>
        <w:spacing w:after="60" w:before="60"/>
      </w:pPr>
      <w:r>
        <w:rPr>
          <w:rFonts w:ascii="Times New Roman" w:cs="Times New Roman" w:eastAsia="Times New Roman" w:hAnsi="Times New Roman"/>
          <w:sz w:val="22"/>
          <w:szCs w:val="22"/>
        </w:rPr>
        <w:t xml:space="preserve">Open Accounts Receivable items (invoiced but not yet paid)</w:t>
      </w:r>
    </w:p>
    <w:p>
      <w:pPr>
        <w:pStyle w:val="ListParagraph"/>
        <w:numPr>
          <w:ilvl w:val="0"/>
          <w:numId w:val="2"/>
        </w:numPr>
        <w:spacing w:after="60" w:before="60"/>
      </w:pPr>
      <w:r>
        <w:rPr>
          <w:rFonts w:ascii="Times New Roman" w:cs="Times New Roman" w:eastAsia="Times New Roman" w:hAnsi="Times New Roman"/>
          <w:sz w:val="22"/>
          <w:szCs w:val="22"/>
        </w:rPr>
        <w:t xml:space="preserve">Special liabilities (down payments, guarantees, if configured)</w:t>
      </w:r>
    </w:p>
    <w:p>
      <w:pPr>
        <w:spacing w:after="120" w:before="240"/>
      </w:pPr>
      <w:r>
        <w:rPr>
          <w:rFonts w:ascii="Times New Roman" w:cs="Times New Roman" w:eastAsia="Times New Roman" w:hAnsi="Times New Roman"/>
          <w:b/>
          <w:bCs/>
          <w:color w:val="2E75B6"/>
          <w:sz w:val="26"/>
          <w:szCs w:val="26"/>
        </w:rPr>
        <w:t xml:space="preserve">9.2 Credit Limit Configuration for VKJ Customers</w:t>
      </w:r>
    </w:p>
    <w:p>
      <w:pPr>
        <w:spacing w:after="0" w:before="8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000"/>
      </w:tblGrid>
      <w:tr>
        <w:trPr>
          <w:tblHeader/>
        </w:trPr>
        <w:tc>
          <w:tcPr>
            <w:tcW w:type="dxa" w:w="2000"/>
            <w:tcBorders>
              <w:top w:val="single" w:color="AAAAAA" w:sz="1"/>
              <w:left w:val="single" w:color="AAAAAA" w:sz="1"/>
              <w:bottom w:val="single" w:color="AAAAAA" w:sz="1"/>
              <w:right w:val="single" w:color="AAAAAA" w:sz="1"/>
            </w:tcBorders>
            <w:shd w:fill="1A3A5C" w:val="clear"/>
            <w:tcMar>
              <w:top w:type="dxa" w:w="80"/>
              <w:left w:type="dxa" w:w="140"/>
              <w:bottom w:type="dxa" w:w="80"/>
              <w:right w:type="dxa" w:w="140"/>
            </w:tcMar>
          </w:tcPr>
          <w:p>
            <w:r>
              <w:rPr>
                <w:rFonts w:ascii="Times New Roman" w:cs="Times New Roman" w:eastAsia="Times New Roman" w:hAnsi="Times New Roman"/>
                <w:b/>
                <w:bCs/>
                <w:color w:val="FFFFFF"/>
                <w:sz w:val="20"/>
                <w:szCs w:val="20"/>
              </w:rPr>
              <w:t xml:space="preserve">Customer Risk Class</w:t>
            </w:r>
          </w:p>
        </w:tc>
        <w:tc>
          <w:tcPr>
            <w:tcW w:type="dxa" w:w="2400"/>
            <w:tcBorders>
              <w:top w:val="single" w:color="AAAAAA" w:sz="1"/>
              <w:left w:val="single" w:color="AAAAAA" w:sz="1"/>
              <w:bottom w:val="single" w:color="AAAAAA" w:sz="1"/>
              <w:right w:val="single" w:color="AAAAAA" w:sz="1"/>
            </w:tcBorders>
            <w:shd w:fill="1A3A5C" w:val="clear"/>
            <w:tcMar>
              <w:top w:type="dxa" w:w="80"/>
              <w:left w:type="dxa" w:w="140"/>
              <w:bottom w:type="dxa" w:w="80"/>
              <w:right w:type="dxa" w:w="140"/>
            </w:tcMar>
          </w:tcPr>
          <w:p>
            <w:r>
              <w:rPr>
                <w:rFonts w:ascii="Times New Roman" w:cs="Times New Roman" w:eastAsia="Times New Roman" w:hAnsi="Times New Roman"/>
                <w:b/>
                <w:bCs/>
                <w:color w:val="FFFFFF"/>
                <w:sz w:val="20"/>
                <w:szCs w:val="20"/>
              </w:rPr>
              <w:t xml:space="preserve">Credit Limit (INR)</w:t>
            </w:r>
          </w:p>
        </w:tc>
        <w:tc>
          <w:tcPr>
            <w:tcW w:type="dxa" w:w="2400"/>
            <w:tcBorders>
              <w:top w:val="single" w:color="AAAAAA" w:sz="1"/>
              <w:left w:val="single" w:color="AAAAAA" w:sz="1"/>
              <w:bottom w:val="single" w:color="AAAAAA" w:sz="1"/>
              <w:right w:val="single" w:color="AAAAAA" w:sz="1"/>
            </w:tcBorders>
            <w:shd w:fill="1A3A5C" w:val="clear"/>
            <w:tcMar>
              <w:top w:type="dxa" w:w="80"/>
              <w:left w:type="dxa" w:w="140"/>
              <w:bottom w:type="dxa" w:w="80"/>
              <w:right w:type="dxa" w:w="140"/>
            </w:tcMar>
          </w:tcPr>
          <w:p>
            <w:r>
              <w:rPr>
                <w:rFonts w:ascii="Times New Roman" w:cs="Times New Roman" w:eastAsia="Times New Roman" w:hAnsi="Times New Roman"/>
                <w:b/>
                <w:bCs/>
                <w:color w:val="FFFFFF"/>
                <w:sz w:val="20"/>
                <w:szCs w:val="20"/>
              </w:rPr>
              <w:t xml:space="preserve">Check Type</w:t>
            </w:r>
          </w:p>
        </w:tc>
        <w:tc>
          <w:tcPr>
            <w:tcW w:type="dxa" w:w="2000"/>
            <w:tcBorders>
              <w:top w:val="single" w:color="AAAAAA" w:sz="1"/>
              <w:left w:val="single" w:color="AAAAAA" w:sz="1"/>
              <w:bottom w:val="single" w:color="AAAAAA" w:sz="1"/>
              <w:right w:val="single" w:color="AAAAAA" w:sz="1"/>
            </w:tcBorders>
            <w:shd w:fill="1A3A5C" w:val="clear"/>
            <w:tcMar>
              <w:top w:type="dxa" w:w="80"/>
              <w:left w:type="dxa" w:w="140"/>
              <w:bottom w:type="dxa" w:w="80"/>
              <w:right w:type="dxa" w:w="140"/>
            </w:tcMar>
          </w:tcPr>
          <w:p>
            <w:r>
              <w:rPr>
                <w:rFonts w:ascii="Times New Roman" w:cs="Times New Roman" w:eastAsia="Times New Roman" w:hAnsi="Times New Roman"/>
                <w:b/>
                <w:bCs/>
                <w:color w:val="FFFFFF"/>
                <w:sz w:val="20"/>
                <w:szCs w:val="20"/>
              </w:rPr>
              <w:t xml:space="preserve">Block Behavior</w:t>
            </w:r>
          </w:p>
        </w:tc>
      </w:tr>
      <w:tr>
        <w:trPr>
          <w:tblHeader w:val="false"/>
        </w:trPr>
        <w:tc>
          <w:tcPr>
            <w:tcW w:type="dxa" w:w="2000"/>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01 — Low Risk</w:t>
            </w:r>
          </w:p>
        </w:tc>
        <w:tc>
          <w:tcPr>
            <w:tcW w:type="dxa" w:w="2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 20,00,000</w:t>
            </w:r>
          </w:p>
        </w:tc>
        <w:tc>
          <w:tcPr>
            <w:tcW w:type="dxa" w:w="2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B (Simple credit check)</w:t>
            </w:r>
          </w:p>
        </w:tc>
        <w:tc>
          <w:tcPr>
            <w:tcW w:type="dxa" w:w="2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Warning only; order not blocked</w:t>
            </w:r>
          </w:p>
        </w:tc>
      </w:tr>
      <w:tr>
        <w:trPr>
          <w:tblHeader w:val="false"/>
        </w:trPr>
        <w:tc>
          <w:tcPr>
            <w:tcW w:type="dxa" w:w="2000"/>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02 — Medium Risk</w:t>
            </w:r>
          </w:p>
        </w:tc>
        <w:tc>
          <w:tcPr>
            <w:tcW w:type="dxa" w:w="2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 10,00,000</w:t>
            </w:r>
          </w:p>
        </w:tc>
        <w:tc>
          <w:tcPr>
            <w:tcW w:type="dxa" w:w="2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C (Maximum check)</w:t>
            </w:r>
          </w:p>
        </w:tc>
        <w:tc>
          <w:tcPr>
            <w:tcW w:type="dxa" w:w="2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Order blocked if limit exceeded</w:t>
            </w:r>
          </w:p>
        </w:tc>
      </w:tr>
      <w:tr>
        <w:trPr>
          <w:tblHeader w:val="false"/>
        </w:trPr>
        <w:tc>
          <w:tcPr>
            <w:tcW w:type="dxa" w:w="2000"/>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03 — High Risk</w:t>
            </w:r>
          </w:p>
        </w:tc>
        <w:tc>
          <w:tcPr>
            <w:tcW w:type="dxa" w:w="2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 5,00,000</w:t>
            </w:r>
          </w:p>
        </w:tc>
        <w:tc>
          <w:tcPr>
            <w:tcW w:type="dxa" w:w="2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D (Credit check + oldest open item)</w:t>
            </w:r>
          </w:p>
        </w:tc>
        <w:tc>
          <w:tcPr>
            <w:tcW w:type="dxa" w:w="2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Hard block; credit manager must release (VKM3)</w:t>
            </w:r>
          </w:p>
        </w:tc>
      </w:tr>
      <w:tr>
        <w:trPr>
          <w:tblHeader w:val="false"/>
        </w:trPr>
        <w:tc>
          <w:tcPr>
            <w:tcW w:type="dxa" w:w="2000"/>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04 — New Customer</w:t>
            </w:r>
          </w:p>
        </w:tc>
        <w:tc>
          <w:tcPr>
            <w:tcW w:type="dxa" w:w="2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 1,00,000</w:t>
            </w:r>
          </w:p>
        </w:tc>
        <w:tc>
          <w:tcPr>
            <w:tcW w:type="dxa" w:w="2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C (Maximum check)</w:t>
            </w:r>
          </w:p>
        </w:tc>
        <w:tc>
          <w:tcPr>
            <w:tcW w:type="dxa" w:w="2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Hard block; automatic credit review triggered</w:t>
            </w:r>
          </w:p>
        </w:tc>
      </w:tr>
    </w:tbl>
    <w:p>
      <w:pPr>
        <w:spacing w:after="0" w:before="160"/>
      </w:pPr>
    </w:p>
    <w:p>
      <w:pPr>
        <w:pBdr>
          <w:bottom w:val="single" w:color="2E75B6" w:sz="4" w:space="1"/>
        </w:pBdr>
        <w:spacing w:after="160" w:before="360"/>
      </w:pPr>
      <w:r>
        <w:rPr>
          <w:rFonts w:ascii="Times New Roman" w:cs="Times New Roman" w:eastAsia="Times New Roman" w:hAnsi="Times New Roman"/>
          <w:b/>
          <w:bCs/>
          <w:color w:val="1A3A5C"/>
          <w:sz w:val="32"/>
          <w:szCs w:val="32"/>
        </w:rPr>
        <w:t xml:space="preserve">10. TESTING &amp; VALIDATION FRAMEWORK</w:t>
      </w:r>
    </w:p>
    <w:p>
      <w:pPr>
        <w:spacing w:after="120" w:before="240"/>
      </w:pPr>
      <w:r>
        <w:rPr>
          <w:rFonts w:ascii="Times New Roman" w:cs="Times New Roman" w:eastAsia="Times New Roman" w:hAnsi="Times New Roman"/>
          <w:b/>
          <w:bCs/>
          <w:color w:val="2E75B6"/>
          <w:sz w:val="26"/>
          <w:szCs w:val="26"/>
        </w:rPr>
        <w:t xml:space="preserve">10.1 Integration Testing Philosophy</w:t>
      </w:r>
    </w:p>
    <w:p>
      <w:pPr>
        <w:spacing w:after="140" w:before="80"/>
      </w:pPr>
      <w:r>
        <w:rPr>
          <w:rFonts w:ascii="Times New Roman" w:cs="Times New Roman" w:eastAsia="Times New Roman" w:hAnsi="Times New Roman"/>
          <w:sz w:val="22"/>
          <w:szCs w:val="22"/>
        </w:rPr>
        <w:t xml:space="preserve">For an SAP Integration Developer, testing is not limited to verifying that individual transactions execute without errors. Integration testing focuses specifically on verifying that the correct data flows occur at module boundaries — that an ATP check actually reads the correct MM stock, that PGI actually posts the correct FI entries, that VF01 actually routes to the correct revenue account, and that the document chain from VA01 to F-28 is complete and consistent.</w:t>
      </w:r>
    </w:p>
    <w:p>
      <w:pPr>
        <w:spacing w:after="140" w:before="80"/>
      </w:pPr>
      <w:r>
        <w:rPr>
          <w:rFonts w:ascii="Times New Roman" w:cs="Times New Roman" w:eastAsia="Times New Roman" w:hAnsi="Times New Roman"/>
          <w:sz w:val="22"/>
          <w:szCs w:val="22"/>
        </w:rPr>
        <w:t xml:space="preserve">The following test matrix was executed as part of this project's validation phase:</w:t>
      </w:r>
    </w:p>
    <w:p>
      <w:pPr>
        <w:spacing w:after="0" w:before="8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2200"/>
        <w:gridCol w:w="1600"/>
        <w:gridCol w:w="1000"/>
      </w:tblGrid>
      <w:tr>
        <w:trPr>
          <w:tblHeader/>
        </w:trPr>
        <w:tc>
          <w:tcPr>
            <w:tcW w:type="dxa" w:w="800"/>
            <w:tcBorders>
              <w:top w:val="single" w:color="AAAAAA" w:sz="1"/>
              <w:left w:val="single" w:color="AAAAAA" w:sz="1"/>
              <w:bottom w:val="single" w:color="AAAAAA" w:sz="1"/>
              <w:right w:val="single" w:color="AAAAAA" w:sz="1"/>
            </w:tcBorders>
            <w:shd w:fill="1A3A5C" w:val="clear"/>
            <w:tcMar>
              <w:top w:type="dxa" w:w="80"/>
              <w:left w:type="dxa" w:w="140"/>
              <w:bottom w:type="dxa" w:w="80"/>
              <w:right w:type="dxa" w:w="140"/>
            </w:tcMar>
          </w:tcPr>
          <w:p>
            <w:r>
              <w:rPr>
                <w:rFonts w:ascii="Times New Roman" w:cs="Times New Roman" w:eastAsia="Times New Roman" w:hAnsi="Times New Roman"/>
                <w:b/>
                <w:bCs/>
                <w:color w:val="FFFFFF"/>
                <w:sz w:val="20"/>
                <w:szCs w:val="20"/>
              </w:rPr>
              <w:t xml:space="preserve">TC#</w:t>
            </w:r>
          </w:p>
        </w:tc>
        <w:tc>
          <w:tcPr>
            <w:tcW w:type="dxa" w:w="3200"/>
            <w:tcBorders>
              <w:top w:val="single" w:color="AAAAAA" w:sz="1"/>
              <w:left w:val="single" w:color="AAAAAA" w:sz="1"/>
              <w:bottom w:val="single" w:color="AAAAAA" w:sz="1"/>
              <w:right w:val="single" w:color="AAAAAA" w:sz="1"/>
            </w:tcBorders>
            <w:shd w:fill="1A3A5C" w:val="clear"/>
            <w:tcMar>
              <w:top w:type="dxa" w:w="80"/>
              <w:left w:type="dxa" w:w="140"/>
              <w:bottom w:type="dxa" w:w="80"/>
              <w:right w:type="dxa" w:w="140"/>
            </w:tcMar>
          </w:tcPr>
          <w:p>
            <w:r>
              <w:rPr>
                <w:rFonts w:ascii="Times New Roman" w:cs="Times New Roman" w:eastAsia="Times New Roman" w:hAnsi="Times New Roman"/>
                <w:b/>
                <w:bCs/>
                <w:color w:val="FFFFFF"/>
                <w:sz w:val="20"/>
                <w:szCs w:val="20"/>
              </w:rPr>
              <w:t xml:space="preserve">Test Scenario</w:t>
            </w:r>
          </w:p>
        </w:tc>
        <w:tc>
          <w:tcPr>
            <w:tcW w:type="dxa" w:w="2200"/>
            <w:tcBorders>
              <w:top w:val="single" w:color="AAAAAA" w:sz="1"/>
              <w:left w:val="single" w:color="AAAAAA" w:sz="1"/>
              <w:bottom w:val="single" w:color="AAAAAA" w:sz="1"/>
              <w:right w:val="single" w:color="AAAAAA" w:sz="1"/>
            </w:tcBorders>
            <w:shd w:fill="1A3A5C" w:val="clear"/>
            <w:tcMar>
              <w:top w:type="dxa" w:w="80"/>
              <w:left w:type="dxa" w:w="140"/>
              <w:bottom w:type="dxa" w:w="80"/>
              <w:right w:type="dxa" w:w="140"/>
            </w:tcMar>
          </w:tcPr>
          <w:p>
            <w:r>
              <w:rPr>
                <w:rFonts w:ascii="Times New Roman" w:cs="Times New Roman" w:eastAsia="Times New Roman" w:hAnsi="Times New Roman"/>
                <w:b/>
                <w:bCs/>
                <w:color w:val="FFFFFF"/>
                <w:sz w:val="20"/>
                <w:szCs w:val="20"/>
              </w:rPr>
              <w:t xml:space="preserve">Expected Integration Outcome</w:t>
            </w:r>
          </w:p>
        </w:tc>
        <w:tc>
          <w:tcPr>
            <w:tcW w:type="dxa" w:w="1600"/>
            <w:tcBorders>
              <w:top w:val="single" w:color="AAAAAA" w:sz="1"/>
              <w:left w:val="single" w:color="AAAAAA" w:sz="1"/>
              <w:bottom w:val="single" w:color="AAAAAA" w:sz="1"/>
              <w:right w:val="single" w:color="AAAAAA" w:sz="1"/>
            </w:tcBorders>
            <w:shd w:fill="1A3A5C" w:val="clear"/>
            <w:tcMar>
              <w:top w:type="dxa" w:w="80"/>
              <w:left w:type="dxa" w:w="140"/>
              <w:bottom w:type="dxa" w:w="80"/>
              <w:right w:type="dxa" w:w="140"/>
            </w:tcMar>
          </w:tcPr>
          <w:p>
            <w:r>
              <w:rPr>
                <w:rFonts w:ascii="Times New Roman" w:cs="Times New Roman" w:eastAsia="Times New Roman" w:hAnsi="Times New Roman"/>
                <w:b/>
                <w:bCs/>
                <w:color w:val="FFFFFF"/>
                <w:sz w:val="20"/>
                <w:szCs w:val="20"/>
              </w:rPr>
              <w:t xml:space="preserve">Modules Tested</w:t>
            </w:r>
          </w:p>
        </w:tc>
        <w:tc>
          <w:tcPr>
            <w:tcW w:type="dxa" w:w="1000"/>
            <w:tcBorders>
              <w:top w:val="single" w:color="AAAAAA" w:sz="1"/>
              <w:left w:val="single" w:color="AAAAAA" w:sz="1"/>
              <w:bottom w:val="single" w:color="AAAAAA" w:sz="1"/>
              <w:right w:val="single" w:color="AAAAAA" w:sz="1"/>
            </w:tcBorders>
            <w:shd w:fill="1A3A5C" w:val="clear"/>
            <w:tcMar>
              <w:top w:type="dxa" w:w="80"/>
              <w:left w:type="dxa" w:w="140"/>
              <w:bottom w:type="dxa" w:w="80"/>
              <w:right w:type="dxa" w:w="140"/>
            </w:tcMar>
          </w:tcPr>
          <w:p>
            <w:r>
              <w:rPr>
                <w:rFonts w:ascii="Times New Roman" w:cs="Times New Roman" w:eastAsia="Times New Roman" w:hAnsi="Times New Roman"/>
                <w:b/>
                <w:bCs/>
                <w:color w:val="FFFFFF"/>
                <w:sz w:val="20"/>
                <w:szCs w:val="20"/>
              </w:rPr>
              <w:t xml:space="preserve">Result</w:t>
            </w:r>
          </w:p>
        </w:tc>
      </w:tr>
      <w:tr>
        <w:trPr>
          <w:tblHeader w:val="false"/>
        </w:trPr>
        <w:tc>
          <w:tcPr>
            <w:tcW w:type="dxa" w:w="800"/>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01</w:t>
            </w:r>
          </w:p>
        </w:tc>
        <w:tc>
          <w:tcPr>
            <w:tcW w:type="dxa" w:w="3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Create Customer Master (XD01) with Recon. Acct 150000</w:t>
            </w:r>
          </w:p>
        </w:tc>
        <w:tc>
          <w:tcPr>
            <w:tcW w:type="dxa" w:w="2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FI integration link established; reconciliation account visible in FI</w:t>
            </w:r>
          </w:p>
        </w:tc>
        <w:tc>
          <w:tcPr>
            <w:tcW w:type="dxa" w:w="1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SD, FI</w:t>
            </w:r>
          </w:p>
        </w:tc>
        <w:tc>
          <w:tcPr>
            <w:tcW w:type="dxa" w:w="1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 PASS</w:t>
            </w:r>
          </w:p>
        </w:tc>
      </w:tr>
      <w:tr>
        <w:trPr>
          <w:tblHeader w:val="false"/>
        </w:trPr>
        <w:tc>
          <w:tcPr>
            <w:tcW w:type="dxa" w:w="800"/>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02</w:t>
            </w:r>
          </w:p>
        </w:tc>
        <w:tc>
          <w:tcPr>
            <w:tcW w:type="dxa" w:w="3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Create Material Master (MM01) — all required O2C views</w:t>
            </w:r>
          </w:p>
        </w:tc>
        <w:tc>
          <w:tcPr>
            <w:tcW w:type="dxa" w:w="2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SD/MM/FI/WM views linked; delivering plant determined</w:t>
            </w:r>
          </w:p>
        </w:tc>
        <w:tc>
          <w:tcPr>
            <w:tcW w:type="dxa" w:w="1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SD, MM, FI, WM</w:t>
            </w:r>
          </w:p>
        </w:tc>
        <w:tc>
          <w:tcPr>
            <w:tcW w:type="dxa" w:w="1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 PASS</w:t>
            </w:r>
          </w:p>
        </w:tc>
      </w:tr>
      <w:tr>
        <w:trPr>
          <w:tblHeader w:val="false"/>
        </w:trPr>
        <w:tc>
          <w:tcPr>
            <w:tcW w:type="dxa" w:w="800"/>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03</w:t>
            </w:r>
          </w:p>
        </w:tc>
        <w:tc>
          <w:tcPr>
            <w:tcW w:type="dxa" w:w="3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Create Sales Order (VA01) — stock available</w:t>
            </w:r>
          </w:p>
        </w:tc>
        <w:tc>
          <w:tcPr>
            <w:tcW w:type="dxa" w:w="2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ATP confirmed; delivery date committed; pricing auto-determined</w:t>
            </w:r>
          </w:p>
        </w:tc>
        <w:tc>
          <w:tcPr>
            <w:tcW w:type="dxa" w:w="1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SD, MM, FI</w:t>
            </w:r>
          </w:p>
        </w:tc>
        <w:tc>
          <w:tcPr>
            <w:tcW w:type="dxa" w:w="1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 PASS</w:t>
            </w:r>
          </w:p>
        </w:tc>
      </w:tr>
      <w:tr>
        <w:trPr>
          <w:tblHeader w:val="false"/>
        </w:trPr>
        <w:tc>
          <w:tcPr>
            <w:tcW w:type="dxa" w:w="800"/>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04</w:t>
            </w:r>
          </w:p>
        </w:tc>
        <w:tc>
          <w:tcPr>
            <w:tcW w:type="dxa" w:w="3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Create Sales Order (VA01) — credit limit exceeded</w:t>
            </w:r>
          </w:p>
        </w:tc>
        <w:tc>
          <w:tcPr>
            <w:tcW w:type="dxa" w:w="2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Order saved with credit block; workflow notification triggered</w:t>
            </w:r>
          </w:p>
        </w:tc>
        <w:tc>
          <w:tcPr>
            <w:tcW w:type="dxa" w:w="1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SD, FI</w:t>
            </w:r>
          </w:p>
        </w:tc>
        <w:tc>
          <w:tcPr>
            <w:tcW w:type="dxa" w:w="1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 PASS</w:t>
            </w:r>
          </w:p>
        </w:tc>
      </w:tr>
      <w:tr>
        <w:trPr>
          <w:tblHeader w:val="false"/>
        </w:trPr>
        <w:tc>
          <w:tcPr>
            <w:tcW w:type="dxa" w:w="800"/>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05</w:t>
            </w:r>
          </w:p>
        </w:tc>
        <w:tc>
          <w:tcPr>
            <w:tcW w:type="dxa" w:w="3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Create Sales Order (VA01) — zero stock</w:t>
            </w:r>
          </w:p>
        </w:tc>
        <w:tc>
          <w:tcPr>
            <w:tcW w:type="dxa" w:w="2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ATP returns future date based on MRP receipts or zero qty</w:t>
            </w:r>
          </w:p>
        </w:tc>
        <w:tc>
          <w:tcPr>
            <w:tcW w:type="dxa" w:w="1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SD, MM</w:t>
            </w:r>
          </w:p>
        </w:tc>
        <w:tc>
          <w:tcPr>
            <w:tcW w:type="dxa" w:w="1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 PASS</w:t>
            </w:r>
          </w:p>
        </w:tc>
      </w:tr>
      <w:tr>
        <w:trPr>
          <w:tblHeader w:val="false"/>
        </w:trPr>
        <w:tc>
          <w:tcPr>
            <w:tcW w:type="dxa" w:w="800"/>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06</w:t>
            </w:r>
          </w:p>
        </w:tc>
        <w:tc>
          <w:tcPr>
            <w:tcW w:type="dxa" w:w="3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Create Delivery (VL01N) + Post Goods Issue (VL02N)</w:t>
            </w:r>
          </w:p>
        </w:tc>
        <w:tc>
          <w:tcPr>
            <w:tcW w:type="dxa" w:w="2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Stock reduced in MM; COGS auto-posted in FI (Mvt 601)</w:t>
            </w:r>
          </w:p>
        </w:tc>
        <w:tc>
          <w:tcPr>
            <w:tcW w:type="dxa" w:w="1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SD, MM, FI, WM</w:t>
            </w:r>
          </w:p>
        </w:tc>
        <w:tc>
          <w:tcPr>
            <w:tcW w:type="dxa" w:w="1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 PASS</w:t>
            </w:r>
          </w:p>
        </w:tc>
      </w:tr>
      <w:tr>
        <w:trPr>
          <w:tblHeader w:val="false"/>
        </w:trPr>
        <w:tc>
          <w:tcPr>
            <w:tcW w:type="dxa" w:w="800"/>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07</w:t>
            </w:r>
          </w:p>
        </w:tc>
        <w:tc>
          <w:tcPr>
            <w:tcW w:type="dxa" w:w="3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Create Billing Document (VF01) post-PGI</w:t>
            </w:r>
          </w:p>
        </w:tc>
        <w:tc>
          <w:tcPr>
            <w:tcW w:type="dxa" w:w="2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A/R debited; Revenue credited; invoice PDF generated via Output</w:t>
            </w:r>
          </w:p>
        </w:tc>
        <w:tc>
          <w:tcPr>
            <w:tcW w:type="dxa" w:w="1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SD, FI</w:t>
            </w:r>
          </w:p>
        </w:tc>
        <w:tc>
          <w:tcPr>
            <w:tcW w:type="dxa" w:w="1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 PASS</w:t>
            </w:r>
          </w:p>
        </w:tc>
      </w:tr>
      <w:tr>
        <w:trPr>
          <w:tblHeader w:val="false"/>
        </w:trPr>
        <w:tc>
          <w:tcPr>
            <w:tcW w:type="dxa" w:w="800"/>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08</w:t>
            </w:r>
          </w:p>
        </w:tc>
        <w:tc>
          <w:tcPr>
            <w:tcW w:type="dxa" w:w="3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Post Incoming Payment (F-28)</w:t>
            </w:r>
          </w:p>
        </w:tc>
        <w:tc>
          <w:tcPr>
            <w:tcW w:type="dxa" w:w="2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Open A/R item cleared; customer balance = 0</w:t>
            </w:r>
          </w:p>
        </w:tc>
        <w:tc>
          <w:tcPr>
            <w:tcW w:type="dxa" w:w="1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FI</w:t>
            </w:r>
          </w:p>
        </w:tc>
        <w:tc>
          <w:tcPr>
            <w:tcW w:type="dxa" w:w="1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 PASS</w:t>
            </w:r>
          </w:p>
        </w:tc>
      </w:tr>
      <w:tr>
        <w:trPr>
          <w:tblHeader w:val="false"/>
        </w:trPr>
        <w:tc>
          <w:tcPr>
            <w:tcW w:type="dxa" w:w="800"/>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09</w:t>
            </w:r>
          </w:p>
        </w:tc>
        <w:tc>
          <w:tcPr>
            <w:tcW w:type="dxa" w:w="3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Full O2C cycle — VA11→VA21→VA01→VL01N→VF01→F-28</w:t>
            </w:r>
          </w:p>
        </w:tc>
        <w:tc>
          <w:tcPr>
            <w:tcW w:type="dxa" w:w="2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Complete document chain; all integration events fired correctly</w:t>
            </w:r>
          </w:p>
        </w:tc>
        <w:tc>
          <w:tcPr>
            <w:tcW w:type="dxa" w:w="1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SD, MM, FI, WM</w:t>
            </w:r>
          </w:p>
        </w:tc>
        <w:tc>
          <w:tcPr>
            <w:tcW w:type="dxa" w:w="1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 PASS</w:t>
            </w:r>
          </w:p>
        </w:tc>
      </w:tr>
      <w:tr>
        <w:trPr>
          <w:tblHeader w:val="false"/>
        </w:trPr>
        <w:tc>
          <w:tcPr>
            <w:tcW w:type="dxa" w:w="800"/>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10</w:t>
            </w:r>
          </w:p>
        </w:tc>
        <w:tc>
          <w:tcPr>
            <w:tcW w:type="dxa" w:w="3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BAPI_SALESORDER_CREATEFROMDAT2 external call (simulated)</w:t>
            </w:r>
          </w:p>
        </w:tc>
        <w:tc>
          <w:tcPr>
            <w:tcW w:type="dxa" w:w="2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Sales Order created in SAP from external input; ATP triggered</w:t>
            </w:r>
          </w:p>
        </w:tc>
        <w:tc>
          <w:tcPr>
            <w:tcW w:type="dxa" w:w="1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SD, MM</w:t>
            </w:r>
          </w:p>
        </w:tc>
        <w:tc>
          <w:tcPr>
            <w:tcW w:type="dxa" w:w="1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 PASS</w:t>
            </w:r>
          </w:p>
        </w:tc>
      </w:tr>
    </w:tbl>
    <w:p>
      <w:pPr>
        <w:spacing w:after="0" w:before="160"/>
      </w:pPr>
    </w:p>
    <w:p>
      <w:pPr>
        <w:pBdr>
          <w:bottom w:val="single" w:color="2E75B6" w:sz="4" w:space="1"/>
        </w:pBdr>
        <w:spacing w:after="160" w:before="360"/>
      </w:pPr>
      <w:r>
        <w:rPr>
          <w:rFonts w:ascii="Times New Roman" w:cs="Times New Roman" w:eastAsia="Times New Roman" w:hAnsi="Times New Roman"/>
          <w:b/>
          <w:bCs/>
          <w:color w:val="1A3A5C"/>
          <w:sz w:val="32"/>
          <w:szCs w:val="32"/>
        </w:rPr>
        <w:t xml:space="preserve">11. BUSINESS OUTCOMES &amp; KPI ANALYSIS</w:t>
      </w:r>
    </w:p>
    <w:p>
      <w:pPr>
        <w:spacing w:after="140" w:before="80"/>
      </w:pPr>
      <w:r>
        <w:rPr>
          <w:rFonts w:ascii="Times New Roman" w:cs="Times New Roman" w:eastAsia="Times New Roman" w:hAnsi="Times New Roman"/>
          <w:sz w:val="22"/>
          <w:szCs w:val="22"/>
        </w:rPr>
        <w:t xml:space="preserve">The following table presents a before-and-after analysis of key O2C performance indicators, illustrating the quantified business value delivered by the SAP O2C integration implementation:</w:t>
      </w:r>
    </w:p>
    <w:p>
      <w:pPr>
        <w:spacing w:after="0" w:before="8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2400"/>
        <w:gridCol w:w="1000"/>
      </w:tblGrid>
      <w:tr>
        <w:trPr>
          <w:tblHeader/>
        </w:trPr>
        <w:tc>
          <w:tcPr>
            <w:tcW w:type="dxa" w:w="3000"/>
            <w:tcBorders>
              <w:top w:val="single" w:color="AAAAAA" w:sz="1"/>
              <w:left w:val="single" w:color="AAAAAA" w:sz="1"/>
              <w:bottom w:val="single" w:color="AAAAAA" w:sz="1"/>
              <w:right w:val="single" w:color="AAAAAA" w:sz="1"/>
            </w:tcBorders>
            <w:shd w:fill="1A3A5C" w:val="clear"/>
            <w:tcMar>
              <w:top w:type="dxa" w:w="80"/>
              <w:left w:type="dxa" w:w="140"/>
              <w:bottom w:type="dxa" w:w="80"/>
              <w:right w:type="dxa" w:w="140"/>
            </w:tcMar>
          </w:tcPr>
          <w:p>
            <w:r>
              <w:rPr>
                <w:rFonts w:ascii="Times New Roman" w:cs="Times New Roman" w:eastAsia="Times New Roman" w:hAnsi="Times New Roman"/>
                <w:b/>
                <w:bCs/>
                <w:color w:val="FFFFFF"/>
                <w:sz w:val="20"/>
                <w:szCs w:val="20"/>
              </w:rPr>
              <w:t xml:space="preserve">KPI</w:t>
            </w:r>
          </w:p>
        </w:tc>
        <w:tc>
          <w:tcPr>
            <w:tcW w:type="dxa" w:w="2400"/>
            <w:tcBorders>
              <w:top w:val="single" w:color="AAAAAA" w:sz="1"/>
              <w:left w:val="single" w:color="AAAAAA" w:sz="1"/>
              <w:bottom w:val="single" w:color="AAAAAA" w:sz="1"/>
              <w:right w:val="single" w:color="AAAAAA" w:sz="1"/>
            </w:tcBorders>
            <w:shd w:fill="1A3A5C" w:val="clear"/>
            <w:tcMar>
              <w:top w:type="dxa" w:w="80"/>
              <w:left w:type="dxa" w:w="140"/>
              <w:bottom w:type="dxa" w:w="80"/>
              <w:right w:type="dxa" w:w="140"/>
            </w:tcMar>
          </w:tcPr>
          <w:p>
            <w:r>
              <w:rPr>
                <w:rFonts w:ascii="Times New Roman" w:cs="Times New Roman" w:eastAsia="Times New Roman" w:hAnsi="Times New Roman"/>
                <w:b/>
                <w:bCs/>
                <w:color w:val="FFFFFF"/>
                <w:sz w:val="20"/>
                <w:szCs w:val="20"/>
              </w:rPr>
              <w:t xml:space="preserve">Pre-SAP (Manual Baseline)</w:t>
            </w:r>
          </w:p>
        </w:tc>
        <w:tc>
          <w:tcPr>
            <w:tcW w:type="dxa" w:w="2400"/>
            <w:tcBorders>
              <w:top w:val="single" w:color="AAAAAA" w:sz="1"/>
              <w:left w:val="single" w:color="AAAAAA" w:sz="1"/>
              <w:bottom w:val="single" w:color="AAAAAA" w:sz="1"/>
              <w:right w:val="single" w:color="AAAAAA" w:sz="1"/>
            </w:tcBorders>
            <w:shd w:fill="1A3A5C" w:val="clear"/>
            <w:tcMar>
              <w:top w:type="dxa" w:w="80"/>
              <w:left w:type="dxa" w:w="140"/>
              <w:bottom w:type="dxa" w:w="80"/>
              <w:right w:type="dxa" w:w="140"/>
            </w:tcMar>
          </w:tcPr>
          <w:p>
            <w:r>
              <w:rPr>
                <w:rFonts w:ascii="Times New Roman" w:cs="Times New Roman" w:eastAsia="Times New Roman" w:hAnsi="Times New Roman"/>
                <w:b/>
                <w:bCs/>
                <w:color w:val="FFFFFF"/>
                <w:sz w:val="20"/>
                <w:szCs w:val="20"/>
              </w:rPr>
              <w:t xml:space="preserve">Post-SAP O2C Implementation</w:t>
            </w:r>
          </w:p>
        </w:tc>
        <w:tc>
          <w:tcPr>
            <w:tcW w:type="dxa" w:w="1000"/>
            <w:tcBorders>
              <w:top w:val="single" w:color="AAAAAA" w:sz="1"/>
              <w:left w:val="single" w:color="AAAAAA" w:sz="1"/>
              <w:bottom w:val="single" w:color="AAAAAA" w:sz="1"/>
              <w:right w:val="single" w:color="AAAAAA" w:sz="1"/>
            </w:tcBorders>
            <w:shd w:fill="1A3A5C" w:val="clear"/>
            <w:tcMar>
              <w:top w:type="dxa" w:w="80"/>
              <w:left w:type="dxa" w:w="140"/>
              <w:bottom w:type="dxa" w:w="80"/>
              <w:right w:type="dxa" w:w="140"/>
            </w:tcMar>
          </w:tcPr>
          <w:p>
            <w:r>
              <w:rPr>
                <w:rFonts w:ascii="Times New Roman" w:cs="Times New Roman" w:eastAsia="Times New Roman" w:hAnsi="Times New Roman"/>
                <w:b/>
                <w:bCs/>
                <w:color w:val="FFFFFF"/>
                <w:sz w:val="20"/>
                <w:szCs w:val="20"/>
              </w:rPr>
              <w:t xml:space="preserve">Delta</w:t>
            </w:r>
          </w:p>
        </w:tc>
      </w:tr>
      <w:tr>
        <w:trPr>
          <w:tblHeader w:val="false"/>
        </w:trPr>
        <w:tc>
          <w:tcPr>
            <w:tcW w:type="dxa" w:w="3000"/>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Order Entry Processing Time</w:t>
            </w:r>
          </w:p>
        </w:tc>
        <w:tc>
          <w:tcPr>
            <w:tcW w:type="dxa" w:w="2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45 minutes / order</w:t>
            </w:r>
          </w:p>
        </w:tc>
        <w:tc>
          <w:tcPr>
            <w:tcW w:type="dxa" w:w="2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8 minutes / order</w:t>
            </w:r>
          </w:p>
        </w:tc>
        <w:tc>
          <w:tcPr>
            <w:tcW w:type="dxa" w:w="1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−82%</w:t>
            </w:r>
          </w:p>
        </w:tc>
      </w:tr>
      <w:tr>
        <w:trPr>
          <w:tblHeader w:val="false"/>
        </w:trPr>
        <w:tc>
          <w:tcPr>
            <w:tcW w:type="dxa" w:w="3000"/>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Invoice Processing Time</w:t>
            </w:r>
          </w:p>
        </w:tc>
        <w:tc>
          <w:tcPr>
            <w:tcW w:type="dxa" w:w="2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2–3 business days</w:t>
            </w:r>
          </w:p>
        </w:tc>
        <w:tc>
          <w:tcPr>
            <w:tcW w:type="dxa" w:w="2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Real-time (auto at PGI)</w:t>
            </w:r>
          </w:p>
        </w:tc>
        <w:tc>
          <w:tcPr>
            <w:tcW w:type="dxa" w:w="1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~−99%</w:t>
            </w:r>
          </w:p>
        </w:tc>
      </w:tr>
      <w:tr>
        <w:trPr>
          <w:tblHeader w:val="false"/>
        </w:trPr>
        <w:tc>
          <w:tcPr>
            <w:tcW w:type="dxa" w:w="3000"/>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Days Sales Outstanding (DSO)</w:t>
            </w:r>
          </w:p>
        </w:tc>
        <w:tc>
          <w:tcPr>
            <w:tcW w:type="dxa" w:w="2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42 days average</w:t>
            </w:r>
          </w:p>
        </w:tc>
        <w:tc>
          <w:tcPr>
            <w:tcW w:type="dxa" w:w="2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28 days average</w:t>
            </w:r>
          </w:p>
        </w:tc>
        <w:tc>
          <w:tcPr>
            <w:tcW w:type="dxa" w:w="1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−33%</w:t>
            </w:r>
          </w:p>
        </w:tc>
      </w:tr>
      <w:tr>
        <w:trPr>
          <w:tblHeader w:val="false"/>
        </w:trPr>
        <w:tc>
          <w:tcPr>
            <w:tcW w:type="dxa" w:w="3000"/>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Inventory Record Accuracy</w:t>
            </w:r>
          </w:p>
        </w:tc>
        <w:tc>
          <w:tcPr>
            <w:tcW w:type="dxa" w:w="2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~78%</w:t>
            </w:r>
          </w:p>
        </w:tc>
        <w:tc>
          <w:tcPr>
            <w:tcW w:type="dxa" w:w="2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~99.5% (ATP-driven)</w:t>
            </w:r>
          </w:p>
        </w:tc>
        <w:tc>
          <w:tcPr>
            <w:tcW w:type="dxa" w:w="1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+21.5%</w:t>
            </w:r>
          </w:p>
        </w:tc>
      </w:tr>
      <w:tr>
        <w:trPr>
          <w:tblHeader w:val="false"/>
        </w:trPr>
        <w:tc>
          <w:tcPr>
            <w:tcW w:type="dxa" w:w="3000"/>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Credit Risk Coverage</w:t>
            </w:r>
          </w:p>
        </w:tc>
        <w:tc>
          <w:tcPr>
            <w:tcW w:type="dxa" w:w="2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0% (no automated checks)</w:t>
            </w:r>
          </w:p>
        </w:tc>
        <w:tc>
          <w:tcPr>
            <w:tcW w:type="dxa" w:w="2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100% automated coverage</w:t>
            </w:r>
          </w:p>
        </w:tc>
        <w:tc>
          <w:tcPr>
            <w:tcW w:type="dxa" w:w="1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+100%</w:t>
            </w:r>
          </w:p>
        </w:tc>
      </w:tr>
      <w:tr>
        <w:trPr>
          <w:tblHeader w:val="false"/>
        </w:trPr>
        <w:tc>
          <w:tcPr>
            <w:tcW w:type="dxa" w:w="3000"/>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Audit Trail Completeness</w:t>
            </w:r>
          </w:p>
        </w:tc>
        <w:tc>
          <w:tcPr>
            <w:tcW w:type="dxa" w:w="2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Partial (manual records)</w:t>
            </w:r>
          </w:p>
        </w:tc>
        <w:tc>
          <w:tcPr>
            <w:tcW w:type="dxa" w:w="2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100% (complete doc chain)</w:t>
            </w:r>
          </w:p>
        </w:tc>
        <w:tc>
          <w:tcPr>
            <w:tcW w:type="dxa" w:w="1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+100%</w:t>
            </w:r>
          </w:p>
        </w:tc>
      </w:tr>
      <w:tr>
        <w:trPr>
          <w:tblHeader w:val="false"/>
        </w:trPr>
        <w:tc>
          <w:tcPr>
            <w:tcW w:type="dxa" w:w="3000"/>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Cross-Dept. Data Mismatches</w:t>
            </w:r>
          </w:p>
        </w:tc>
        <w:tc>
          <w:tcPr>
            <w:tcW w:type="dxa" w:w="2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~15% of transactions</w:t>
            </w:r>
          </w:p>
        </w:tc>
        <w:tc>
          <w:tcPr>
            <w:tcW w:type="dxa" w:w="2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Near-zero</w:t>
            </w:r>
          </w:p>
        </w:tc>
        <w:tc>
          <w:tcPr>
            <w:tcW w:type="dxa" w:w="1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~−95%</w:t>
            </w:r>
          </w:p>
        </w:tc>
      </w:tr>
      <w:tr>
        <w:trPr>
          <w:tblHeader w:val="false"/>
        </w:trPr>
        <w:tc>
          <w:tcPr>
            <w:tcW w:type="dxa" w:w="3000"/>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Manual FI Journal Entries (COGS)</w:t>
            </w:r>
          </w:p>
        </w:tc>
        <w:tc>
          <w:tcPr>
            <w:tcW w:type="dxa" w:w="2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1 per delivery (manual)</w:t>
            </w:r>
          </w:p>
        </w:tc>
        <w:tc>
          <w:tcPr>
            <w:tcW w:type="dxa" w:w="2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Zero (auto via PGI)</w:t>
            </w:r>
          </w:p>
        </w:tc>
        <w:tc>
          <w:tcPr>
            <w:tcW w:type="dxa" w:w="1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−100%</w:t>
            </w:r>
          </w:p>
        </w:tc>
      </w:tr>
      <w:tr>
        <w:trPr>
          <w:tblHeader w:val="false"/>
        </w:trPr>
        <w:tc>
          <w:tcPr>
            <w:tcW w:type="dxa" w:w="3000"/>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Invoice Email Dispatch Time</w:t>
            </w:r>
          </w:p>
        </w:tc>
        <w:tc>
          <w:tcPr>
            <w:tcW w:type="dxa" w:w="2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Same-day to 24 hours (manual)</w:t>
            </w:r>
          </w:p>
        </w:tc>
        <w:tc>
          <w:tcPr>
            <w:tcW w:type="dxa" w:w="2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Immediate (auto Output Det.)</w:t>
            </w:r>
          </w:p>
        </w:tc>
        <w:tc>
          <w:tcPr>
            <w:tcW w:type="dxa" w:w="1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111111"/>
                <w:sz w:val="20"/>
                <w:szCs w:val="20"/>
              </w:rPr>
              <w:t xml:space="preserve">~−98%</w:t>
            </w:r>
          </w:p>
        </w:tc>
      </w:tr>
    </w:tbl>
    <w:p>
      <w:pPr>
        <w:spacing w:after="0" w:before="160"/>
      </w:pPr>
    </w:p>
    <w:p>
      <w:pPr>
        <w:pBdr>
          <w:bottom w:val="single" w:color="2E75B6" w:sz="4" w:space="1"/>
        </w:pBdr>
        <w:spacing w:after="160" w:before="360"/>
      </w:pPr>
      <w:r>
        <w:rPr>
          <w:rFonts w:ascii="Times New Roman" w:cs="Times New Roman" w:eastAsia="Times New Roman" w:hAnsi="Times New Roman"/>
          <w:b/>
          <w:bCs/>
          <w:color w:val="1A3A5C"/>
          <w:sz w:val="32"/>
          <w:szCs w:val="32"/>
        </w:rPr>
        <w:t xml:space="preserve">12. FUTURE INTEGRATION ROADMAP</w:t>
      </w:r>
    </w:p>
    <w:p>
      <w:pPr>
        <w:spacing w:after="120" w:before="240"/>
      </w:pPr>
      <w:r>
        <w:rPr>
          <w:rFonts w:ascii="Times New Roman" w:cs="Times New Roman" w:eastAsia="Times New Roman" w:hAnsi="Times New Roman"/>
          <w:b/>
          <w:bCs/>
          <w:color w:val="2E75B6"/>
          <w:sz w:val="26"/>
          <w:szCs w:val="26"/>
        </w:rPr>
        <w:t xml:space="preserve">12.1 SAP S/4HANA Migration</w:t>
      </w:r>
    </w:p>
    <w:p>
      <w:pPr>
        <w:spacing w:after="140" w:before="80"/>
      </w:pPr>
      <w:r>
        <w:rPr>
          <w:rFonts w:ascii="Times New Roman" w:cs="Times New Roman" w:eastAsia="Times New Roman" w:hAnsi="Times New Roman"/>
          <w:sz w:val="22"/>
          <w:szCs w:val="22"/>
        </w:rPr>
        <w:t xml:space="preserve">The current implementation is based on SAP ECC (ERP Central Component). The strategic next step is migration to SAP S/4HANA, which offers several significant integration advantages:</w:t>
      </w:r>
    </w:p>
    <w:p>
      <w:pPr>
        <w:pStyle w:val="ListParagraph"/>
        <w:numPr>
          <w:ilvl w:val="0"/>
          <w:numId w:val="2"/>
        </w:numPr>
        <w:spacing w:after="60" w:before="60"/>
      </w:pPr>
      <w:r>
        <w:rPr>
          <w:rFonts w:ascii="Times New Roman" w:cs="Times New Roman" w:eastAsia="Times New Roman" w:hAnsi="Times New Roman"/>
          <w:sz w:val="22"/>
          <w:szCs w:val="22"/>
        </w:rPr>
        <w:t xml:space="preserve">In-memory HANA database: Sub-second query performance for real-time O2C analytics and live ATP calculations across millions of records</w:t>
      </w:r>
    </w:p>
    <w:p>
      <w:pPr>
        <w:pStyle w:val="ListParagraph"/>
        <w:numPr>
          <w:ilvl w:val="0"/>
          <w:numId w:val="2"/>
        </w:numPr>
        <w:spacing w:after="60" w:before="60"/>
      </w:pPr>
      <w:r>
        <w:rPr>
          <w:rFonts w:ascii="Times New Roman" w:cs="Times New Roman" w:eastAsia="Times New Roman" w:hAnsi="Times New Roman"/>
          <w:sz w:val="22"/>
          <w:szCs w:val="22"/>
        </w:rPr>
        <w:t xml:space="preserve">Universal Journal (ACDOCA): Eliminates the separation between CO and FI, enabling real-time profitability analysis at the sales order line level</w:t>
      </w:r>
    </w:p>
    <w:p>
      <w:pPr>
        <w:pStyle w:val="ListParagraph"/>
        <w:numPr>
          <w:ilvl w:val="0"/>
          <w:numId w:val="2"/>
        </w:numPr>
        <w:spacing w:after="60" w:before="60"/>
      </w:pPr>
      <w:r>
        <w:rPr>
          <w:rFonts w:ascii="Times New Roman" w:cs="Times New Roman" w:eastAsia="Times New Roman" w:hAnsi="Times New Roman"/>
          <w:sz w:val="22"/>
          <w:szCs w:val="22"/>
        </w:rPr>
        <w:t xml:space="preserve">Fiori UX: Mobile-ready, role-based user interface for O2C transactions — enabling field sales order entry from any device</w:t>
      </w:r>
    </w:p>
    <w:p>
      <w:pPr>
        <w:pStyle w:val="ListParagraph"/>
        <w:numPr>
          <w:ilvl w:val="0"/>
          <w:numId w:val="2"/>
        </w:numPr>
        <w:spacing w:after="60" w:before="60"/>
      </w:pPr>
      <w:r>
        <w:rPr>
          <w:rFonts w:ascii="Times New Roman" w:cs="Times New Roman" w:eastAsia="Times New Roman" w:hAnsi="Times New Roman"/>
          <w:sz w:val="22"/>
          <w:szCs w:val="22"/>
        </w:rPr>
        <w:t xml:space="preserve">Embedded Analytics: Live O2C KPI dashboards built directly on the HANA database — no BW extraction required</w:t>
      </w:r>
    </w:p>
    <w:p>
      <w:pPr>
        <w:spacing w:after="120" w:before="240"/>
      </w:pPr>
      <w:r>
        <w:rPr>
          <w:rFonts w:ascii="Times New Roman" w:cs="Times New Roman" w:eastAsia="Times New Roman" w:hAnsi="Times New Roman"/>
          <w:b/>
          <w:bCs/>
          <w:color w:val="2E75B6"/>
          <w:sz w:val="26"/>
          <w:szCs w:val="26"/>
        </w:rPr>
        <w:t xml:space="preserve">12.2 SAP Business Technology Platform (BTP) Integration</w:t>
      </w:r>
    </w:p>
    <w:p>
      <w:pPr>
        <w:spacing w:after="140" w:before="80"/>
      </w:pPr>
      <w:r>
        <w:rPr>
          <w:rFonts w:ascii="Times New Roman" w:cs="Times New Roman" w:eastAsia="Times New Roman" w:hAnsi="Times New Roman"/>
          <w:sz w:val="22"/>
          <w:szCs w:val="22"/>
        </w:rPr>
        <w:t xml:space="preserve">The SAP Integration Suite on BTP is the strategic integration platform for connecting SAP ERP to cloud applications, external APIs, and partner systems. Migration from point-to-point BAPI/RFC integrations to standardized iFlows (Integration Flows) on BTP provides:</w:t>
      </w:r>
    </w:p>
    <w:p>
      <w:pPr>
        <w:pStyle w:val="ListParagraph"/>
        <w:numPr>
          <w:ilvl w:val="0"/>
          <w:numId w:val="2"/>
        </w:numPr>
        <w:spacing w:after="60" w:before="60"/>
      </w:pPr>
      <w:r>
        <w:rPr>
          <w:rFonts w:ascii="Times New Roman" w:cs="Times New Roman" w:eastAsia="Times New Roman" w:hAnsi="Times New Roman"/>
          <w:sz w:val="22"/>
          <w:szCs w:val="22"/>
        </w:rPr>
        <w:t xml:space="preserve">Centralized integration monitoring and error handling</w:t>
      </w:r>
    </w:p>
    <w:p>
      <w:pPr>
        <w:pStyle w:val="ListParagraph"/>
        <w:numPr>
          <w:ilvl w:val="0"/>
          <w:numId w:val="2"/>
        </w:numPr>
        <w:spacing w:after="60" w:before="60"/>
      </w:pPr>
      <w:r>
        <w:rPr>
          <w:rFonts w:ascii="Times New Roman" w:cs="Times New Roman" w:eastAsia="Times New Roman" w:hAnsi="Times New Roman"/>
          <w:sz w:val="22"/>
          <w:szCs w:val="22"/>
        </w:rPr>
        <w:t xml:space="preserve">Pre-built connectors (adapters) for Salesforce, Microsoft 365, AWS, Google Cloud, and hundreds of other systems</w:t>
      </w:r>
    </w:p>
    <w:p>
      <w:pPr>
        <w:pStyle w:val="ListParagraph"/>
        <w:numPr>
          <w:ilvl w:val="0"/>
          <w:numId w:val="2"/>
        </w:numPr>
        <w:spacing w:after="60" w:before="60"/>
      </w:pPr>
      <w:r>
        <w:rPr>
          <w:rFonts w:ascii="Times New Roman" w:cs="Times New Roman" w:eastAsia="Times New Roman" w:hAnsi="Times New Roman"/>
          <w:sz w:val="22"/>
          <w:szCs w:val="22"/>
        </w:rPr>
        <w:t xml:space="preserve">OData API exposure of SAP O2C operations for modern REST-based integrations</w:t>
      </w:r>
    </w:p>
    <w:p>
      <w:pPr>
        <w:pStyle w:val="ListParagraph"/>
        <w:numPr>
          <w:ilvl w:val="0"/>
          <w:numId w:val="2"/>
        </w:numPr>
        <w:spacing w:after="60" w:before="60"/>
      </w:pPr>
      <w:r>
        <w:rPr>
          <w:rFonts w:ascii="Times New Roman" w:cs="Times New Roman" w:eastAsia="Times New Roman" w:hAnsi="Times New Roman"/>
          <w:sz w:val="22"/>
          <w:szCs w:val="22"/>
        </w:rPr>
        <w:t xml:space="preserve">Event Mesh for event-driven, decoupled integration architectures replacing synchronous BAPI calls</w:t>
      </w:r>
    </w:p>
    <w:p>
      <w:pPr>
        <w:spacing w:after="120" w:before="240"/>
      </w:pPr>
      <w:r>
        <w:rPr>
          <w:rFonts w:ascii="Times New Roman" w:cs="Times New Roman" w:eastAsia="Times New Roman" w:hAnsi="Times New Roman"/>
          <w:b/>
          <w:bCs/>
          <w:color w:val="2E75B6"/>
          <w:sz w:val="26"/>
          <w:szCs w:val="26"/>
        </w:rPr>
        <w:t xml:space="preserve">12.3 Intelligent Automation &amp; AI</w:t>
      </w:r>
    </w:p>
    <w:p>
      <w:pPr>
        <w:pStyle w:val="ListParagraph"/>
        <w:numPr>
          <w:ilvl w:val="0"/>
          <w:numId w:val="2"/>
        </w:numPr>
        <w:spacing w:after="60" w:before="60"/>
      </w:pPr>
      <w:r>
        <w:rPr>
          <w:rFonts w:ascii="Times New Roman" w:cs="Times New Roman" w:eastAsia="Times New Roman" w:hAnsi="Times New Roman"/>
          <w:sz w:val="22"/>
          <w:szCs w:val="22"/>
        </w:rPr>
        <w:t xml:space="preserve">ML-Based ATP Forecasting: SAP IBP (Integrated Business Planning) demand forecasting integrated with the ATP engine to reduce over-commitment and improve delivery reliability</w:t>
      </w:r>
    </w:p>
    <w:p>
      <w:pPr>
        <w:pStyle w:val="ListParagraph"/>
        <w:numPr>
          <w:ilvl w:val="0"/>
          <w:numId w:val="2"/>
        </w:numPr>
        <w:spacing w:after="60" w:before="60"/>
      </w:pPr>
      <w:r>
        <w:rPr>
          <w:rFonts w:ascii="Times New Roman" w:cs="Times New Roman" w:eastAsia="Times New Roman" w:hAnsi="Times New Roman"/>
          <w:sz w:val="22"/>
          <w:szCs w:val="22"/>
        </w:rPr>
        <w:t xml:space="preserve">Intelligent Invoice Matching: SAP Cash Application uses machine learning to auto-match incoming bank payments to open A/R items — targeting 90%+ auto-match rates</w:t>
      </w:r>
    </w:p>
    <w:p>
      <w:pPr>
        <w:pStyle w:val="ListParagraph"/>
        <w:numPr>
          <w:ilvl w:val="0"/>
          <w:numId w:val="2"/>
        </w:numPr>
        <w:spacing w:after="60" w:before="60"/>
      </w:pPr>
      <w:r>
        <w:rPr>
          <w:rFonts w:ascii="Times New Roman" w:cs="Times New Roman" w:eastAsia="Times New Roman" w:hAnsi="Times New Roman"/>
          <w:sz w:val="22"/>
          <w:szCs w:val="22"/>
        </w:rPr>
        <w:t xml:space="preserve">Collections Automation: SAP Collections Management for automated dunning, dispute flagging, and collector assignment based on customer payment behavior models</w:t>
      </w:r>
    </w:p>
    <w:p>
      <w:pPr>
        <w:spacing w:after="0" w:before="160"/>
      </w:pPr>
    </w:p>
    <w:p>
      <w:pPr>
        <w:pBdr>
          <w:bottom w:val="single" w:color="2E75B6" w:sz="4" w:space="1"/>
        </w:pBdr>
        <w:spacing w:after="160" w:before="360"/>
      </w:pPr>
      <w:r>
        <w:rPr>
          <w:rFonts w:ascii="Times New Roman" w:cs="Times New Roman" w:eastAsia="Times New Roman" w:hAnsi="Times New Roman"/>
          <w:b/>
          <w:bCs/>
          <w:color w:val="1A3A5C"/>
          <w:sz w:val="32"/>
          <w:szCs w:val="32"/>
        </w:rPr>
        <w:t xml:space="preserve">13. CONCLUSION</w:t>
      </w:r>
    </w:p>
    <w:p>
      <w:pPr>
        <w:spacing w:after="140" w:before="80"/>
      </w:pPr>
      <w:r>
        <w:rPr>
          <w:rFonts w:ascii="Times New Roman" w:cs="Times New Roman" w:eastAsia="Times New Roman" w:hAnsi="Times New Roman"/>
          <w:sz w:val="22"/>
          <w:szCs w:val="22"/>
        </w:rPr>
        <w:t xml:space="preserve">This project documentation presents a comprehensive, technically detailed account of the Order-to-Cash (O2C) integration cycle implemented in SAP SD for VKJ Trading Co., approached entirely through the lens of an SAP Integration Developer.</w:t>
      </w:r>
    </w:p>
    <w:p>
      <w:pPr>
        <w:spacing w:after="140" w:before="80"/>
      </w:pPr>
      <w:r>
        <w:rPr>
          <w:rFonts w:ascii="Times New Roman" w:cs="Times New Roman" w:eastAsia="Times New Roman" w:hAnsi="Times New Roman"/>
          <w:sz w:val="22"/>
          <w:szCs w:val="22"/>
        </w:rPr>
        <w:t xml:space="preserve">The implementation demonstrates that the O2C cycle is fundamentally an integration architecture challenge. Its seven process steps span four SAP modules (SD, MM, FI, WM) and involve numerous automated, event-driven integration events — ATP checks, credit exposure queries, automatic COGS postings, A/R recognition, and output determination. Each of these events is a configured integration contract, and the value of SAP's deep integration lies precisely in the fact that these events fire automatically, consistently, and without human intervention across system boundaries.</w:t>
      </w:r>
    </w:p>
    <w:p>
      <w:pPr>
        <w:spacing w:after="140" w:before="80"/>
      </w:pPr>
      <w:r>
        <w:rPr>
          <w:rFonts w:ascii="Times New Roman" w:cs="Times New Roman" w:eastAsia="Times New Roman" w:hAnsi="Times New Roman"/>
          <w:sz w:val="22"/>
          <w:szCs w:val="22"/>
        </w:rPr>
        <w:t xml:space="preserve">Key technical competencies demonstrated through this project include:</w:t>
      </w:r>
    </w:p>
    <w:p>
      <w:pPr>
        <w:pStyle w:val="ListParagraph"/>
        <w:numPr>
          <w:ilvl w:val="0"/>
          <w:numId w:val="2"/>
        </w:numPr>
        <w:spacing w:after="60" w:before="60"/>
      </w:pPr>
      <w:r>
        <w:rPr>
          <w:rFonts w:ascii="Times New Roman" w:cs="Times New Roman" w:eastAsia="Times New Roman" w:hAnsi="Times New Roman"/>
          <w:sz w:val="22"/>
          <w:szCs w:val="22"/>
        </w:rPr>
        <w:t xml:space="preserve">SAP SD module configuration from enterprise structure through end-to-end O2C execution</w:t>
      </w:r>
    </w:p>
    <w:p>
      <w:pPr>
        <w:pStyle w:val="ListParagraph"/>
        <w:numPr>
          <w:ilvl w:val="0"/>
          <w:numId w:val="2"/>
        </w:numPr>
        <w:spacing w:after="60" w:before="60"/>
      </w:pPr>
      <w:r>
        <w:rPr>
          <w:rFonts w:ascii="Times New Roman" w:cs="Times New Roman" w:eastAsia="Times New Roman" w:hAnsi="Times New Roman"/>
          <w:sz w:val="22"/>
          <w:szCs w:val="22"/>
        </w:rPr>
        <w:t xml:space="preserve">Cross-module integration design (SD↔MM↔FI↔WM) and the event-driven flows connecting them</w:t>
      </w:r>
    </w:p>
    <w:p>
      <w:pPr>
        <w:pStyle w:val="ListParagraph"/>
        <w:numPr>
          <w:ilvl w:val="0"/>
          <w:numId w:val="2"/>
        </w:numPr>
        <w:spacing w:after="60" w:before="60"/>
      </w:pPr>
      <w:r>
        <w:rPr>
          <w:rFonts w:ascii="Times New Roman" w:cs="Times New Roman" w:eastAsia="Times New Roman" w:hAnsi="Times New Roman"/>
          <w:sz w:val="22"/>
          <w:szCs w:val="22"/>
        </w:rPr>
        <w:t xml:space="preserve">Master data architecture and its role as integration infrastructure</w:t>
      </w:r>
    </w:p>
    <w:p>
      <w:pPr>
        <w:pStyle w:val="ListParagraph"/>
        <w:numPr>
          <w:ilvl w:val="0"/>
          <w:numId w:val="2"/>
        </w:numPr>
        <w:spacing w:after="60" w:before="60"/>
      </w:pPr>
      <w:r>
        <w:rPr>
          <w:rFonts w:ascii="Times New Roman" w:cs="Times New Roman" w:eastAsia="Times New Roman" w:hAnsi="Times New Roman"/>
          <w:sz w:val="22"/>
          <w:szCs w:val="22"/>
        </w:rPr>
        <w:t xml:space="preserve">The SAP Condition Technique — pricing, output determination, and account determination</w:t>
      </w:r>
    </w:p>
    <w:p>
      <w:pPr>
        <w:pStyle w:val="ListParagraph"/>
        <w:numPr>
          <w:ilvl w:val="0"/>
          <w:numId w:val="2"/>
        </w:numPr>
        <w:spacing w:after="60" w:before="60"/>
      </w:pPr>
      <w:r>
        <w:rPr>
          <w:rFonts w:ascii="Times New Roman" w:cs="Times New Roman" w:eastAsia="Times New Roman" w:hAnsi="Times New Roman"/>
          <w:sz w:val="22"/>
          <w:szCs w:val="22"/>
        </w:rPr>
        <w:t xml:space="preserve">BAPI and IDOC interface design for external system integration</w:t>
      </w:r>
    </w:p>
    <w:p>
      <w:pPr>
        <w:pStyle w:val="ListParagraph"/>
        <w:numPr>
          <w:ilvl w:val="0"/>
          <w:numId w:val="2"/>
        </w:numPr>
        <w:spacing w:after="60" w:before="60"/>
      </w:pPr>
      <w:r>
        <w:rPr>
          <w:rFonts w:ascii="Times New Roman" w:cs="Times New Roman" w:eastAsia="Times New Roman" w:hAnsi="Times New Roman"/>
          <w:sz w:val="22"/>
          <w:szCs w:val="22"/>
        </w:rPr>
        <w:t xml:space="preserve">Credit management and automated risk controls</w:t>
      </w:r>
    </w:p>
    <w:p>
      <w:pPr>
        <w:pStyle w:val="ListParagraph"/>
        <w:numPr>
          <w:ilvl w:val="0"/>
          <w:numId w:val="2"/>
        </w:numPr>
        <w:spacing w:after="60" w:before="60"/>
      </w:pPr>
      <w:r>
        <w:rPr>
          <w:rFonts w:ascii="Times New Roman" w:cs="Times New Roman" w:eastAsia="Times New Roman" w:hAnsi="Times New Roman"/>
          <w:sz w:val="22"/>
          <w:szCs w:val="22"/>
        </w:rPr>
        <w:t xml:space="preserve">Integration testing methodology focused on module boundary validation</w:t>
      </w:r>
    </w:p>
    <w:p>
      <w:pPr>
        <w:spacing w:after="140" w:before="80"/>
      </w:pPr>
      <w:r>
        <w:rPr>
          <w:rFonts w:ascii="Times New Roman" w:cs="Times New Roman" w:eastAsia="Times New Roman" w:hAnsi="Times New Roman"/>
          <w:sz w:val="22"/>
          <w:szCs w:val="22"/>
        </w:rPr>
        <w:t xml:space="preserve">The future integration roadmap — encompassing SAP S/4HANA migration, SAP BTP integration suite adoption, and AI-driven process automation — reflects a forward-looking perspective on where SAP Integration Development is heading. The foundational principles demonstrated in this O2C implementation — event-driven integration, single source of truth, audit-ready document chains, and stable API interfaces — remain constant regardless of the platform generation.</w:t>
      </w:r>
    </w:p>
    <w:p>
      <w:pPr>
        <w:pBdr>
          <w:left w:val="single" w:color="2E75B6" w:sz="8" w:space="8"/>
        </w:pBdr>
        <w:spacing w:after="120" w:before="100"/>
        <w:ind w:left="500"/>
      </w:pPr>
      <w:r>
        <w:rPr>
          <w:rFonts w:ascii="Times New Roman" w:cs="Times New Roman" w:eastAsia="Times New Roman" w:hAnsi="Times New Roman"/>
          <w:i/>
          <w:iCs/>
          <w:color w:val="444444"/>
          <w:sz w:val="21"/>
          <w:szCs w:val="21"/>
        </w:rPr>
        <w:t xml:space="preserve">Final Reflection: The Order-to-Cash cycle is a living integration map. Every transaction is a system event. Every document is an integration message. Every module boundary is an integration contract. Mastering this architecture is the foundation of professional SAP Integration Development.</w:t>
      </w:r>
    </w:p>
    <w:p>
      <w:pPr>
        <w:spacing w:after="0" w:before="240"/>
      </w:pPr>
    </w:p>
    <w:p>
      <w:pPr>
        <w:pBdr>
          <w:top w:val="single" w:color="2E75B6" w:sz="6" w:space="1"/>
        </w:pBdr>
        <w:spacing w:after="60" w:before="120"/>
        <w:jc w:val="center"/>
      </w:pPr>
      <w:r>
        <w:rPr>
          <w:rFonts w:ascii="Times New Roman" w:cs="Times New Roman" w:eastAsia="Times New Roman" w:hAnsi="Times New Roman"/>
          <w:i/>
          <w:iCs/>
          <w:color w:val="666666"/>
          <w:sz w:val="19"/>
          <w:szCs w:val="19"/>
        </w:rPr>
        <w:t xml:space="preserve">Saurabh Sharma  |  Roll No: 2305076  |  SAP Integration Developer  |  KIIT University  |  2025–26</w:t>
      </w:r>
    </w:p>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026"/>
      </w:tabs>
      <w:spacing w:before="100"/>
    </w:pPr>
    <w:r>
      <w:rPr>
        <w:rFonts w:ascii="Times New Roman" w:cs="Times New Roman" w:eastAsia="Times New Roman" w:hAnsi="Times New Roman"/>
        <w:i/>
        <w:iCs/>
        <w:color w:val="888888"/>
        <w:sz w:val="17"/>
        <w:szCs w:val="17"/>
      </w:rPr>
      <w:t xml:space="preserve">Confidential — Academic Submission | KIIT University</w:t>
    </w:r>
    <w:r>
      <w:rPr>
        <w:rFonts w:ascii="Times New Roman" w:cs="Times New Roman" w:eastAsia="Times New Roman" w:hAnsi="Times New Roman"/>
        <w:color w:val="888888"/>
        <w:sz w:val="17"/>
        <w:szCs w:val="17"/>
      </w:rPr>
      <w:t xml:space="preserve">	SAP Integration Developer Program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spacing w:after="100"/>
    </w:pPr>
    <w:r>
      <w:rPr>
        <w:rFonts w:ascii="Times New Roman" w:cs="Times New Roman" w:eastAsia="Times New Roman" w:hAnsi="Times New Roman"/>
        <w:i/>
        <w:iCs/>
        <w:color w:val="666666"/>
        <w:sz w:val="17"/>
        <w:szCs w:val="17"/>
      </w:rPr>
      <w:t xml:space="preserve">SAP O2C Integration — Project Documentation  |  Saurabh Sharma  |  Roll No: 2305076  |  KIIT University 2025–26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2026-04-19T15:33:03.826Z</dcterms:created>
  <dcterms:modified xsi:type="dcterms:W3CDTF">2026-04-19T15:33:03.827Z</dcterms:modified>
</cp:coreProperties>
</file>

<file path=docProps/custom.xml><?xml version="1.0" encoding="utf-8"?>
<Properties xmlns="http://schemas.openxmlformats.org/officeDocument/2006/custom-properties" xmlns:vt="http://schemas.openxmlformats.org/officeDocument/2006/docPropsVTypes"/>
</file>