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LendR Tokenomics Overview</w:t>
      </w:r>
    </w:p>
    <w:p>
      <w:r>
        <w:t>Date: April 11, 2025</w:t>
        <w:br/>
      </w:r>
    </w:p>
    <w:p>
      <w:pPr>
        <w:pStyle w:val="Heading1"/>
      </w:pPr>
      <w:r>
        <w:t>Token Name:</w:t>
      </w:r>
    </w:p>
    <w:p>
      <w:r>
        <w:t>LendR</w:t>
      </w:r>
    </w:p>
    <w:p>
      <w:pPr>
        <w:pStyle w:val="Heading1"/>
      </w:pPr>
      <w:r>
        <w:t>Token Symbol:</w:t>
      </w:r>
    </w:p>
    <w:p>
      <w:r>
        <w:t>LENDR</w:t>
      </w:r>
    </w:p>
    <w:p>
      <w:pPr>
        <w:pStyle w:val="Heading1"/>
      </w:pPr>
      <w:r>
        <w:t>Blockchain:</w:t>
      </w:r>
    </w:p>
    <w:p>
      <w:r>
        <w:t>Ethereum (ERC-20) or Solana (TBD based on scalability needs)</w:t>
      </w:r>
    </w:p>
    <w:p>
      <w:pPr>
        <w:pStyle w:val="Heading1"/>
      </w:pPr>
      <w:r>
        <w:t>Total Supply:</w:t>
      </w:r>
    </w:p>
    <w:p>
      <w:r>
        <w:t>1,000,000,000 LENDR</w:t>
      </w:r>
    </w:p>
    <w:p>
      <w:pPr>
        <w:pStyle w:val="Heading1"/>
      </w:pPr>
      <w:r>
        <w:t>Initial Distribution:</w:t>
      </w:r>
    </w:p>
    <w:p>
      <w:r>
        <w:br/>
        <w:t>- 25% – Community &amp; Ecosystem Growth</w:t>
        <w:br/>
        <w:t>- 20% – Founders &amp; Team (4-year vesting, 1-year cliff)</w:t>
        <w:br/>
        <w:t>- 15% – Strategic Partnerships</w:t>
        <w:br/>
        <w:t>- 10% – Treasury &amp; Governance</w:t>
        <w:br/>
        <w:t>- 10% – Pre-Sale Round</w:t>
        <w:br/>
        <w:t>- 10% – Public ICO</w:t>
        <w:br/>
        <w:t>- 5% – Liquidity Pool</w:t>
        <w:br/>
        <w:t>- 5% – Advisors (3-year vesting)</w:t>
        <w:br/>
      </w:r>
    </w:p>
    <w:p>
      <w:pPr>
        <w:pStyle w:val="Heading1"/>
      </w:pPr>
      <w:r>
        <w:t>Utility of LENDR:</w:t>
      </w:r>
    </w:p>
    <w:p>
      <w:r>
        <w:br/>
        <w:t>- Collateral for lending positions</w:t>
        <w:br/>
        <w:t>- Tier-based access to better lending terms</w:t>
        <w:br/>
        <w:t>- Governance and DAO voting</w:t>
        <w:br/>
        <w:t>- Staking to earn yield</w:t>
        <w:br/>
        <w:t>- Reputation tracking for lenders and borrowers</w:t>
        <w:br/>
      </w:r>
    </w:p>
    <w:p>
      <w:pPr>
        <w:pStyle w:val="Heading1"/>
      </w:pPr>
      <w:r>
        <w:t>Incentive Model:</w:t>
      </w:r>
    </w:p>
    <w:p>
      <w:r>
        <w:br/>
        <w:t>- Early adopters earn higher staking rewards</w:t>
        <w:br/>
        <w:t>- Borrowers pay discounted rates using LENDR</w:t>
        <w:br/>
        <w:t>- Lenders receive a portion of protocol fees in LENDR</w:t>
        <w:br/>
      </w:r>
    </w:p>
    <w:p>
      <w:pPr>
        <w:pStyle w:val="Heading1"/>
      </w:pPr>
      <w:r>
        <w:t>Burn &amp; Deflation:</w:t>
      </w:r>
    </w:p>
    <w:p>
      <w:r>
        <w:br/>
        <w:t>- 1% of all interest paid is burned to reduce supply</w:t>
        <w:br/>
        <w:t>- Buyback events funded by Treasury based on revenue milestones</w:t>
        <w:br/>
      </w:r>
    </w:p>
    <w:p>
      <w:pPr>
        <w:pStyle w:val="Heading1"/>
      </w:pPr>
      <w:r>
        <w:t>Governance:</w:t>
      </w:r>
    </w:p>
    <w:p>
      <w:r>
        <w:br/>
        <w:t>LENDR holders can vote on:</w:t>
        <w:br/>
        <w:t>- Protocol upgrades</w:t>
        <w:br/>
        <w:t>- Interest rate curves</w:t>
        <w:br/>
        <w:t>- Collateral approval lists</w:t>
        <w:br/>
        <w:t>- Treasury allocations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