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3CDD9">
      <w:pPr>
        <w:jc w:val="center"/>
      </w:pPr>
      <w:r>
        <w:rPr>
          <w:b/>
          <w:color w:val="1F325D"/>
          <w:sz w:val="36"/>
        </w:rPr>
        <w:t>TravelEval: Live LLM Evaluation Report</w:t>
      </w:r>
    </w:p>
    <w:p w14:paraId="1BF5B024">
      <w:pPr>
        <w:jc w:val="center"/>
      </w:pPr>
      <w:r>
        <w:rPr>
          <w:sz w:val="22"/>
        </w:rPr>
        <w:t>Tourism AI Evaluation Team</w:t>
      </w:r>
      <w:r>
        <w:rPr>
          <w:sz w:val="22"/>
        </w:rPr>
        <w:br w:type="textWrapping"/>
      </w:r>
      <w:r>
        <w:rPr>
          <w:sz w:val="20"/>
        </w:rPr>
        <w:t>April 30, 2026</w:t>
      </w:r>
      <w:r>
        <w:rPr>
          <w:sz w:val="20"/>
        </w:rPr>
        <w:br w:type="textWrapping"/>
      </w:r>
      <w:bookmarkStart w:id="0" w:name="_GoBack"/>
      <w:bookmarkEnd w:id="0"/>
    </w:p>
    <w:p w14:paraId="0E04ECAF"/>
    <w:p w14:paraId="70686E34">
      <w:pPr>
        <w:pStyle w:val="2"/>
      </w:pPr>
      <w:r>
        <w:t>Abstract</w:t>
      </w:r>
    </w:p>
    <w:p w14:paraId="3AAF3B9B">
      <w:r>
        <w:t>This report presents a comprehensive, research-grade evaluation of current NVIDIA-hosted large language models (LLMs) in tourism use cases. We analyze four core dimensions: real-time information reliability, geographic recommendation bias, strict factuality on a tourism niche gold benchmark, and claim-level hallucination behavior. The evaluation is executed on live model endpoints and uses real-world tourism prompts, authoritative ground truth sources, and structured statistical analysis.</w:t>
      </w:r>
    </w:p>
    <w:p w14:paraId="24BC00FB"/>
    <w:p w14:paraId="69A0C8C4">
      <w:pPr>
        <w:pStyle w:val="2"/>
      </w:pPr>
      <w:r>
        <w:t>I. Introduction</w:t>
      </w:r>
    </w:p>
    <w:p w14:paraId="7F164C7C">
      <w:r>
        <w:t>Tourism is an information-sensitive domain where factual correctness and equitable representation directly affect traveler safety, satisfaction, and destination choice. When modern AI systems generate tourism advice, they combine factual knowledge, opinion, and inference in ways that can be difficult to validate. In this evaluation, we treat the tourism domain as a high-stakes use case for LLM deployment.</w:t>
      </w:r>
    </w:p>
    <w:p w14:paraId="6F754EAB">
      <w:pPr>
        <w:pStyle w:val="2"/>
      </w:pPr>
      <w:r>
        <w:t>II. Research Questions and Hypotheses</w:t>
      </w:r>
    </w:p>
    <w:p w14:paraId="2B04BB97">
      <w:pPr>
        <w:jc w:val="center"/>
      </w:pPr>
      <w:r>
        <w:drawing>
          <wp:inline distT="0" distB="0" distL="114300" distR="114300">
            <wp:extent cx="5029200" cy="314325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143250"/>
                    </a:xfrm>
                    <a:prstGeom prst="rect">
                      <a:avLst/>
                    </a:prstGeom>
                  </pic:spPr>
                </pic:pic>
              </a:graphicData>
            </a:graphic>
          </wp:inline>
        </w:drawing>
      </w:r>
    </w:p>
    <w:p w14:paraId="51D4BC37">
      <w:pPr>
        <w:jc w:val="center"/>
      </w:pPr>
      <w:r>
        <w:rPr>
          <w:i/>
          <w:sz w:val="18"/>
        </w:rPr>
        <w:t>Figure 1: Research Questions vs Hypotheses Alignment</w:t>
      </w:r>
    </w:p>
    <w:p w14:paraId="3B0FEDEA"/>
    <w:p w14:paraId="46F74EBC">
      <w:pPr>
        <w:pStyle w:val="2"/>
      </w:pPr>
      <w:r>
        <w:t>III. Data and Experimental Design</w:t>
      </w:r>
    </w:p>
    <w:p w14:paraId="5AE2DDB7">
      <w:pPr>
        <w:jc w:val="center"/>
      </w:pPr>
      <w:r>
        <w:drawing>
          <wp:inline distT="0" distB="0" distL="114300" distR="114300">
            <wp:extent cx="5029200" cy="35921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592286"/>
                    </a:xfrm>
                    <a:prstGeom prst="rect">
                      <a:avLst/>
                    </a:prstGeom>
                  </pic:spPr>
                </pic:pic>
              </a:graphicData>
            </a:graphic>
          </wp:inline>
        </w:drawing>
      </w:r>
    </w:p>
    <w:p w14:paraId="04FD9F5F">
      <w:pPr>
        <w:jc w:val="center"/>
      </w:pPr>
      <w:r>
        <w:rPr>
          <w:i/>
          <w:sz w:val="18"/>
        </w:rPr>
        <w:t>Figure 2: Dataset Composition by Module</w:t>
      </w:r>
    </w:p>
    <w:p w14:paraId="5BE179AE"/>
    <w:p w14:paraId="3AC6DF59">
      <w:pPr>
        <w:pStyle w:val="2"/>
      </w:pPr>
      <w:r>
        <w:t>IV. Evaluation Pipeline Architecture</w:t>
      </w:r>
    </w:p>
    <w:p w14:paraId="73E76162">
      <w:pPr>
        <w:jc w:val="center"/>
      </w:pPr>
      <w:r>
        <w:drawing>
          <wp:inline distT="0" distB="0" distL="114300" distR="114300">
            <wp:extent cx="5486400"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2194560"/>
                    </a:xfrm>
                    <a:prstGeom prst="rect">
                      <a:avLst/>
                    </a:prstGeom>
                  </pic:spPr>
                </pic:pic>
              </a:graphicData>
            </a:graphic>
          </wp:inline>
        </w:drawing>
      </w:r>
    </w:p>
    <w:p w14:paraId="69B547DE">
      <w:pPr>
        <w:jc w:val="center"/>
      </w:pPr>
      <w:r>
        <w:rPr>
          <w:i/>
          <w:sz w:val="18"/>
        </w:rPr>
        <w:t>Figure 3: Evaluation Pipeline Architecture</w:t>
      </w:r>
    </w:p>
    <w:p w14:paraId="4CF993DB"/>
    <w:p w14:paraId="4C4C3F86">
      <w:pPr>
        <w:pStyle w:val="2"/>
      </w:pPr>
      <w:r>
        <w:t>V. Results: Real-Time Reliability</w:t>
      </w:r>
    </w:p>
    <w:p w14:paraId="0D28CCB4">
      <w:r>
        <w:t>The real-time evaluation assessed live model performance on weather and local time queries using 160 rows across 40 prompts and four models.</w:t>
      </w:r>
    </w:p>
    <w:p w14:paraId="4F77EEC0">
      <w:pPr>
        <w:jc w:val="center"/>
      </w:pPr>
      <w:r>
        <w:drawing>
          <wp:inline distT="0" distB="0" distL="114300" distR="114300">
            <wp:extent cx="41148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114800" cy="2286000"/>
                    </a:xfrm>
                    <a:prstGeom prst="rect">
                      <a:avLst/>
                    </a:prstGeom>
                  </pic:spPr>
                </pic:pic>
              </a:graphicData>
            </a:graphic>
          </wp:inline>
        </w:drawing>
      </w:r>
    </w:p>
    <w:p w14:paraId="2404D3E1">
      <w:pPr>
        <w:jc w:val="center"/>
      </w:pPr>
      <w:r>
        <w:rPr>
          <w:i/>
          <w:sz w:val="18"/>
        </w:rPr>
        <w:t>Figure 4: Real-Time Accuracy by Model</w:t>
      </w:r>
    </w:p>
    <w:p w14:paraId="0EB31377">
      <w:pPr>
        <w:jc w:val="center"/>
      </w:pPr>
      <w:r>
        <w:drawing>
          <wp:inline distT="0" distB="0" distL="114300" distR="114300">
            <wp:extent cx="3657600" cy="208978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657600" cy="2090057"/>
                    </a:xfrm>
                    <a:prstGeom prst="rect">
                      <a:avLst/>
                    </a:prstGeom>
                  </pic:spPr>
                </pic:pic>
              </a:graphicData>
            </a:graphic>
          </wp:inline>
        </w:drawing>
      </w:r>
    </w:p>
    <w:p w14:paraId="556210BE">
      <w:pPr>
        <w:jc w:val="center"/>
      </w:pPr>
      <w:r>
        <w:rPr>
          <w:i/>
          <w:sz w:val="18"/>
        </w:rPr>
        <w:t>Figure 5: Real-Time Accuracy by Metric</w:t>
      </w:r>
    </w:p>
    <w:p w14:paraId="1865036C"/>
    <w:p w14:paraId="28D66CC0">
      <w:pPr>
        <w:pStyle w:val="2"/>
      </w:pPr>
      <w:r>
        <w:t>VI. Results: Bias and Geographic Distribution</w:t>
      </w:r>
    </w:p>
    <w:p w14:paraId="5B7875DF">
      <w:r>
        <w:t>The bias evaluation analyzed 658 extracted destination entities from 252 responses, revealing significant geographic bias patterns.</w:t>
      </w:r>
    </w:p>
    <w:p w14:paraId="6ABFD8AB">
      <w:pPr>
        <w:jc w:val="center"/>
      </w:pPr>
      <w:r>
        <w:drawing>
          <wp:inline distT="0" distB="0" distL="114300" distR="114300">
            <wp:extent cx="5029200" cy="293370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933700"/>
                    </a:xfrm>
                    <a:prstGeom prst="rect">
                      <a:avLst/>
                    </a:prstGeom>
                  </pic:spPr>
                </pic:pic>
              </a:graphicData>
            </a:graphic>
          </wp:inline>
        </w:drawing>
      </w:r>
    </w:p>
    <w:p w14:paraId="09D4B8CA">
      <w:pPr>
        <w:jc w:val="center"/>
      </w:pPr>
      <w:r>
        <w:rPr>
          <w:i/>
          <w:sz w:val="18"/>
        </w:rPr>
        <w:t>Figure 6: Regional Recommendation Shares by Model</w:t>
      </w:r>
    </w:p>
    <w:p w14:paraId="205A8EA1">
      <w:pPr>
        <w:jc w:val="center"/>
      </w:pPr>
      <w:r>
        <w:drawing>
          <wp:inline distT="0" distB="0" distL="114300" distR="114300">
            <wp:extent cx="4114800" cy="293878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114800" cy="2939143"/>
                    </a:xfrm>
                    <a:prstGeom prst="rect">
                      <a:avLst/>
                    </a:prstGeom>
                  </pic:spPr>
                </pic:pic>
              </a:graphicData>
            </a:graphic>
          </wp:inline>
        </w:drawing>
      </w:r>
    </w:p>
    <w:p w14:paraId="64311664">
      <w:pPr>
        <w:jc w:val="center"/>
      </w:pPr>
      <w:r>
        <w:rPr>
          <w:i/>
          <w:sz w:val="18"/>
        </w:rPr>
        <w:t>Figure 7: Diversity vs Concentration Tradeoff</w:t>
      </w:r>
    </w:p>
    <w:p w14:paraId="22DFDCD8"/>
    <w:p w14:paraId="254154C4">
      <w:pPr>
        <w:pStyle w:val="2"/>
      </w:pPr>
      <w:r>
        <w:t>VII. Results: Niche Gold Factuality</w:t>
      </w:r>
    </w:p>
    <w:p w14:paraId="29FBBC01">
      <w:r>
        <w:t>This module evaluates strict tourism factuality on 194 gold benchmark rows for two stable models.</w:t>
      </w:r>
    </w:p>
    <w:p w14:paraId="34A549A0">
      <w:pPr>
        <w:jc w:val="center"/>
      </w:pPr>
      <w:r>
        <w:drawing>
          <wp:inline distT="0" distB="0" distL="114300" distR="114300">
            <wp:extent cx="4572000" cy="285750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2857500"/>
                    </a:xfrm>
                    <a:prstGeom prst="rect">
                      <a:avLst/>
                    </a:prstGeom>
                  </pic:spPr>
                </pic:pic>
              </a:graphicData>
            </a:graphic>
          </wp:inline>
        </w:drawing>
      </w:r>
    </w:p>
    <w:p w14:paraId="053C4B7E">
      <w:pPr>
        <w:jc w:val="center"/>
      </w:pPr>
      <w:r>
        <w:rPr>
          <w:i/>
          <w:sz w:val="18"/>
        </w:rPr>
        <w:t>Figure 8: Niche Gold Answer Correctness with 95% CI</w:t>
      </w:r>
    </w:p>
    <w:p w14:paraId="32BEC02A"/>
    <w:p w14:paraId="68349C1A">
      <w:pPr>
        <w:pStyle w:val="2"/>
      </w:pPr>
      <w:r>
        <w:t>VIII. Results: Hallucination Claims</w:t>
      </w:r>
    </w:p>
    <w:p w14:paraId="100D22FC">
      <w:r>
        <w:t>The hallucination claim module evaluates 286 extracted claims from 120 responses across two models.</w:t>
      </w:r>
    </w:p>
    <w:p w14:paraId="2FAF6E70">
      <w:pPr>
        <w:jc w:val="center"/>
      </w:pPr>
      <w:r>
        <w:drawing>
          <wp:inline distT="0" distB="0" distL="114300" distR="114300">
            <wp:extent cx="4572000" cy="254000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2540000"/>
                    </a:xfrm>
                    <a:prstGeom prst="rect">
                      <a:avLst/>
                    </a:prstGeom>
                  </pic:spPr>
                </pic:pic>
              </a:graphicData>
            </a:graphic>
          </wp:inline>
        </w:drawing>
      </w:r>
    </w:p>
    <w:p w14:paraId="2CDB1FA4">
      <w:pPr>
        <w:jc w:val="center"/>
      </w:pPr>
      <w:r>
        <w:rPr>
          <w:i/>
          <w:sz w:val="18"/>
        </w:rPr>
        <w:t>Figure 9: Claim Verdict Distribution by Model</w:t>
      </w:r>
    </w:p>
    <w:p w14:paraId="71A42F89"/>
    <w:p w14:paraId="5F365975">
      <w:pPr>
        <w:pStyle w:val="2"/>
      </w:pPr>
      <w:r>
        <w:t>IX. Comparative Model Performance</w:t>
      </w:r>
    </w:p>
    <w:p w14:paraId="38621336">
      <w:r>
        <w:t>The NVIDIA-hosted 70B models experienced intermittent failures. The final analyses focus on the two most stable models.</w:t>
      </w:r>
    </w:p>
    <w:p w14:paraId="11703F76">
      <w:pPr>
        <w:jc w:val="center"/>
      </w:pPr>
      <w:r>
        <w:drawing>
          <wp:inline distT="0" distB="0" distL="114300" distR="114300">
            <wp:extent cx="5029200" cy="3143250"/>
            <wp:effectExtent l="0" t="0" r="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3143250"/>
                    </a:xfrm>
                    <a:prstGeom prst="rect">
                      <a:avLst/>
                    </a:prstGeom>
                  </pic:spPr>
                </pic:pic>
              </a:graphicData>
            </a:graphic>
          </wp:inline>
        </w:drawing>
      </w:r>
    </w:p>
    <w:p w14:paraId="33AF46DC">
      <w:pPr>
        <w:jc w:val="center"/>
      </w:pPr>
      <w:r>
        <w:rPr>
          <w:i/>
          <w:sz w:val="18"/>
        </w:rPr>
        <w:t>Figure 10: Comparative Model Performance</w:t>
      </w:r>
    </w:p>
    <w:p w14:paraId="6FB1BE90"/>
    <w:p w14:paraId="5700AC0F">
      <w:pPr>
        <w:pStyle w:val="2"/>
      </w:pPr>
      <w:r>
        <w:t>X. Discussion and Implications</w:t>
      </w:r>
    </w:p>
    <w:p w14:paraId="42FF7B67">
      <w:r>
        <w:t>These findings support a research narrative that modern LLMs are not yet reliable as standalone tourism advisors. Key observations include near-zero real-time accuracy, persistent geographic bias toward Europe, and weak strict factuality.</w:t>
      </w:r>
    </w:p>
    <w:p w14:paraId="26B8FD51">
      <w:pPr>
        <w:jc w:val="center"/>
      </w:pPr>
      <w:r>
        <w:drawing>
          <wp:inline distT="0" distB="0" distL="114300" distR="114300">
            <wp:extent cx="4572000" cy="457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572000" cy="4572000"/>
                    </a:xfrm>
                    <a:prstGeom prst="rect">
                      <a:avLst/>
                    </a:prstGeom>
                  </pic:spPr>
                </pic:pic>
              </a:graphicData>
            </a:graphic>
          </wp:inline>
        </w:drawing>
      </w:r>
    </w:p>
    <w:p w14:paraId="070EA38F">
      <w:pPr>
        <w:jc w:val="center"/>
      </w:pPr>
      <w:r>
        <w:rPr>
          <w:i/>
          <w:sz w:val="18"/>
        </w:rPr>
        <w:t>Figure 11: High-Level Risk and Reliability Summary</w:t>
      </w:r>
    </w:p>
    <w:p w14:paraId="024E3F26"/>
    <w:p w14:paraId="4413B7E6">
      <w:pPr>
        <w:pStyle w:val="2"/>
      </w:pPr>
      <w:r>
        <w:t>XI. Threats to Validity</w:t>
      </w:r>
    </w:p>
    <w:p w14:paraId="516C111C">
      <w:r>
        <w:t>We identify internal, external, and construct validity threats including endpoint connectivity issues and entity extraction quality dependencies.</w:t>
      </w:r>
    </w:p>
    <w:p w14:paraId="0E45DB26">
      <w:pPr>
        <w:jc w:val="center"/>
      </w:pPr>
      <w:r>
        <w:drawing>
          <wp:inline distT="0" distB="0" distL="114300" distR="114300">
            <wp:extent cx="4114800" cy="2350770"/>
            <wp:effectExtent l="0" t="0" r="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114800" cy="2351314"/>
                    </a:xfrm>
                    <a:prstGeom prst="rect">
                      <a:avLst/>
                    </a:prstGeom>
                  </pic:spPr>
                </pic:pic>
              </a:graphicData>
            </a:graphic>
          </wp:inline>
        </w:drawing>
      </w:r>
    </w:p>
    <w:p w14:paraId="3E5F1D04">
      <w:pPr>
        <w:jc w:val="center"/>
      </w:pPr>
      <w:r>
        <w:rPr>
          <w:i/>
          <w:sz w:val="18"/>
        </w:rPr>
        <w:t>Figure 12: Threats to Validity Risk Map</w:t>
      </w:r>
    </w:p>
    <w:p w14:paraId="5B8A06B8"/>
    <w:p w14:paraId="6CE738F9">
      <w:pPr>
        <w:pStyle w:val="2"/>
      </w:pPr>
      <w:r>
        <w:t>XII. Conclusions and Future Work</w:t>
      </w:r>
    </w:p>
    <w:p w14:paraId="05228023">
      <w:r>
        <w:t>This report documents that current NVIDIA-hosted LLMs have limited readiness for standalone tourism applications. Future work should extend to the full dataset, incorporate user studies, and evaluate retrieval-augmented architectures.</w:t>
      </w:r>
    </w:p>
    <w:p w14:paraId="0B57AA1B"/>
    <w:p w14:paraId="5A1D8AD3">
      <w:pPr>
        <w:pStyle w:val="2"/>
      </w:pPr>
      <w:r>
        <w:t>XIII. Appendix</w:t>
      </w:r>
    </w:p>
    <w:p w14:paraId="448109E6">
      <w:pPr>
        <w:pStyle w:val="3"/>
      </w:pPr>
      <w:r>
        <w:t>A. Asset Summary</w:t>
      </w:r>
    </w:p>
    <w:p w14:paraId="16830BE4">
      <w:pPr>
        <w:jc w:val="center"/>
      </w:pPr>
      <w:r>
        <w:drawing>
          <wp:inline distT="0" distB="0" distL="114300" distR="114300">
            <wp:extent cx="457200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572000" cy="2286000"/>
                    </a:xfrm>
                    <a:prstGeom prst="rect">
                      <a:avLst/>
                    </a:prstGeom>
                  </pic:spPr>
                </pic:pic>
              </a:graphicData>
            </a:graphic>
          </wp:inline>
        </w:drawing>
      </w:r>
    </w:p>
    <w:p w14:paraId="485BD2A1">
      <w:pPr>
        <w:jc w:val="center"/>
      </w:pPr>
      <w:r>
        <w:rPr>
          <w:i/>
          <w:sz w:val="18"/>
        </w:rPr>
        <w:t>Figure 13: Appendix Asset Breakdown</w:t>
      </w: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F3160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162</Words>
  <Characters>1050</Characters>
  <Lines>0</Lines>
  <Paragraphs>0</Paragraphs>
  <TotalTime>0</TotalTime>
  <ScaleCrop>false</ScaleCrop>
  <LinksUpToDate>false</LinksUpToDate>
  <CharactersWithSpaces>1200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Savani Bhimellu</cp:lastModifiedBy>
  <dcterms:modified xsi:type="dcterms:W3CDTF">2026-05-03T08:11:43Z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eyJoZGlkIjoiMGFlNTA3Zjc2YTY3NDc1ZTg1YjczZGQyMWRkNGU0MWUiLCJ1c2VySWQiOiI1Njc1NTU0NTI5MjcifQ==</vt:lpwstr>
  </property>
  <property fmtid="{D5CDD505-2E9C-101B-9397-08002B2CF9AE}" pid="3" name="KSOProductBuildVer">
    <vt:lpwstr>1033-12.1.0.25242</vt:lpwstr>
  </property>
  <property fmtid="{D5CDD505-2E9C-101B-9397-08002B2CF9AE}" pid="4" name="ICV">
    <vt:lpwstr>A6F74F025BE047B3904F0538295CED31_12</vt:lpwstr>
  </property>
</Properties>
</file>