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202EE" w14:textId="1CBB51A0" w:rsidR="008927D1" w:rsidRPr="008927D1" w:rsidRDefault="008927D1" w:rsidP="008927D1">
      <w:pPr>
        <w:pStyle w:val="NormalWeb"/>
        <w:jc w:val="center"/>
        <w:rPr>
          <w:b/>
          <w:bCs/>
        </w:rPr>
      </w:pPr>
      <w:r w:rsidRPr="008927D1">
        <w:rPr>
          <w:b/>
          <w:bCs/>
        </w:rPr>
        <w:t>Kinder Morgan, Inc.—Management Buyout</w:t>
      </w:r>
    </w:p>
    <w:p w14:paraId="32C0AFCB" w14:textId="59371AE6" w:rsidR="008927D1" w:rsidRDefault="008927D1" w:rsidP="008927D1">
      <w:pPr>
        <w:jc w:val="center"/>
        <w:rPr>
          <w:rFonts w:eastAsia="Times New Roman"/>
        </w:rPr>
      </w:pPr>
      <w:r>
        <w:rPr>
          <w:rFonts w:eastAsia="Times New Roman"/>
        </w:rPr>
        <w:t>Group 9</w:t>
      </w:r>
    </w:p>
    <w:p w14:paraId="320FD71A" w14:textId="77777777" w:rsidR="008927D1" w:rsidRDefault="008927D1" w:rsidP="008927D1">
      <w:pPr>
        <w:jc w:val="center"/>
        <w:rPr>
          <w:rFonts w:eastAsia="Times New Roman"/>
        </w:rPr>
      </w:pPr>
    </w:p>
    <w:p w14:paraId="34A9AAD6" w14:textId="580871BF" w:rsidR="008927D1" w:rsidRDefault="008927D1" w:rsidP="008927D1">
      <w:pPr>
        <w:rPr>
          <w:rFonts w:eastAsia="Times New Roman"/>
        </w:rPr>
      </w:pPr>
      <w:r w:rsidRPr="008927D1">
        <w:rPr>
          <w:rFonts w:eastAsia="Times New Roman"/>
        </w:rPr>
        <w:t xml:space="preserve">Q1: There are conflicts of interest in this LBO transaction. </w:t>
      </w:r>
    </w:p>
    <w:p w14:paraId="57007EA8" w14:textId="545F4BEC" w:rsidR="00E46099" w:rsidRPr="008927D1" w:rsidRDefault="00E46099" w:rsidP="008927D1">
      <w:pPr>
        <w:rPr>
          <w:rFonts w:eastAsia="Times New Roman"/>
        </w:rPr>
      </w:pPr>
      <w:r>
        <w:rPr>
          <w:rFonts w:eastAsia="Times New Roman"/>
        </w:rPr>
        <w:t>1)</w:t>
      </w:r>
      <w:r w:rsidRPr="008927D1">
        <w:rPr>
          <w:rFonts w:eastAsia="Times New Roman"/>
        </w:rPr>
        <w:t>There is a conflict between major shareholders (Kinder) and other shareholders.</w:t>
      </w:r>
      <w:r>
        <w:rPr>
          <w:rFonts w:eastAsia="Times New Roman"/>
        </w:rPr>
        <w:t xml:space="preserve"> Investors may have more to gain in the long run by not accepting this offer.</w:t>
      </w:r>
    </w:p>
    <w:p w14:paraId="16514757" w14:textId="7CE7340C" w:rsidR="008927D1" w:rsidRPr="008927D1" w:rsidRDefault="00E46099" w:rsidP="008927D1">
      <w:pPr>
        <w:rPr>
          <w:rFonts w:eastAsia="Times New Roman"/>
        </w:rPr>
      </w:pPr>
      <w:r>
        <w:rPr>
          <w:rFonts w:eastAsia="Times New Roman"/>
        </w:rPr>
        <w:t>2</w:t>
      </w:r>
      <w:r w:rsidR="008927D1" w:rsidRPr="008927D1">
        <w:rPr>
          <w:rFonts w:eastAsia="Times New Roman"/>
        </w:rPr>
        <w:t>)There is a conflict between KMI (G</w:t>
      </w:r>
      <w:r w:rsidR="008927D1">
        <w:rPr>
          <w:rFonts w:eastAsia="Times New Roman"/>
        </w:rPr>
        <w:t>eneral Partner</w:t>
      </w:r>
      <w:r w:rsidR="008927D1" w:rsidRPr="008927D1">
        <w:rPr>
          <w:rFonts w:eastAsia="Times New Roman"/>
        </w:rPr>
        <w:t>) and KMP (L</w:t>
      </w:r>
      <w:r w:rsidR="008927D1">
        <w:rPr>
          <w:rFonts w:eastAsia="Times New Roman"/>
        </w:rPr>
        <w:t xml:space="preserve">imited </w:t>
      </w:r>
      <w:r w:rsidR="008927D1" w:rsidRPr="008927D1">
        <w:rPr>
          <w:rFonts w:eastAsia="Times New Roman"/>
        </w:rPr>
        <w:t>P</w:t>
      </w:r>
      <w:r w:rsidR="008927D1">
        <w:rPr>
          <w:rFonts w:eastAsia="Times New Roman"/>
        </w:rPr>
        <w:t>artner</w:t>
      </w:r>
      <w:r w:rsidR="008927D1" w:rsidRPr="008927D1">
        <w:rPr>
          <w:rFonts w:eastAsia="Times New Roman"/>
        </w:rPr>
        <w:t>).</w:t>
      </w:r>
      <w:r w:rsidRPr="00E46099">
        <w:rPr>
          <w:rFonts w:eastAsia="Times New Roman"/>
        </w:rPr>
        <w:t xml:space="preserve"> </w:t>
      </w:r>
      <w:r>
        <w:rPr>
          <w:rFonts w:eastAsia="Times New Roman"/>
        </w:rPr>
        <w:t xml:space="preserve">By </w:t>
      </w:r>
      <w:r w:rsidRPr="00E46099">
        <w:rPr>
          <w:rFonts w:eastAsia="Times New Roman"/>
        </w:rPr>
        <w:t>increas</w:t>
      </w:r>
      <w:r>
        <w:rPr>
          <w:rFonts w:eastAsia="Times New Roman"/>
        </w:rPr>
        <w:t>ing</w:t>
      </w:r>
      <w:r w:rsidRPr="00E46099">
        <w:rPr>
          <w:rFonts w:eastAsia="Times New Roman"/>
        </w:rPr>
        <w:t xml:space="preserve"> the shareholder value of KMI by maximizing the value of its GP stake in KMP</w:t>
      </w:r>
      <w:r>
        <w:rPr>
          <w:rFonts w:eastAsia="Times New Roman"/>
        </w:rPr>
        <w:t>, the profit of LP might be influenced.</w:t>
      </w:r>
    </w:p>
    <w:p w14:paraId="1D8DD420" w14:textId="30BC15CD" w:rsidR="008927D1" w:rsidRPr="008927D1" w:rsidRDefault="00E46099" w:rsidP="008927D1">
      <w:pPr>
        <w:rPr>
          <w:rFonts w:eastAsia="Times New Roman"/>
        </w:rPr>
      </w:pPr>
      <w:r>
        <w:rPr>
          <w:rFonts w:eastAsia="Times New Roman"/>
        </w:rPr>
        <w:t>3</w:t>
      </w:r>
      <w:r w:rsidR="008927D1" w:rsidRPr="008927D1">
        <w:rPr>
          <w:rFonts w:eastAsia="Times New Roman"/>
        </w:rPr>
        <w:t xml:space="preserve">) Initial </w:t>
      </w:r>
      <w:r>
        <w:rPr>
          <w:rFonts w:eastAsia="Times New Roman"/>
        </w:rPr>
        <w:t>conversations</w:t>
      </w:r>
      <w:r w:rsidR="008927D1" w:rsidRPr="008927D1">
        <w:rPr>
          <w:rFonts w:eastAsia="Times New Roman"/>
        </w:rPr>
        <w:t xml:space="preserve"> with Goldman &amp; Sachs </w:t>
      </w:r>
      <w:r>
        <w:rPr>
          <w:rFonts w:eastAsia="Times New Roman"/>
        </w:rPr>
        <w:t xml:space="preserve">to increase shareholder value </w:t>
      </w:r>
      <w:r w:rsidR="008927D1" w:rsidRPr="008927D1">
        <w:rPr>
          <w:rFonts w:eastAsia="Times New Roman"/>
        </w:rPr>
        <w:t xml:space="preserve">are held without board knowledge. </w:t>
      </w:r>
    </w:p>
    <w:p w14:paraId="15C5ABF2" w14:textId="0A6A8781" w:rsidR="00E46099" w:rsidRDefault="00E46099" w:rsidP="008927D1">
      <w:pPr>
        <w:rPr>
          <w:rFonts w:eastAsia="Times New Roman"/>
        </w:rPr>
      </w:pPr>
      <w:r>
        <w:rPr>
          <w:rFonts w:eastAsia="Times New Roman"/>
        </w:rPr>
        <w:t>4</w:t>
      </w:r>
      <w:r w:rsidR="008927D1" w:rsidRPr="008927D1">
        <w:rPr>
          <w:rFonts w:eastAsia="Times New Roman"/>
        </w:rPr>
        <w:t xml:space="preserve">) There is a conflict between Goldman&amp; Sachs and shareholders since Goldman&amp; Sachs act as the transaction consultant and investment side of the deal. </w:t>
      </w:r>
    </w:p>
    <w:p w14:paraId="4223FB29" w14:textId="615889D1" w:rsidR="00E46099" w:rsidRPr="008927D1" w:rsidRDefault="00E46099" w:rsidP="00E46099">
      <w:pPr>
        <w:rPr>
          <w:rFonts w:eastAsia="Times New Roman"/>
        </w:rPr>
      </w:pPr>
      <w:r>
        <w:rPr>
          <w:rFonts w:eastAsia="Times New Roman"/>
        </w:rPr>
        <w:t>5</w:t>
      </w:r>
      <w:r w:rsidRPr="008927D1">
        <w:rPr>
          <w:rFonts w:eastAsia="Times New Roman"/>
        </w:rPr>
        <w:t xml:space="preserve">) There is a conflict between management and </w:t>
      </w:r>
      <w:r w:rsidR="00411922">
        <w:rPr>
          <w:rFonts w:eastAsia="Times New Roman"/>
        </w:rPr>
        <w:t xml:space="preserve">other </w:t>
      </w:r>
      <w:r w:rsidRPr="008927D1">
        <w:rPr>
          <w:rFonts w:eastAsia="Times New Roman"/>
        </w:rPr>
        <w:t>shareholders.</w:t>
      </w:r>
      <w:r w:rsidR="00411922">
        <w:rPr>
          <w:rFonts w:eastAsia="Times New Roman"/>
        </w:rPr>
        <w:t xml:space="preserve"> The management team can see the undervalued GP stake and the expansion opportunities which other shareholders cannot see.</w:t>
      </w:r>
    </w:p>
    <w:p w14:paraId="1FD1068D" w14:textId="77777777" w:rsidR="008927D1" w:rsidRPr="008927D1" w:rsidRDefault="008927D1" w:rsidP="008927D1">
      <w:pPr>
        <w:rPr>
          <w:rFonts w:eastAsia="Times New Roman"/>
        </w:rPr>
      </w:pPr>
    </w:p>
    <w:p w14:paraId="30F5198E" w14:textId="77777777" w:rsidR="008927D1" w:rsidRPr="008927D1" w:rsidRDefault="008927D1" w:rsidP="008927D1">
      <w:pPr>
        <w:rPr>
          <w:rFonts w:eastAsia="Times New Roman"/>
        </w:rPr>
      </w:pPr>
      <w:r w:rsidRPr="008927D1">
        <w:rPr>
          <w:rFonts w:eastAsia="Times New Roman"/>
        </w:rPr>
        <w:t>Q2: There is a mistake. Implied valuation of stand-alone general partners should include debt. The correct implied valuation of the stand-alone general partner is $6.9 billion to $4.6 billion.</w:t>
      </w:r>
    </w:p>
    <w:p w14:paraId="45E21741" w14:textId="77777777" w:rsidR="008927D1" w:rsidRPr="008927D1" w:rsidRDefault="008927D1" w:rsidP="008927D1">
      <w:pPr>
        <w:rPr>
          <w:rFonts w:eastAsia="Times New Roman"/>
        </w:rPr>
      </w:pPr>
    </w:p>
    <w:p w14:paraId="537FC756" w14:textId="1B5001AC" w:rsidR="008927D1" w:rsidRPr="008927D1" w:rsidRDefault="008927D1" w:rsidP="008927D1">
      <w:pPr>
        <w:rPr>
          <w:rFonts w:eastAsia="Times New Roman"/>
        </w:rPr>
      </w:pPr>
      <w:r w:rsidRPr="008927D1">
        <w:rPr>
          <w:rFonts w:eastAsia="Times New Roman"/>
        </w:rPr>
        <w:t xml:space="preserve">Q3: </w:t>
      </w:r>
      <w:r w:rsidR="00EA47A1">
        <w:rPr>
          <w:rFonts w:eastAsia="Times New Roman"/>
        </w:rPr>
        <w:t>No, w</w:t>
      </w:r>
      <w:r w:rsidRPr="008927D1">
        <w:rPr>
          <w:rFonts w:eastAsia="Times New Roman"/>
        </w:rPr>
        <w:t xml:space="preserve">e believe it is not a fair deal for shareholders of KMI. We would not vote to approve the transaction at $107.50/share. </w:t>
      </w:r>
    </w:p>
    <w:p w14:paraId="018D3070" w14:textId="77777777" w:rsidR="008927D1" w:rsidRPr="008927D1" w:rsidRDefault="008927D1" w:rsidP="008927D1">
      <w:pPr>
        <w:rPr>
          <w:rFonts w:eastAsia="Times New Roman"/>
        </w:rPr>
      </w:pPr>
      <w:r w:rsidRPr="008927D1">
        <w:rPr>
          <w:rFonts w:eastAsia="Times New Roman"/>
        </w:rPr>
        <w:t xml:space="preserve">1) There are too many conflicts of interest. It is really a bad sign of transaction. </w:t>
      </w:r>
    </w:p>
    <w:p w14:paraId="3E572F57" w14:textId="0F8FB0BD" w:rsidR="009660B6" w:rsidRPr="008927D1" w:rsidRDefault="008927D1" w:rsidP="008927D1">
      <w:pPr>
        <w:rPr>
          <w:rFonts w:eastAsia="Times New Roman"/>
        </w:rPr>
      </w:pPr>
      <w:r w:rsidRPr="008927D1">
        <w:rPr>
          <w:rFonts w:eastAsia="Times New Roman"/>
        </w:rPr>
        <w:t>2</w:t>
      </w:r>
      <w:r w:rsidRPr="008927D1">
        <w:rPr>
          <w:rFonts w:eastAsia="SimSun"/>
        </w:rPr>
        <w:t>)</w:t>
      </w:r>
      <w:r w:rsidRPr="008927D1">
        <w:rPr>
          <w:rFonts w:eastAsia="Times New Roman"/>
        </w:rPr>
        <w:t>We figured out the proper WACC is 6.3% so we choose the 7.5% discount rate scenario. The middle point is $111.2. Given that the MLP model just started and most people did not fully understand its business potential and tax benefit, the proper valuation should between $111.2 and $123.62. According to our own analysis, the proper valuation is $115.43.</w:t>
      </w:r>
    </w:p>
    <w:p w14:paraId="1A62A46C" w14:textId="24BBC95A" w:rsidR="005A5D4F" w:rsidRDefault="00254AD2" w:rsidP="008927D1">
      <w:pPr>
        <w:jc w:val="center"/>
      </w:pPr>
      <w:r w:rsidRPr="008927D1">
        <w:rPr>
          <w:noProof/>
        </w:rPr>
        <w:lastRenderedPageBreak/>
        <w:drawing>
          <wp:inline distT="0" distB="0" distL="0" distR="0" wp14:anchorId="6652B814" wp14:editId="0E6CB527">
            <wp:extent cx="2489200" cy="2070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516B" w14:textId="1FC6E800" w:rsidR="008927D1" w:rsidRDefault="008927D1" w:rsidP="008927D1">
      <w:pPr>
        <w:jc w:val="center"/>
      </w:pPr>
      <w:r>
        <w:t>Table 1 WACC calculation</w:t>
      </w:r>
    </w:p>
    <w:p w14:paraId="2CBF11BB" w14:textId="77777777" w:rsidR="0014626C" w:rsidRPr="008927D1" w:rsidRDefault="0014626C" w:rsidP="008927D1">
      <w:pPr>
        <w:jc w:val="center"/>
      </w:pPr>
      <w:bookmarkStart w:id="0" w:name="_GoBack"/>
      <w:bookmarkEnd w:id="0"/>
    </w:p>
    <w:p w14:paraId="4123108A" w14:textId="0EE6B87E" w:rsidR="00254AD2" w:rsidRDefault="00254AD2" w:rsidP="008927D1">
      <w:pPr>
        <w:jc w:val="center"/>
      </w:pPr>
      <w:r w:rsidRPr="008927D1">
        <w:rPr>
          <w:noProof/>
        </w:rPr>
        <w:drawing>
          <wp:inline distT="0" distB="0" distL="0" distR="0" wp14:anchorId="650FDC2A" wp14:editId="0F78BFD3">
            <wp:extent cx="2995930" cy="2507027"/>
            <wp:effectExtent l="0" t="0" r="1270" b="7620"/>
            <wp:docPr id="3" name="图片 3" descr="屏幕快照%202020-02-04%2020.3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20-02-04%2020.31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35" cy="251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84ED" w14:textId="3CE7ABAC" w:rsidR="008927D1" w:rsidRPr="008927D1" w:rsidRDefault="008927D1" w:rsidP="008927D1">
      <w:pPr>
        <w:jc w:val="center"/>
      </w:pPr>
      <w:r>
        <w:t xml:space="preserve">Table 2 </w:t>
      </w:r>
      <w:r w:rsidR="00411922">
        <w:t>7.5% discount rate scenario</w:t>
      </w:r>
    </w:p>
    <w:p w14:paraId="4E2433EA" w14:textId="51F42F49" w:rsidR="00B155A4" w:rsidRDefault="00B155A4" w:rsidP="0014626C"/>
    <w:p w14:paraId="18DFAB5B" w14:textId="1F000CE9" w:rsidR="0014626C" w:rsidRDefault="0014626C" w:rsidP="008927D1">
      <w:pPr>
        <w:jc w:val="center"/>
      </w:pPr>
      <w:r w:rsidRPr="0014626C">
        <w:drawing>
          <wp:inline distT="0" distB="0" distL="0" distR="0" wp14:anchorId="5FFC1A7D" wp14:editId="49796A6A">
            <wp:extent cx="5270500" cy="17538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A3A8" w14:textId="06CD6989" w:rsidR="008927D1" w:rsidRPr="008927D1" w:rsidRDefault="008927D1" w:rsidP="008927D1">
      <w:pPr>
        <w:jc w:val="center"/>
      </w:pPr>
      <w:r>
        <w:t>Table 3 DCF Analysis</w:t>
      </w:r>
    </w:p>
    <w:sectPr w:rsidR="008927D1" w:rsidRPr="008927D1" w:rsidSect="00EA47A1">
      <w:pgSz w:w="11900" w:h="16840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2A"/>
    <w:rsid w:val="0014626C"/>
    <w:rsid w:val="001A47FE"/>
    <w:rsid w:val="00254AD2"/>
    <w:rsid w:val="00311477"/>
    <w:rsid w:val="003C6BC8"/>
    <w:rsid w:val="00411922"/>
    <w:rsid w:val="00513657"/>
    <w:rsid w:val="00633D34"/>
    <w:rsid w:val="006638A8"/>
    <w:rsid w:val="007076E8"/>
    <w:rsid w:val="00711F94"/>
    <w:rsid w:val="00753F56"/>
    <w:rsid w:val="007B3A24"/>
    <w:rsid w:val="008927D1"/>
    <w:rsid w:val="009660B6"/>
    <w:rsid w:val="00A4122A"/>
    <w:rsid w:val="00AD2F26"/>
    <w:rsid w:val="00B155A4"/>
    <w:rsid w:val="00E46099"/>
    <w:rsid w:val="00EA47A1"/>
    <w:rsid w:val="00EE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B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6BC8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7D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Yang, Zhengjie</cp:lastModifiedBy>
  <cp:revision>4</cp:revision>
  <dcterms:created xsi:type="dcterms:W3CDTF">2020-02-06T04:48:00Z</dcterms:created>
  <dcterms:modified xsi:type="dcterms:W3CDTF">2020-02-06T05:09:00Z</dcterms:modified>
</cp:coreProperties>
</file>