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618D7" w14:textId="498DD783" w:rsidR="00DD0717" w:rsidRPr="00DD0717" w:rsidRDefault="00DD0717" w:rsidP="00DD0717">
      <w:pPr>
        <w:spacing w:line="360" w:lineRule="auto"/>
        <w:jc w:val="center"/>
        <w:rPr>
          <w:b/>
          <w:bCs/>
          <w:sz w:val="24"/>
          <w:szCs w:val="24"/>
        </w:rPr>
      </w:pPr>
      <w:r w:rsidRPr="00DD0717">
        <w:rPr>
          <w:b/>
          <w:bCs/>
          <w:sz w:val="24"/>
          <w:szCs w:val="24"/>
        </w:rPr>
        <w:t xml:space="preserve">MW Petroleum Corporation </w:t>
      </w:r>
      <w:r>
        <w:rPr>
          <w:b/>
          <w:bCs/>
          <w:sz w:val="24"/>
          <w:szCs w:val="24"/>
        </w:rPr>
        <w:t>Case</w:t>
      </w:r>
    </w:p>
    <w:p w14:paraId="1219C3A7" w14:textId="050AA336" w:rsidR="00DD0717" w:rsidRPr="00DD0717" w:rsidRDefault="00DD0717" w:rsidP="00DD0717">
      <w:pPr>
        <w:spacing w:line="360" w:lineRule="auto"/>
        <w:jc w:val="center"/>
        <w:rPr>
          <w:rFonts w:hint="eastAsia"/>
          <w:b/>
          <w:bCs/>
          <w:sz w:val="24"/>
          <w:szCs w:val="24"/>
        </w:rPr>
      </w:pPr>
      <w:r w:rsidRPr="00DD0717">
        <w:rPr>
          <w:b/>
          <w:bCs/>
          <w:sz w:val="24"/>
          <w:szCs w:val="24"/>
        </w:rPr>
        <w:t>Group9</w:t>
      </w:r>
    </w:p>
    <w:p w14:paraId="4C5FC9E9" w14:textId="77777777" w:rsidR="00DD0717" w:rsidRDefault="00DD0717" w:rsidP="00DD0717">
      <w:pPr>
        <w:spacing w:line="360" w:lineRule="auto"/>
        <w:jc w:val="both"/>
        <w:rPr>
          <w:sz w:val="24"/>
          <w:szCs w:val="24"/>
        </w:rPr>
      </w:pPr>
    </w:p>
    <w:p w14:paraId="17E1C678" w14:textId="63D72931" w:rsidR="00DD0717" w:rsidRPr="00DD0717" w:rsidRDefault="00DD0717" w:rsidP="00DD0717">
      <w:pPr>
        <w:spacing w:line="360" w:lineRule="auto"/>
        <w:jc w:val="both"/>
        <w:rPr>
          <w:sz w:val="24"/>
          <w:szCs w:val="24"/>
        </w:rPr>
      </w:pPr>
      <w:r w:rsidRPr="00DD0717">
        <w:rPr>
          <w:sz w:val="24"/>
          <w:szCs w:val="24"/>
        </w:rPr>
        <w:t xml:space="preserve">Q1: 1) Apache’s assets are all domestic like MW Petroleum. Amoco is comparably a big international company with promising projects all over the world. This means that Amoco has a scale in operation. </w:t>
      </w:r>
      <w:r>
        <w:rPr>
          <w:sz w:val="24"/>
          <w:szCs w:val="24"/>
        </w:rPr>
        <w:t>As a r</w:t>
      </w:r>
      <w:bookmarkStart w:id="0" w:name="_GoBack"/>
      <w:bookmarkEnd w:id="0"/>
      <w:r>
        <w:rPr>
          <w:sz w:val="24"/>
          <w:szCs w:val="24"/>
        </w:rPr>
        <w:t>esult,</w:t>
      </w:r>
      <w:r w:rsidRPr="00DD0717">
        <w:rPr>
          <w:sz w:val="24"/>
          <w:szCs w:val="24"/>
        </w:rPr>
        <w:t xml:space="preserve"> Amoco assets portfolio is stronger.</w:t>
      </w:r>
    </w:p>
    <w:p w14:paraId="4B87968D" w14:textId="77777777" w:rsidR="00DD0717" w:rsidRPr="00DD0717" w:rsidRDefault="00DD0717" w:rsidP="00DD0717">
      <w:pPr>
        <w:spacing w:line="360" w:lineRule="auto"/>
        <w:jc w:val="both"/>
        <w:rPr>
          <w:sz w:val="24"/>
          <w:szCs w:val="24"/>
        </w:rPr>
      </w:pPr>
      <w:r w:rsidRPr="00DD0717">
        <w:rPr>
          <w:sz w:val="24"/>
          <w:szCs w:val="24"/>
        </w:rPr>
        <w:t>2) MW was a subsidiary company, which was a combination of relatively unprofitable properties of Amoco. This means that Amoco does not rely too much on MW’s properties for revenue. Therefore, the efficient operation of MW fields is not a good indicator of two companies’ financial performance and stock price valuation.</w:t>
      </w:r>
    </w:p>
    <w:p w14:paraId="2BA77877" w14:textId="77777777" w:rsidR="00DD0717" w:rsidRPr="00DD0717" w:rsidRDefault="00DD0717" w:rsidP="00DD0717">
      <w:pPr>
        <w:spacing w:line="360" w:lineRule="auto"/>
        <w:jc w:val="both"/>
        <w:rPr>
          <w:sz w:val="24"/>
          <w:szCs w:val="24"/>
        </w:rPr>
      </w:pPr>
      <w:r w:rsidRPr="00DD0717">
        <w:rPr>
          <w:sz w:val="24"/>
          <w:szCs w:val="24"/>
        </w:rPr>
        <w:t>Also, we should not simply compare the share price or trend of the share price. Because share price is influenced by many other factors, such as leverage ratio, dividend, secondary public offering, repurchase.</w:t>
      </w:r>
    </w:p>
    <w:p w14:paraId="52C52D85" w14:textId="77777777" w:rsidR="00DD0717" w:rsidRPr="00DD0717" w:rsidRDefault="00DD0717" w:rsidP="00DD0717">
      <w:pPr>
        <w:spacing w:line="360" w:lineRule="auto"/>
        <w:jc w:val="both"/>
        <w:rPr>
          <w:sz w:val="24"/>
          <w:szCs w:val="24"/>
        </w:rPr>
      </w:pPr>
    </w:p>
    <w:p w14:paraId="71701B4F" w14:textId="77777777" w:rsidR="00DD0717" w:rsidRPr="00DD0717" w:rsidRDefault="00DD0717" w:rsidP="00DD0717">
      <w:pPr>
        <w:spacing w:line="360" w:lineRule="auto"/>
        <w:jc w:val="both"/>
        <w:rPr>
          <w:sz w:val="24"/>
          <w:szCs w:val="24"/>
        </w:rPr>
      </w:pPr>
      <w:r w:rsidRPr="00DD0717">
        <w:rPr>
          <w:sz w:val="24"/>
          <w:szCs w:val="24"/>
        </w:rPr>
        <w:t xml:space="preserve"> </w:t>
      </w:r>
    </w:p>
    <w:p w14:paraId="62D9781D" w14:textId="68FDCB0E" w:rsidR="005B0139" w:rsidRDefault="00DD0717" w:rsidP="00561266">
      <w:pPr>
        <w:spacing w:line="360" w:lineRule="auto"/>
        <w:jc w:val="both"/>
        <w:rPr>
          <w:sz w:val="24"/>
          <w:szCs w:val="24"/>
        </w:rPr>
      </w:pPr>
      <w:r w:rsidRPr="00DD0717">
        <w:rPr>
          <w:sz w:val="24"/>
          <w:szCs w:val="24"/>
        </w:rPr>
        <w:t xml:space="preserve">Q2: As Apache is acquiring MW Petroleum only with equity, we used a cost of equity as a discount factor for MW Petroleum’s 15-year cash flow and terminal value. </w:t>
      </w:r>
      <w:r w:rsidR="005B0139">
        <w:rPr>
          <w:sz w:val="24"/>
          <w:szCs w:val="24"/>
        </w:rPr>
        <w:t xml:space="preserve">As shown in </w:t>
      </w:r>
      <w:r w:rsidR="00561266">
        <w:rPr>
          <w:sz w:val="24"/>
          <w:szCs w:val="24"/>
        </w:rPr>
        <w:t>Exhibit 1, t</w:t>
      </w:r>
      <w:r w:rsidRPr="00DD0717">
        <w:rPr>
          <w:sz w:val="24"/>
          <w:szCs w:val="24"/>
        </w:rPr>
        <w:t>o calculate the cost of equity, we used a 10-year corporate bond rate for Apache, which is 8.03%, for a risk-free rate. Unlevered</w:t>
      </w:r>
      <w:r>
        <w:rPr>
          <w:sz w:val="24"/>
          <w:szCs w:val="24"/>
        </w:rPr>
        <w:t xml:space="preserve"> </w:t>
      </w:r>
      <w:r w:rsidRPr="00DD0717">
        <w:rPr>
          <w:sz w:val="24"/>
          <w:szCs w:val="24"/>
        </w:rPr>
        <w:t>beta, which we should use for calculating the cost of equity, is shown in Exhibit 2, which is 0.82. Lastly, we got the market risk premium in 1990 for the oil &amp; gas industry of 5.5% from “Introduction to Oil Company Financial Analysis”. As a result, we got the cost of equity of 12.54% and discounting MW’s cash flow with this rate, came up with the amount that Apache has to pay for the acquisition, which is $ 487.15</w:t>
      </w:r>
      <w:r w:rsidR="00561266">
        <w:rPr>
          <w:sz w:val="24"/>
          <w:szCs w:val="24"/>
        </w:rPr>
        <w:t>.</w:t>
      </w:r>
      <w:r w:rsidR="005B0139">
        <w:rPr>
          <w:noProof/>
          <w:sz w:val="24"/>
          <w:szCs w:val="24"/>
        </w:rPr>
        <w:drawing>
          <wp:anchor distT="0" distB="0" distL="114300" distR="114300" simplePos="0" relativeHeight="251658240" behindDoc="0" locked="0" layoutInCell="1" allowOverlap="1" wp14:anchorId="42B45489" wp14:editId="36E39312">
            <wp:simplePos x="0" y="0"/>
            <wp:positionH relativeFrom="column">
              <wp:posOffset>0</wp:posOffset>
            </wp:positionH>
            <wp:positionV relativeFrom="paragraph">
              <wp:posOffset>2365375</wp:posOffset>
            </wp:positionV>
            <wp:extent cx="5943600" cy="1636395"/>
            <wp:effectExtent l="0" t="0" r="0" b="1905"/>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3 at 1.04.5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14:sizeRelH relativeFrom="page">
              <wp14:pctWidth>0</wp14:pctWidth>
            </wp14:sizeRelH>
            <wp14:sizeRelV relativeFrom="page">
              <wp14:pctHeight>0</wp14:pctHeight>
            </wp14:sizeRelV>
          </wp:anchor>
        </w:drawing>
      </w:r>
    </w:p>
    <w:p w14:paraId="4BE1D683" w14:textId="203A2E5B" w:rsidR="005B0139" w:rsidRPr="00DD0717" w:rsidRDefault="005B0139" w:rsidP="005B0139">
      <w:pPr>
        <w:spacing w:line="360" w:lineRule="auto"/>
        <w:jc w:val="center"/>
        <w:rPr>
          <w:sz w:val="24"/>
          <w:szCs w:val="24"/>
        </w:rPr>
      </w:pPr>
      <w:r>
        <w:rPr>
          <w:sz w:val="24"/>
          <w:szCs w:val="24"/>
        </w:rPr>
        <w:t>Table</w:t>
      </w:r>
      <w:r w:rsidRPr="005B0139">
        <w:rPr>
          <w:sz w:val="24"/>
          <w:szCs w:val="24"/>
        </w:rPr>
        <w:t xml:space="preserve"> </w:t>
      </w:r>
      <w:r>
        <w:rPr>
          <w:sz w:val="24"/>
          <w:szCs w:val="24"/>
        </w:rPr>
        <w:t xml:space="preserve">1 </w:t>
      </w:r>
      <w:r w:rsidRPr="00DD0717">
        <w:rPr>
          <w:sz w:val="24"/>
          <w:szCs w:val="24"/>
        </w:rPr>
        <w:t>Valuation of MW Petroleum</w:t>
      </w:r>
    </w:p>
    <w:p w14:paraId="786BB90A" w14:textId="77777777" w:rsidR="005B0139" w:rsidRPr="00DD0717" w:rsidRDefault="005B0139" w:rsidP="00DD0717">
      <w:pPr>
        <w:spacing w:line="360" w:lineRule="auto"/>
        <w:jc w:val="both"/>
        <w:rPr>
          <w:sz w:val="24"/>
          <w:szCs w:val="24"/>
        </w:rPr>
      </w:pPr>
    </w:p>
    <w:p w14:paraId="4E37B971" w14:textId="2E7B57C0" w:rsidR="00DD0717" w:rsidRDefault="00DD0717" w:rsidP="00DD0717">
      <w:pPr>
        <w:spacing w:line="360" w:lineRule="auto"/>
        <w:jc w:val="both"/>
        <w:rPr>
          <w:sz w:val="24"/>
          <w:szCs w:val="24"/>
        </w:rPr>
      </w:pPr>
      <w:r w:rsidRPr="00DD0717">
        <w:rPr>
          <w:sz w:val="24"/>
          <w:szCs w:val="24"/>
        </w:rPr>
        <w:t xml:space="preserve">Q3: The deal value will be increased to $607.91mm. </w:t>
      </w:r>
      <w:r w:rsidR="005B0139">
        <w:rPr>
          <w:sz w:val="24"/>
          <w:szCs w:val="24"/>
        </w:rPr>
        <w:t>As shown in Exhibit 2, b</w:t>
      </w:r>
      <w:r w:rsidRPr="00DD0717">
        <w:rPr>
          <w:sz w:val="24"/>
          <w:szCs w:val="24"/>
        </w:rPr>
        <w:t>y reducing direct operating costs by 30% and overhead by 15%, the net income before the interest goes up. In addition, applying the same effective tax rate, the current tax also will be increased. These changes will increase the operating cash flow of each year roughly by 20~30%. The terminal value has been adjusted proportionally. Consequently, the all-equity transaction deal value goes up to $594.17mm when calculating with the same cost of equity. It’s about a 21% increase in the deal value.</w:t>
      </w:r>
    </w:p>
    <w:p w14:paraId="7778894E" w14:textId="77777777" w:rsidR="00DD0717" w:rsidRPr="007A7EBE" w:rsidRDefault="00DD0717" w:rsidP="00DD0717">
      <w:pPr>
        <w:spacing w:line="360" w:lineRule="auto"/>
        <w:jc w:val="both"/>
        <w:rPr>
          <w:sz w:val="24"/>
          <w:szCs w:val="24"/>
          <w:lang w:val="en-US"/>
        </w:rPr>
      </w:pPr>
    </w:p>
    <w:p w14:paraId="6638650D" w14:textId="77777777" w:rsidR="00DD0717" w:rsidRPr="00DD0717" w:rsidRDefault="00DD0717" w:rsidP="00561266">
      <w:pPr>
        <w:spacing w:line="360" w:lineRule="auto"/>
        <w:jc w:val="both"/>
        <w:rPr>
          <w:sz w:val="24"/>
          <w:szCs w:val="24"/>
        </w:rPr>
      </w:pPr>
      <w:r w:rsidRPr="00DD0717">
        <w:rPr>
          <w:sz w:val="24"/>
          <w:szCs w:val="24"/>
        </w:rPr>
        <w:t>Q4: What are the real options associated with the MW assets?</w:t>
      </w:r>
    </w:p>
    <w:p w14:paraId="0000000E" w14:textId="1016797E" w:rsidR="00045F9B" w:rsidRDefault="002F164C" w:rsidP="00561266">
      <w:pPr>
        <w:spacing w:line="360" w:lineRule="auto"/>
        <w:jc w:val="both"/>
        <w:rPr>
          <w:sz w:val="24"/>
          <w:szCs w:val="24"/>
        </w:rPr>
      </w:pPr>
      <w:r>
        <w:rPr>
          <w:sz w:val="24"/>
          <w:szCs w:val="24"/>
        </w:rPr>
        <w:t xml:space="preserve">According to Investopedia, </w:t>
      </w:r>
      <w:r w:rsidR="007A7EBE">
        <w:rPr>
          <w:sz w:val="24"/>
          <w:szCs w:val="24"/>
        </w:rPr>
        <w:t>t</w:t>
      </w:r>
      <w:r w:rsidR="00DD0717" w:rsidRPr="00DD0717">
        <w:rPr>
          <w:sz w:val="24"/>
          <w:szCs w:val="24"/>
        </w:rPr>
        <w:t>he definition of a real option is a choice made available to the managers of a company concerning business investment opportunities. Real options can include the decision to expand, defer or wait, or abandon a project</w:t>
      </w:r>
      <w:r w:rsidRPr="005E1783">
        <w:rPr>
          <w:sz w:val="24"/>
          <w:szCs w:val="24"/>
          <w:lang w:val="en-US"/>
        </w:rPr>
        <w:t xml:space="preserve">. </w:t>
      </w:r>
      <w:r>
        <w:rPr>
          <w:sz w:val="24"/>
          <w:szCs w:val="24"/>
          <w:lang w:val="en-US"/>
        </w:rPr>
        <w:t>For</w:t>
      </w:r>
      <w:r w:rsidRPr="005E1783">
        <w:rPr>
          <w:sz w:val="24"/>
          <w:szCs w:val="24"/>
          <w:lang w:val="en-US"/>
        </w:rPr>
        <w:t xml:space="preserve"> the proved developed reserves of MW are assets-in-place </w:t>
      </w:r>
      <w:r>
        <w:rPr>
          <w:sz w:val="24"/>
          <w:szCs w:val="24"/>
          <w:lang w:val="en-US"/>
        </w:rPr>
        <w:t xml:space="preserve">which are not </w:t>
      </w:r>
      <w:r w:rsidRPr="005E1783">
        <w:rPr>
          <w:sz w:val="24"/>
          <w:szCs w:val="24"/>
          <w:lang w:val="en-US"/>
        </w:rPr>
        <w:t xml:space="preserve">options. </w:t>
      </w:r>
      <w:r w:rsidR="005B0139">
        <w:rPr>
          <w:sz w:val="24"/>
          <w:szCs w:val="24"/>
        </w:rPr>
        <w:t xml:space="preserve">As a result, </w:t>
      </w:r>
      <w:r w:rsidR="00DD0717" w:rsidRPr="00DD0717">
        <w:rPr>
          <w:sz w:val="24"/>
          <w:szCs w:val="24"/>
        </w:rPr>
        <w:t>if it is proved developed reserves,</w:t>
      </w:r>
      <w:r>
        <w:rPr>
          <w:sz w:val="24"/>
          <w:szCs w:val="24"/>
        </w:rPr>
        <w:t xml:space="preserve"> we have to develop it. </w:t>
      </w:r>
      <w:r w:rsidR="00DD0717" w:rsidRPr="00DD0717">
        <w:rPr>
          <w:sz w:val="24"/>
          <w:szCs w:val="24"/>
        </w:rPr>
        <w:t>If it is proved undeveloped/ probable/ possible reserves, we have an option on when to develop it.</w:t>
      </w:r>
    </w:p>
    <w:p w14:paraId="23841099" w14:textId="77777777" w:rsidR="002F164C" w:rsidRDefault="002F164C" w:rsidP="00561266">
      <w:pPr>
        <w:spacing w:line="360" w:lineRule="auto"/>
        <w:jc w:val="both"/>
        <w:rPr>
          <w:sz w:val="24"/>
          <w:szCs w:val="24"/>
        </w:rPr>
      </w:pPr>
    </w:p>
    <w:p w14:paraId="544A0363" w14:textId="29C25F61" w:rsidR="002F164C" w:rsidRDefault="00F3499F" w:rsidP="002F164C">
      <w:pPr>
        <w:spacing w:line="360" w:lineRule="auto"/>
        <w:jc w:val="both"/>
        <w:rPr>
          <w:sz w:val="24"/>
          <w:szCs w:val="24"/>
          <w:lang w:val="en-US"/>
        </w:rPr>
      </w:pPr>
      <w:r>
        <w:rPr>
          <w:sz w:val="24"/>
          <w:szCs w:val="24"/>
        </w:rPr>
        <w:t xml:space="preserve">Specific, </w:t>
      </w:r>
      <w:r w:rsidR="002F164C" w:rsidRPr="00D804D8">
        <w:rPr>
          <w:sz w:val="24"/>
          <w:szCs w:val="24"/>
          <w:lang w:val="en-US"/>
        </w:rPr>
        <w:t xml:space="preserve">for proved but undeveloped reserves, the capital expenditure in the first two years are much larger than the cash from operations, which suggests that the proved undeveloped reserves should be treated as real options. In </w:t>
      </w:r>
      <w:r w:rsidRPr="00D804D8">
        <w:rPr>
          <w:sz w:val="24"/>
          <w:szCs w:val="24"/>
          <w:lang w:val="en-US"/>
        </w:rPr>
        <w:t>addition,</w:t>
      </w:r>
      <w:r>
        <w:rPr>
          <w:sz w:val="24"/>
          <w:szCs w:val="24"/>
          <w:lang w:val="en-US"/>
        </w:rPr>
        <w:t xml:space="preserve"> </w:t>
      </w:r>
      <w:r w:rsidR="002F164C" w:rsidRPr="00D804D8">
        <w:rPr>
          <w:sz w:val="24"/>
          <w:szCs w:val="24"/>
          <w:lang w:val="en-US"/>
        </w:rPr>
        <w:t>MW could leave these (proved but undeveloped) reserves undeveloped while retaining the</w:t>
      </w:r>
      <w:r>
        <w:rPr>
          <w:sz w:val="24"/>
          <w:szCs w:val="24"/>
          <w:lang w:val="en-US"/>
        </w:rPr>
        <w:t xml:space="preserve"> right</w:t>
      </w:r>
      <w:r w:rsidR="002F164C" w:rsidRPr="00D804D8">
        <w:rPr>
          <w:sz w:val="24"/>
          <w:szCs w:val="24"/>
          <w:lang w:val="en-US"/>
        </w:rPr>
        <w:t xml:space="preserve"> to develop them later. This clearly indicates that the proved undeveloped reserves should be valued using the option approach. </w:t>
      </w:r>
    </w:p>
    <w:p w14:paraId="5D54C551" w14:textId="77777777" w:rsidR="002F164C" w:rsidRPr="002F164C" w:rsidRDefault="002F164C" w:rsidP="00561266">
      <w:pPr>
        <w:spacing w:line="360" w:lineRule="auto"/>
        <w:jc w:val="both"/>
        <w:rPr>
          <w:sz w:val="24"/>
          <w:szCs w:val="24"/>
          <w:lang w:val="en-US"/>
        </w:rPr>
      </w:pPr>
    </w:p>
    <w:p w14:paraId="0D816E4D" w14:textId="2B325BF5" w:rsidR="00561266" w:rsidRDefault="00F3499F" w:rsidP="00DD0717">
      <w:pPr>
        <w:spacing w:line="360" w:lineRule="auto"/>
        <w:jc w:val="both"/>
        <w:rPr>
          <w:sz w:val="24"/>
          <w:szCs w:val="24"/>
          <w:lang w:val="en-US"/>
        </w:rPr>
      </w:pPr>
      <w:r>
        <w:rPr>
          <w:sz w:val="24"/>
          <w:szCs w:val="24"/>
          <w:lang w:val="en-US"/>
        </w:rPr>
        <w:t>In history, there were a lot more benefit, t</w:t>
      </w:r>
      <w:r w:rsidR="00561266" w:rsidRPr="00561266">
        <w:rPr>
          <w:sz w:val="24"/>
          <w:szCs w:val="24"/>
          <w:lang w:val="en-US"/>
        </w:rPr>
        <w:t>he transaction was completed through a price support system that protected Apache if commodity prices fell but provided Amoco with a share of the upside if prices rose.</w:t>
      </w:r>
      <w:r w:rsidR="00561266">
        <w:rPr>
          <w:sz w:val="24"/>
          <w:szCs w:val="24"/>
          <w:lang w:val="en-US"/>
        </w:rPr>
        <w:t xml:space="preserve"> </w:t>
      </w:r>
      <w:r w:rsidR="00561266" w:rsidRPr="00561266">
        <w:rPr>
          <w:sz w:val="24"/>
          <w:szCs w:val="24"/>
          <w:lang w:val="en-US"/>
        </w:rPr>
        <w:t>After the acquisition, Apache moved its headquarters to Houston,</w:t>
      </w:r>
      <w:r>
        <w:rPr>
          <w:sz w:val="24"/>
          <w:szCs w:val="24"/>
          <w:lang w:val="en-US"/>
        </w:rPr>
        <w:t xml:space="preserve"> became bigger and bigger.</w:t>
      </w:r>
    </w:p>
    <w:p w14:paraId="66F543E1" w14:textId="6A39FBFB" w:rsidR="00F3499F" w:rsidRDefault="00F3499F" w:rsidP="00DD0717">
      <w:pPr>
        <w:spacing w:line="360" w:lineRule="auto"/>
        <w:jc w:val="both"/>
        <w:rPr>
          <w:sz w:val="24"/>
          <w:szCs w:val="24"/>
          <w:lang w:val="en-US"/>
        </w:rPr>
      </w:pPr>
    </w:p>
    <w:p w14:paraId="4D84C5F1" w14:textId="79AA8EC1" w:rsidR="00F3499F" w:rsidRDefault="00F3499F" w:rsidP="00DD0717">
      <w:pPr>
        <w:spacing w:line="360" w:lineRule="auto"/>
        <w:jc w:val="both"/>
        <w:rPr>
          <w:sz w:val="24"/>
          <w:szCs w:val="24"/>
          <w:lang w:val="en-US"/>
        </w:rPr>
      </w:pPr>
    </w:p>
    <w:p w14:paraId="1F338B02" w14:textId="77777777" w:rsidR="00F3499F" w:rsidRPr="00F3499F" w:rsidRDefault="00F3499F" w:rsidP="00DD0717">
      <w:pPr>
        <w:spacing w:line="360" w:lineRule="auto"/>
        <w:jc w:val="both"/>
        <w:rPr>
          <w:sz w:val="24"/>
          <w:szCs w:val="24"/>
          <w:lang w:val="en-US"/>
        </w:rPr>
      </w:pPr>
    </w:p>
    <w:p w14:paraId="7A802956" w14:textId="30DF3B54" w:rsidR="005B0139" w:rsidRPr="00F3499F" w:rsidRDefault="005B0139" w:rsidP="00F3499F">
      <w:pPr>
        <w:rPr>
          <w:sz w:val="24"/>
          <w:szCs w:val="24"/>
        </w:rPr>
      </w:pPr>
      <w:r w:rsidRPr="005B0139">
        <w:rPr>
          <w:sz w:val="24"/>
          <w:szCs w:val="24"/>
        </w:rPr>
        <w:lastRenderedPageBreak/>
        <w:t xml:space="preserve">Exhibit </w:t>
      </w:r>
      <w:r>
        <w:rPr>
          <w:sz w:val="24"/>
          <w:szCs w:val="24"/>
        </w:rPr>
        <w:t>1</w:t>
      </w:r>
      <w:r>
        <w:rPr>
          <w:sz w:val="24"/>
          <w:szCs w:val="24"/>
        </w:rPr>
        <w:t xml:space="preserve"> </w:t>
      </w:r>
      <w:r w:rsidRPr="005B0139">
        <w:rPr>
          <w:sz w:val="24"/>
          <w:szCs w:val="24"/>
        </w:rPr>
        <w:t>Aggregated MW Production and Cash Flow Projections</w:t>
      </w:r>
    </w:p>
    <w:p w14:paraId="5DBF61A7" w14:textId="2F8204BE" w:rsidR="005B0139" w:rsidRDefault="005B0139" w:rsidP="005B0139">
      <w:pPr>
        <w:spacing w:line="360" w:lineRule="auto"/>
        <w:jc w:val="both"/>
        <w:rPr>
          <w:sz w:val="24"/>
          <w:szCs w:val="24"/>
        </w:rPr>
      </w:pPr>
      <w:r>
        <w:rPr>
          <w:noProof/>
          <w:sz w:val="24"/>
          <w:szCs w:val="24"/>
        </w:rPr>
        <w:drawing>
          <wp:inline distT="0" distB="0" distL="0" distR="0" wp14:anchorId="5D1C8939" wp14:editId="2AC93B3B">
            <wp:extent cx="5943600" cy="3576320"/>
            <wp:effectExtent l="0" t="0" r="0" b="508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3 at 1.10.5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14:paraId="6BCC68F3" w14:textId="77777777" w:rsidR="005B0139" w:rsidRDefault="005B0139" w:rsidP="005B0139">
      <w:pPr>
        <w:spacing w:line="360" w:lineRule="auto"/>
        <w:jc w:val="center"/>
        <w:rPr>
          <w:sz w:val="24"/>
          <w:szCs w:val="24"/>
        </w:rPr>
      </w:pPr>
    </w:p>
    <w:p w14:paraId="30D45B4D" w14:textId="39C1F5A0" w:rsidR="005B0139" w:rsidRDefault="005B0139" w:rsidP="005B0139">
      <w:pPr>
        <w:spacing w:line="360" w:lineRule="auto"/>
        <w:rPr>
          <w:sz w:val="24"/>
          <w:szCs w:val="24"/>
          <w:lang w:val="en-US"/>
        </w:rPr>
      </w:pPr>
      <w:r w:rsidRPr="005B0139">
        <w:rPr>
          <w:sz w:val="24"/>
          <w:szCs w:val="24"/>
        </w:rPr>
        <w:t xml:space="preserve">Exhibit </w:t>
      </w:r>
      <w:r>
        <w:rPr>
          <w:sz w:val="24"/>
          <w:szCs w:val="24"/>
        </w:rPr>
        <w:t>2</w:t>
      </w:r>
      <w:r>
        <w:rPr>
          <w:sz w:val="24"/>
          <w:szCs w:val="24"/>
        </w:rPr>
        <w:t xml:space="preserve"> Modified </w:t>
      </w:r>
      <w:r w:rsidRPr="005B0139">
        <w:rPr>
          <w:sz w:val="24"/>
          <w:szCs w:val="24"/>
        </w:rPr>
        <w:t>Aggregated MW Production and Cash Flow Projections</w:t>
      </w:r>
    </w:p>
    <w:p w14:paraId="54472A24" w14:textId="1C7D91CE" w:rsidR="005B0139" w:rsidRPr="005B0139" w:rsidRDefault="005B0139" w:rsidP="00DD0717">
      <w:pPr>
        <w:spacing w:line="360" w:lineRule="auto"/>
        <w:jc w:val="both"/>
        <w:rPr>
          <w:sz w:val="24"/>
          <w:szCs w:val="24"/>
          <w:lang w:val="en-US"/>
        </w:rPr>
      </w:pPr>
      <w:r>
        <w:rPr>
          <w:noProof/>
          <w:sz w:val="24"/>
          <w:szCs w:val="24"/>
          <w:lang w:val="en-US"/>
        </w:rPr>
        <w:drawing>
          <wp:inline distT="0" distB="0" distL="0" distR="0" wp14:anchorId="580E6E35" wp14:editId="3CA6D027">
            <wp:extent cx="5943600" cy="3279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3 at 1.15.3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sectPr w:rsidR="005B0139" w:rsidRPr="005B0139" w:rsidSect="00F3499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A4F3D" w14:textId="77777777" w:rsidR="00CF35F5" w:rsidRDefault="00CF35F5" w:rsidP="005B0139">
      <w:pPr>
        <w:spacing w:line="240" w:lineRule="auto"/>
      </w:pPr>
      <w:r>
        <w:separator/>
      </w:r>
    </w:p>
  </w:endnote>
  <w:endnote w:type="continuationSeparator" w:id="0">
    <w:p w14:paraId="08CCC78B" w14:textId="77777777" w:rsidR="00CF35F5" w:rsidRDefault="00CF35F5" w:rsidP="005B01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C67D3" w14:textId="77777777" w:rsidR="00CF35F5" w:rsidRDefault="00CF35F5" w:rsidP="005B0139">
      <w:pPr>
        <w:spacing w:line="240" w:lineRule="auto"/>
      </w:pPr>
      <w:r>
        <w:separator/>
      </w:r>
    </w:p>
  </w:footnote>
  <w:footnote w:type="continuationSeparator" w:id="0">
    <w:p w14:paraId="2DD587AD" w14:textId="77777777" w:rsidR="00CF35F5" w:rsidRDefault="00CF35F5" w:rsidP="005B013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F9B"/>
    <w:rsid w:val="00045F9B"/>
    <w:rsid w:val="002F164C"/>
    <w:rsid w:val="005017F3"/>
    <w:rsid w:val="00561266"/>
    <w:rsid w:val="005B0139"/>
    <w:rsid w:val="005E1783"/>
    <w:rsid w:val="007A7EBE"/>
    <w:rsid w:val="00CF35F5"/>
    <w:rsid w:val="00D804D8"/>
    <w:rsid w:val="00DD0717"/>
    <w:rsid w:val="00F34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27A1A"/>
  <w15:docId w15:val="{EEFBD12F-C5E0-9440-9833-0CB603AC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NormalWeb">
    <w:name w:val="Normal (Web)"/>
    <w:basedOn w:val="Normal"/>
    <w:uiPriority w:val="99"/>
    <w:semiHidden/>
    <w:unhideWhenUsed/>
    <w:rsid w:val="00DD071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B0139"/>
    <w:pPr>
      <w:tabs>
        <w:tab w:val="center" w:pos="4680"/>
        <w:tab w:val="right" w:pos="9360"/>
      </w:tabs>
      <w:spacing w:line="240" w:lineRule="auto"/>
    </w:pPr>
  </w:style>
  <w:style w:type="character" w:customStyle="1" w:styleId="HeaderChar">
    <w:name w:val="Header Char"/>
    <w:basedOn w:val="DefaultParagraphFont"/>
    <w:link w:val="Header"/>
    <w:uiPriority w:val="99"/>
    <w:rsid w:val="005B0139"/>
  </w:style>
  <w:style w:type="paragraph" w:styleId="Footer">
    <w:name w:val="footer"/>
    <w:basedOn w:val="Normal"/>
    <w:link w:val="FooterChar"/>
    <w:uiPriority w:val="99"/>
    <w:unhideWhenUsed/>
    <w:rsid w:val="005B0139"/>
    <w:pPr>
      <w:tabs>
        <w:tab w:val="center" w:pos="4680"/>
        <w:tab w:val="right" w:pos="9360"/>
      </w:tabs>
      <w:spacing w:line="240" w:lineRule="auto"/>
    </w:pPr>
  </w:style>
  <w:style w:type="character" w:customStyle="1" w:styleId="FooterChar">
    <w:name w:val="Footer Char"/>
    <w:basedOn w:val="DefaultParagraphFont"/>
    <w:link w:val="Footer"/>
    <w:uiPriority w:val="99"/>
    <w:rsid w:val="005B0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233861">
      <w:bodyDiv w:val="1"/>
      <w:marLeft w:val="0"/>
      <w:marRight w:val="0"/>
      <w:marTop w:val="0"/>
      <w:marBottom w:val="0"/>
      <w:divBdr>
        <w:top w:val="none" w:sz="0" w:space="0" w:color="auto"/>
        <w:left w:val="none" w:sz="0" w:space="0" w:color="auto"/>
        <w:bottom w:val="none" w:sz="0" w:space="0" w:color="auto"/>
        <w:right w:val="none" w:sz="0" w:space="0" w:color="auto"/>
      </w:divBdr>
      <w:divsChild>
        <w:div w:id="1116288392">
          <w:marLeft w:val="0"/>
          <w:marRight w:val="0"/>
          <w:marTop w:val="0"/>
          <w:marBottom w:val="0"/>
          <w:divBdr>
            <w:top w:val="none" w:sz="0" w:space="0" w:color="auto"/>
            <w:left w:val="none" w:sz="0" w:space="0" w:color="auto"/>
            <w:bottom w:val="none" w:sz="0" w:space="0" w:color="auto"/>
            <w:right w:val="none" w:sz="0" w:space="0" w:color="auto"/>
          </w:divBdr>
          <w:divsChild>
            <w:div w:id="1242372630">
              <w:marLeft w:val="0"/>
              <w:marRight w:val="0"/>
              <w:marTop w:val="0"/>
              <w:marBottom w:val="0"/>
              <w:divBdr>
                <w:top w:val="none" w:sz="0" w:space="0" w:color="auto"/>
                <w:left w:val="none" w:sz="0" w:space="0" w:color="auto"/>
                <w:bottom w:val="none" w:sz="0" w:space="0" w:color="auto"/>
                <w:right w:val="none" w:sz="0" w:space="0" w:color="auto"/>
              </w:divBdr>
              <w:divsChild>
                <w:div w:id="191866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38212">
      <w:bodyDiv w:val="1"/>
      <w:marLeft w:val="0"/>
      <w:marRight w:val="0"/>
      <w:marTop w:val="0"/>
      <w:marBottom w:val="0"/>
      <w:divBdr>
        <w:top w:val="none" w:sz="0" w:space="0" w:color="auto"/>
        <w:left w:val="none" w:sz="0" w:space="0" w:color="auto"/>
        <w:bottom w:val="none" w:sz="0" w:space="0" w:color="auto"/>
        <w:right w:val="none" w:sz="0" w:space="0" w:color="auto"/>
      </w:divBdr>
    </w:div>
    <w:div w:id="1447233154">
      <w:bodyDiv w:val="1"/>
      <w:marLeft w:val="0"/>
      <w:marRight w:val="0"/>
      <w:marTop w:val="0"/>
      <w:marBottom w:val="0"/>
      <w:divBdr>
        <w:top w:val="none" w:sz="0" w:space="0" w:color="auto"/>
        <w:left w:val="none" w:sz="0" w:space="0" w:color="auto"/>
        <w:bottom w:val="none" w:sz="0" w:space="0" w:color="auto"/>
        <w:right w:val="none" w:sz="0" w:space="0" w:color="auto"/>
      </w:divBdr>
      <w:divsChild>
        <w:div w:id="1702244501">
          <w:marLeft w:val="0"/>
          <w:marRight w:val="0"/>
          <w:marTop w:val="0"/>
          <w:marBottom w:val="0"/>
          <w:divBdr>
            <w:top w:val="none" w:sz="0" w:space="0" w:color="auto"/>
            <w:left w:val="none" w:sz="0" w:space="0" w:color="auto"/>
            <w:bottom w:val="none" w:sz="0" w:space="0" w:color="auto"/>
            <w:right w:val="none" w:sz="0" w:space="0" w:color="auto"/>
          </w:divBdr>
          <w:divsChild>
            <w:div w:id="1222908322">
              <w:marLeft w:val="0"/>
              <w:marRight w:val="0"/>
              <w:marTop w:val="0"/>
              <w:marBottom w:val="0"/>
              <w:divBdr>
                <w:top w:val="none" w:sz="0" w:space="0" w:color="auto"/>
                <w:left w:val="none" w:sz="0" w:space="0" w:color="auto"/>
                <w:bottom w:val="none" w:sz="0" w:space="0" w:color="auto"/>
                <w:right w:val="none" w:sz="0" w:space="0" w:color="auto"/>
              </w:divBdr>
              <w:divsChild>
                <w:div w:id="1433747065">
                  <w:marLeft w:val="0"/>
                  <w:marRight w:val="0"/>
                  <w:marTop w:val="0"/>
                  <w:marBottom w:val="0"/>
                  <w:divBdr>
                    <w:top w:val="none" w:sz="0" w:space="0" w:color="auto"/>
                    <w:left w:val="none" w:sz="0" w:space="0" w:color="auto"/>
                    <w:bottom w:val="none" w:sz="0" w:space="0" w:color="auto"/>
                    <w:right w:val="none" w:sz="0" w:space="0" w:color="auto"/>
                  </w:divBdr>
                  <w:divsChild>
                    <w:div w:id="14113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F4FD2-5171-3A4A-A315-E84956D30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542</Words>
  <Characters>3092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Yang, Zhengjie</cp:lastModifiedBy>
  <cp:revision>2</cp:revision>
  <dcterms:created xsi:type="dcterms:W3CDTF">2020-02-13T07:33:00Z</dcterms:created>
  <dcterms:modified xsi:type="dcterms:W3CDTF">2020-02-13T07:33:00Z</dcterms:modified>
</cp:coreProperties>
</file>