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Dispersione</w:t>
      </w:r>
      <w:r>
        <w:t xml:space="preserve"> </w:t>
      </w:r>
      <w:r>
        <w:t xml:space="preserve">universitaria:</w:t>
      </w:r>
      <w:r>
        <w:t xml:space="preserve"> </w:t>
      </w:r>
      <w:r>
        <w:t xml:space="preserve">il</w:t>
      </w:r>
      <w:r>
        <w:t xml:space="preserve"> </w:t>
      </w:r>
      <w:r>
        <w:t xml:space="preserve">contesto</w:t>
      </w:r>
      <w:r>
        <w:t xml:space="preserve"> </w:t>
      </w:r>
      <w:r>
        <w:t xml:space="preserve">del</w:t>
      </w:r>
      <w:r>
        <w:t xml:space="preserve"> </w:t>
      </w:r>
      <w:r>
        <w:t xml:space="preserve">nostro</w:t>
      </w:r>
      <w:r>
        <w:t xml:space="preserve"> </w:t>
      </w:r>
      <w:r>
        <w:t xml:space="preserve">progetto</w:t>
      </w:r>
    </w:p>
    <w:p>
      <w:pPr>
        <w:pStyle w:val="Author"/>
      </w:pPr>
      <w:r>
        <w:t xml:space="preserve">Francesco</w:t>
      </w:r>
      <w:r>
        <w:t xml:space="preserve"> </w:t>
      </w:r>
      <w:r>
        <w:t xml:space="preserve">Peraro</w:t>
      </w:r>
    </w:p>
    <w:p>
      <w:pPr>
        <w:pStyle w:val="Date"/>
      </w:pPr>
      <w:r>
        <w:t xml:space="preserve">28</w:t>
      </w:r>
      <w:r>
        <w:t xml:space="preserve"> </w:t>
      </w:r>
      <w:r>
        <w:t xml:space="preserve">settembre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Circa uno studente su cinque abbandona l’università tra il primo e il secondo anno, all’Università di Bergamo (UniBG). Il nostro lavoro è uno studio predittivo su circa 60.000 matricole, suddivise in coorti per anno di immatricolazione: stima la probabilità di abbandono di ogni studente e la traduce, con una matrice di payoff, in una regola di decisione economica su chi conviene supportare.</w:t>
      </w:r>
    </w:p>
    <w:p>
      <w:pPr>
        <w:pStyle w:val="BodyText"/>
      </w:pPr>
      <w:r>
        <w:t xml:space="preserve">Questo documento spiega il contesto a chi non conosce il mondo universitario: come funziona un ateneo, come è finanziato, perché il dropout conta e dove si inserisce il nostro lavoro. In fondo c’è un glossario.</w:t>
      </w:r>
    </w:p>
    <w:bookmarkStart w:id="20" w:name="Xbe75261b188add681bb722bc6783cd70a4d167d"/>
    <w:p>
      <w:pPr>
        <w:pStyle w:val="Heading1"/>
      </w:pPr>
      <w:r>
        <w:t xml:space="preserve">Come funziona l’università italiana, in breve</w:t>
      </w:r>
    </w:p>
    <w:p>
      <w:pPr>
        <w:pStyle w:val="FirstParagraph"/>
      </w:pPr>
      <w:r>
        <w:t xml:space="preserve">In Italia le università statali sono enti pubblici autonomi. Le regole e gran parte dei fondi arrivano dal Ministero dell’Università e della Ricerca (MUR). UniBG è un ateneo statale di medie dimensioni, con circa 4.500 nuove matricole all’anno nei corsi di primo livello.</w:t>
      </w:r>
    </w:p>
    <w:p>
      <w:pPr>
        <w:pStyle w:val="BodyText"/>
      </w:pPr>
      <w:r>
        <w:rPr>
          <w:bCs/>
          <w:b/>
        </w:rPr>
        <w:t xml:space="preserve">I corsi di studio (CdS)</w:t>
      </w:r>
      <w:r>
        <w:t xml:space="preserve"> </w:t>
      </w:r>
      <w:r>
        <w:t xml:space="preserve">sono di tre tipi: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Durata normale</w:t>
            </w:r>
          </w:p>
        </w:tc>
        <w:tc>
          <w:tcPr>
            <w:shd w:val="clear" w:fill="E8EEF4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CFU totali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Laurea triennale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anni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Laurea magistrale (dopo la triennale)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Magistrale a ciclo unico (es. Giurisprudenza)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</w:tbl>
    <w:p>
      <w:pPr>
        <w:pStyle w:val="BodyText"/>
      </w:pPr>
      <w:r>
        <w:rPr>
          <w:bCs/>
          <w:b/>
        </w:rPr>
        <w:t xml:space="preserve">I CFU</w:t>
      </w:r>
      <w:r>
        <w:t xml:space="preserve"> </w:t>
      </w:r>
      <w:r>
        <w:t xml:space="preserve">(crediti formativi universitari) misurano il carico di studio: un anno</w:t>
      </w:r>
      <w:r>
        <w:t xml:space="preserve"> </w:t>
      </w:r>
      <w:r>
        <w:t xml:space="preserve">“</w:t>
      </w:r>
      <w:r>
        <w:t xml:space="preserve">regolare</w:t>
      </w:r>
      <w:r>
        <w:t xml:space="preserve">”</w:t>
      </w:r>
      <w:r>
        <w:t xml:space="preserve"> </w:t>
      </w:r>
      <w:r>
        <w:t xml:space="preserve">vale 60 CFU. Si ottengono superando gli esami, che vengono registrati (</w:t>
      </w:r>
      <w:r>
        <w:t xml:space="preserve">“</w:t>
      </w:r>
      <w:r>
        <w:t xml:space="preserve">verbalizzati</w:t>
      </w:r>
      <w:r>
        <w:t xml:space="preserve">”</w:t>
      </w:r>
      <w:r>
        <w:t xml:space="preserve">) nel gestionale delle carriere, ESSE3.</w:t>
      </w:r>
    </w:p>
    <w:p>
      <w:pPr>
        <w:pStyle w:val="BodyText"/>
      </w:pPr>
      <w:r>
        <w:rPr>
          <w:bCs/>
          <w:b/>
        </w:rPr>
        <w:t xml:space="preserve">Matricola</w:t>
      </w:r>
      <w:r>
        <w:t xml:space="preserve"> </w:t>
      </w:r>
      <w:r>
        <w:t xml:space="preserve">è chi si iscrive per la prima volta all’università. Una</w:t>
      </w:r>
      <w:r>
        <w:t xml:space="preserve"> </w:t>
      </w:r>
      <w:r>
        <w:rPr>
          <w:bCs/>
          <w:b/>
        </w:rPr>
        <w:t xml:space="preserve">coorte</w:t>
      </w:r>
      <w:r>
        <w:t xml:space="preserve"> </w:t>
      </w:r>
      <w:r>
        <w:t xml:space="preserve">è l’insieme delle matricole dello stesso anno accademico, per esempio 2022/23. Seguire una coorte negli anni permette di vedere chi prosegue, chi si laurea e chi abbandona.</w:t>
      </w:r>
    </w:p>
    <w:p>
      <w:pPr>
        <w:pStyle w:val="BodyText"/>
      </w:pPr>
      <w:r>
        <w:rPr>
          <w:bCs/>
          <w:b/>
        </w:rPr>
        <w:t xml:space="preserve">In corso / fuori corso.</w:t>
      </w:r>
      <w:r>
        <w:t xml:space="preserve"> </w:t>
      </w:r>
      <w:r>
        <w:t xml:space="preserve">Uno studente è</w:t>
      </w:r>
      <w:r>
        <w:t xml:space="preserve"> </w:t>
      </w:r>
      <w:r>
        <w:rPr>
          <w:iCs/>
          <w:i/>
        </w:rPr>
        <w:t xml:space="preserve">in corso</w:t>
      </w:r>
      <w:r>
        <w:t xml:space="preserve"> </w:t>
      </w:r>
      <w:r>
        <w:t xml:space="preserve">finché è iscritto entro la durata normale del corso. Oltre quella soglia diventa</w:t>
      </w:r>
      <w:r>
        <w:t xml:space="preserve"> </w:t>
      </w:r>
      <w:r>
        <w:rPr>
          <w:iCs/>
          <w:i/>
        </w:rPr>
        <w:t xml:space="preserve">fuori corso</w:t>
      </w:r>
      <w:r>
        <w:t xml:space="preserve">: può continuare a studiare e a pagare le tasse, ma per molti conteggi ministeriali pesa meno o non pesa più.</w:t>
      </w:r>
    </w:p>
    <w:p>
      <w:pPr>
        <w:pStyle w:val="BodyText"/>
      </w:pPr>
      <w:r>
        <w:t xml:space="preserve">Il nostro studio riguarda le matricole di</w:t>
      </w:r>
      <w:r>
        <w:t xml:space="preserve"> </w:t>
      </w:r>
      <w:r>
        <w:rPr>
          <w:bCs/>
          <w:b/>
        </w:rPr>
        <w:t xml:space="preserve">lauree triennali e magistrali a ciclo unico</w:t>
      </w:r>
      <w:r>
        <w:t xml:space="preserve">, dove si concentra l’abbandono.</w:t>
      </w:r>
    </w:p>
    <w:bookmarkEnd w:id="20"/>
    <w:bookmarkStart w:id="22" w:name="Xdb36dbe6e9135b391475d4757ac0d33cdd9b99e"/>
    <w:p>
      <w:pPr>
        <w:pStyle w:val="Heading1"/>
      </w:pPr>
      <w:r>
        <w:t xml:space="preserve">Come si finanzia un ateneo: studenti = risorse</w:t>
      </w:r>
    </w:p>
    <w:p>
      <w:pPr>
        <w:pStyle w:val="FirstParagraph"/>
      </w:pPr>
      <w:r>
        <w:t xml:space="preserve">Un ateneo statale vive di due entrate principali: il</w:t>
      </w:r>
      <w:r>
        <w:t xml:space="preserve"> </w:t>
      </w:r>
      <w:r>
        <w:rPr>
          <w:bCs/>
          <w:b/>
        </w:rPr>
        <w:t xml:space="preserve">Fondo di Finanziamento Ordinario (FFO)</w:t>
      </w:r>
      <w:r>
        <w:t xml:space="preserve"> </w:t>
      </w:r>
      <w:r>
        <w:t xml:space="preserve">versato dal MUR e le</w:t>
      </w:r>
      <w:r>
        <w:t xml:space="preserve"> </w:t>
      </w:r>
      <w:r>
        <w:rPr>
          <w:bCs/>
          <w:b/>
        </w:rPr>
        <w:t xml:space="preserve">tasse universitarie</w:t>
      </w:r>
      <w:r>
        <w:t xml:space="preserve"> </w:t>
      </w:r>
      <w:r>
        <w:t xml:space="preserve">pagate dagli studenti. Entrambe dipendono da quanti studenti si iscrivono e da quanti restano.</w:t>
      </w:r>
    </w:p>
    <w:p>
      <w:pPr>
        <w:pStyle w:val="BodyText"/>
      </w:pPr>
      <w:r>
        <w:rPr>
          <w:bCs/>
          <w:b/>
        </w:rPr>
        <w:t xml:space="preserve">L’FFO</w:t>
      </w:r>
      <w:r>
        <w:t xml:space="preserve"> </w:t>
      </w:r>
      <w:r>
        <w:t xml:space="preserve">vale circa 9,4 miliardi di euro nel 2026 per tutti gli atenei statali (</w:t>
      </w:r>
      <w:hyperlink r:id="rId21">
        <w:r>
          <w:rPr>
            <w:rStyle w:val="Hyperlink"/>
          </w:rPr>
          <w:t xml:space="preserve">Il Sole 24 Ore</w:t>
        </w:r>
      </w:hyperlink>
      <w:r>
        <w:t xml:space="preserve">). Ogni anno un decreto ministeriale stabilisce come dividerlo. Le componenti principali sono: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697"/>
        <w:gridCol w:w="2687"/>
        <w:gridCol w:w="3535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Come viene divisa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Legame con gli studenti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base – costo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 dell’FFO nel 2026, in base al</w:t>
            </w:r>
            <w:r>
              <w:t xml:space="preserve"> </w:t>
            </w:r>
            <w:r>
              <w:t xml:space="preserve">“</w:t>
            </w:r>
            <w:r>
              <w:t xml:space="preserve">costo standard per studente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Diretto: conta gli studenti regolari, pesati per area disciplinare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premiale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Risultati della ricerca (VQR), politiche di reclutamento, indicatori scelti dall’ateneo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Indiretto: alcuni indicatori misurano la regolarità delle carriere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Intervento perequativo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Attutisce le variazioni da un anno all’altro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Nessuno: fa da cuscinetto</w:t>
            </w:r>
          </w:p>
        </w:tc>
      </w:tr>
    </w:tbl>
    <w:p>
      <w:pPr>
        <w:pStyle w:val="BodyText"/>
      </w:pPr>
      <w:r>
        <w:t xml:space="preserve">Il punto chiave:</w:t>
      </w:r>
      <w:r>
        <w:t xml:space="preserve"> </w:t>
      </w:r>
      <w:r>
        <w:rPr>
          <w:bCs/>
          <w:b/>
        </w:rPr>
        <w:t xml:space="preserve">l’FFO è una torta divisa tra gli atenei</w:t>
      </w:r>
      <w:r>
        <w:t xml:space="preserve">. Uno studente che abbandona fa perdere all’ateneo gli anni di finanziamento che avrebbe portato in seguito, e riduce la sua fetta rispetto agli altri.</w:t>
      </w:r>
    </w:p>
    <w:p>
      <w:pPr>
        <w:pStyle w:val="BodyText"/>
      </w:pPr>
      <w:r>
        <w:rPr>
          <w:bCs/>
          <w:b/>
        </w:rPr>
        <w:t xml:space="preserve">Le tasse</w:t>
      </w:r>
      <w:r>
        <w:t xml:space="preserve"> </w:t>
      </w:r>
      <w:r>
        <w:t xml:space="preserve">sono proporzionali al reddito familiare (ISEE), con una fascia esente (no-tax area). Chi abbandona smette di pagarle. Chi resta fuori corso continua a pagarle, spesso con una maggiorazione.</w:t>
      </w:r>
    </w:p>
    <w:p>
      <w:pPr>
        <w:pStyle w:val="BodyText"/>
      </w:pPr>
      <w:r>
        <w:t xml:space="preserve">Sulla regola esatta del conteggio (per esempio se il primo anno fuori corso conta ancora ai fini dell’FFO) va verificato il decreto sul costo standard (DM 1166/2024): è un parametro del nostro modello economico.</w:t>
      </w:r>
    </w:p>
    <w:bookmarkEnd w:id="22"/>
    <w:bookmarkStart w:id="26" w:name="il-dropout-cosè-e-perché-conta"/>
    <w:p>
      <w:pPr>
        <w:pStyle w:val="Heading1"/>
      </w:pPr>
      <w:r>
        <w:t xml:space="preserve">Il dropout: cos’è e perché conta</w:t>
      </w:r>
    </w:p>
    <w:p>
      <w:pPr>
        <w:pStyle w:val="FirstParagraph"/>
      </w:pPr>
      <w:r>
        <w:t xml:space="preserve">Nell’a.a. 2020/21 solo il 78,9% delle matricole UniBG ha proseguito gli studi al secondo anno: circa uno su cinque si è perso nel primo anno.</w:t>
      </w:r>
    </w:p>
    <w:p>
      <w:pPr>
        <w:pStyle w:val="BodyText"/>
      </w:pPr>
      <w:r>
        <w:rPr>
          <w:bCs/>
          <w:b/>
        </w:rPr>
        <w:t xml:space="preserve">Il quadro nazionale.</w:t>
      </w:r>
      <w:r>
        <w:t xml:space="preserve"> </w:t>
      </w:r>
      <w:r>
        <w:t xml:space="preserve">Secondo il</w:t>
      </w:r>
      <w:r>
        <w:t xml:space="preserve"> </w:t>
      </w:r>
      <w:hyperlink r:id="rId23">
        <w:r>
          <w:rPr>
            <w:rStyle w:val="Hyperlink"/>
          </w:rPr>
          <w:t xml:space="preserve">Rapporto ANVUR 2026</w:t>
        </w:r>
      </w:hyperlink>
      <w:r>
        <w:t xml:space="preserve">, negli atenei statali il 13,3% delle matricole abbandona tra primo e secondo anno (a.a. 2023/24); nelle università telematiche si arriva al 18,8%. A sei anni dall’iscrizione a una triennale solo il 62,7% si è laureato, mentre il 26,4% ha abbandonato (</w:t>
      </w:r>
      <w:hyperlink r:id="rId24">
        <w:r>
          <w:rPr>
            <w:rStyle w:val="Hyperlink"/>
          </w:rPr>
          <w:t xml:space="preserve">Tecnica della Scuola</w:t>
        </w:r>
      </w:hyperlink>
      <w:r>
        <w:t xml:space="preserve">). Contando anche chi cambia corso o ateneo, oltre il 15% dei diplomati 2024 iscritti all’università ha già rivisto la propria scelta dopo un anno (</w:t>
      </w:r>
      <w:hyperlink r:id="rId25">
        <w:r>
          <w:rPr>
            <w:rStyle w:val="Hyperlink"/>
          </w:rPr>
          <w:t xml:space="preserve">Tgcom24 su dati AlmaDiploma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Due forme di abbandono</w:t>
      </w:r>
      <w:r>
        <w:t xml:space="preserve"> </w:t>
      </w:r>
      <w:r>
        <w:t xml:space="preserve">(distinzione usata negli studi del progetto SPEED):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Dropout esplicito</w:t>
      </w:r>
      <w:r>
        <w:t xml:space="preserve">: lo studente esce dal sistema universitario, perché rinuncia agli studi o non rinnova l’iscrizione.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Dropout implicito</w:t>
      </w:r>
      <w:r>
        <w:t xml:space="preserve">: lo studente resta iscritto ma non fa più esami né altri eventi di carriera. Sulla carta c’è, nei fatti ha smesso.</w:t>
      </w:r>
    </w:p>
    <w:p>
      <w:pPr>
        <w:pStyle w:val="FirstParagraph"/>
      </w:pPr>
      <w:r>
        <w:rPr>
          <w:bCs/>
          <w:b/>
        </w:rPr>
        <w:t xml:space="preserve">Due prospettive: il sistema e il singolo ateneo.</w:t>
      </w:r>
      <w:r>
        <w:t xml:space="preserve"> </w:t>
      </w:r>
      <w:r>
        <w:t xml:space="preserve">Cosa conta come</w:t>
      </w:r>
      <w:r>
        <w:t xml:space="preserve"> </w:t>
      </w:r>
      <w:r>
        <w:t xml:space="preserve">“</w:t>
      </w:r>
      <w:r>
        <w:t xml:space="preserve">perdita</w:t>
      </w:r>
      <w:r>
        <w:t xml:space="preserve">”</w:t>
      </w:r>
      <w:r>
        <w:t xml:space="preserve"> </w:t>
      </w:r>
      <w:r>
        <w:t xml:space="preserve">dipende da chi guarda.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</w:pP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Sistema universitario (Paese)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Singolo ateneo (UniBG)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Cosa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 lo studente non esca dal</w:t>
            </w:r>
            <w:r>
              <w:t xml:space="preserve"> </w:t>
            </w:r>
            <w:r>
              <w:rPr>
                <w:bCs/>
                <w:b/>
              </w:rPr>
              <w:t xml:space="preserve">circuito universitario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 lo studente non esca dal</w:t>
            </w:r>
            <w:r>
              <w:t xml:space="preserve"> </w:t>
            </w:r>
            <w:r>
              <w:rPr>
                <w:bCs/>
                <w:b/>
              </w:rPr>
              <w:t xml:space="preserve">proprio</w:t>
            </w:r>
            <w:r>
              <w:t xml:space="preserve"> </w:t>
            </w:r>
            <w:r>
              <w:t xml:space="preserve">circuito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Ragioni sociali e culturali: più laureati, capitale umano, crescita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Ragioni di sostenibilità finanziaria: FFO e tasse seguono lo studente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Passaggio ad altro corso dello stesso ateneo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perdita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perdita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Trasferimento ad altro ateneo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perdita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Perdita (le risorse passano a un altro ateneo)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Abbandono degli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Perdita</w:t>
            </w:r>
          </w:p>
        </w:tc>
      </w:tr>
    </w:tbl>
    <w:p>
      <w:pPr>
        <w:pStyle w:val="BodyText"/>
      </w:pPr>
      <w:r>
        <w:t xml:space="preserve">Le due prospettive coincidono quasi sempre, ma non del tutto. Per il Paese un ri-orientamento verso un corso di un altro ateneo è un successo; per UniBG è un’uscita, anche se è la scelta migliore per lo studente. Il nostro modello economico adotta la prospettiva dell’ateneo, ma i servizi (per esempio il ri-orientamento) rispondono anche a quella del sistema: conviene tenerlo presente quando si leggono i risultati.</w:t>
      </w:r>
    </w:p>
    <w:p>
      <w:pPr>
        <w:pStyle w:val="BodyText"/>
      </w:pPr>
      <w:r>
        <w:rPr>
          <w:bCs/>
          <w:b/>
        </w:rPr>
        <w:t xml:space="preserve">Perché conta: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 lo studente</w:t>
      </w:r>
      <w:r>
        <w:t xml:space="preserve">: tempo e denaro spesi senza un titolo, e spesso un’esperienza vissuta come fallimento.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 il territorio</w:t>
      </w:r>
      <w:r>
        <w:t xml:space="preserve">: nella provincia di Bergamo solo il 21,8% dei 25-39enni è laureato, contro il 28,1% della media italiana (Istat-BES, dati citati nel progetto SPEED). In Italia i laureati tra i 25-34enni sono il 28,3%, contro il 47,1% della media OCSE (Il Sole 24 Ore su dati ANVUR). Ridurre gli abbandoni è uno dei modi più diretti per aumentare i laureati.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 l’ateneo</w:t>
      </w:r>
      <w:r>
        <w:t xml:space="preserve">: meno FFO e meno tasse negli anni successivi, indicatori ministeriali peggiori (quelli sulla prosecuzione al II anno e sulla regolarità sono monitorati da MUR e ANVUR), e strutture didattiche dimensionate su studenti che poi spariscono.</w:t>
      </w:r>
    </w:p>
    <w:p>
      <w:pPr>
        <w:pStyle w:val="FirstParagraph"/>
      </w:pPr>
      <w:r>
        <w:t xml:space="preserve">L’abbandono si concentra nel primo anno e ha cause diverse: difficoltà economiche, scelta del corso poco informata, metodo di studio inadeguato, motivazione, lavoro. Per questo i servizi di supporto sono diversi tra loro, e conviene attivarli presto.</w:t>
      </w:r>
    </w:p>
    <w:bookmarkEnd w:id="26"/>
    <w:bookmarkStart w:id="27" w:name="il-progetto-speed"/>
    <w:p>
      <w:pPr>
        <w:pStyle w:val="Heading1"/>
      </w:pPr>
      <w:r>
        <w:t xml:space="preserve">Il progetto SPEED</w:t>
      </w:r>
    </w:p>
    <w:p>
      <w:pPr>
        <w:pStyle w:val="FirstParagraph"/>
      </w:pPr>
      <w:r>
        <w:t xml:space="preserve">SPEED è il progetto di UniBG e dell’Università di Brescia, finanziato da Fondazione CDP, contro l’abbandono al primo anno; chiude il 31 dicembre 2027. Il suo obiettivo dichiarato è portare la prosecuzione al secondo anno di 2 punti percentuali sopra il livello 2020/21.</w:t>
      </w:r>
    </w:p>
    <w:p>
      <w:pPr>
        <w:pStyle w:val="BodyText"/>
      </w:pPr>
      <w:r>
        <w:t xml:space="preserve">Il progetto ha due parti: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 modello statistico di rischio</w:t>
      </w:r>
      <w:r>
        <w:t xml:space="preserve">, che assegna a ogni matricola un punteggio di rischio di abbandono a partire dai dati amministrativi e di carriera.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Una rete di servizi</w:t>
      </w:r>
      <w:r>
        <w:t xml:space="preserve"> </w:t>
      </w:r>
      <w:r>
        <w:t xml:space="preserve">per le matricole, con attenzione a quelle più a rischio:</w:t>
      </w:r>
    </w:p>
    <w:p>
      <w:pPr>
        <w:numPr>
          <w:ilvl w:val="1"/>
          <w:numId w:val="1004"/>
        </w:numPr>
        <w:pStyle w:val="Compact"/>
      </w:pPr>
      <w:r>
        <w:t xml:space="preserve">tutorato alla pari, svolto da studenti senior</w:t>
      </w:r>
    </w:p>
    <w:p>
      <w:pPr>
        <w:numPr>
          <w:ilvl w:val="1"/>
          <w:numId w:val="1004"/>
        </w:numPr>
        <w:pStyle w:val="Compact"/>
      </w:pPr>
      <w:r>
        <w:t xml:space="preserve">formazione sul metodo di studio</w:t>
      </w:r>
    </w:p>
    <w:p>
      <w:pPr>
        <w:numPr>
          <w:ilvl w:val="1"/>
          <w:numId w:val="1004"/>
        </w:numPr>
        <w:pStyle w:val="Compact"/>
      </w:pPr>
      <w:r>
        <w:t xml:space="preserve">mentoring, coaching e ri-orientamento</w:t>
      </w:r>
    </w:p>
    <w:p>
      <w:pPr>
        <w:numPr>
          <w:ilvl w:val="1"/>
          <w:numId w:val="1004"/>
        </w:numPr>
        <w:pStyle w:val="Compact"/>
      </w:pPr>
      <w:r>
        <w:t xml:space="preserve">counseling psicologico</w:t>
      </w:r>
    </w:p>
    <w:p>
      <w:pPr>
        <w:pStyle w:val="FirstParagraph"/>
      </w:pPr>
      <w:r>
        <w:t xml:space="preserve">Una cooperativa contatta gli studenti con telefonate e mail. Gli ostacoli principali emersi finora sono tre: ingaggiare gli studenti a rischio, la qualità dei dati sugli esami e le informative privacy necessarie per usare i dati.</w:t>
      </w:r>
    </w:p>
    <w:p>
      <w:pPr>
        <w:pStyle w:val="BodyText"/>
      </w:pPr>
      <w:r>
        <w:rPr>
          <w:bCs/>
          <w:b/>
        </w:rPr>
        <w:t xml:space="preserve">Cosa manca oggi:</w:t>
      </w:r>
      <w:r>
        <w:t xml:space="preserve"> </w:t>
      </w:r>
      <w:r>
        <w:t xml:space="preserve">una valutazione della</w:t>
      </w:r>
      <w:r>
        <w:t xml:space="preserve"> </w:t>
      </w:r>
      <w:r>
        <w:rPr>
          <w:bCs/>
          <w:b/>
        </w:rPr>
        <w:t xml:space="preserve">sostenibilità economica</w:t>
      </w:r>
      <w:r>
        <w:t xml:space="preserve"> </w:t>
      </w:r>
      <w:r>
        <w:t xml:space="preserve">degli interventi. Quanto costa raggiungere uno studente, e quanto rientra all’ateneo se prosegue? È qui che si inserisce il nostro lavoro.</w:t>
      </w:r>
    </w:p>
    <w:bookmarkEnd w:id="27"/>
    <w:bookmarkStart w:id="28" w:name="il-nostro-lavoro"/>
    <w:p>
      <w:pPr>
        <w:pStyle w:val="Heading1"/>
      </w:pPr>
      <w:r>
        <w:t xml:space="preserve">Il nostro lavoro</w:t>
      </w:r>
    </w:p>
    <w:p>
      <w:pPr>
        <w:pStyle w:val="FirstParagraph"/>
      </w:pPr>
      <w:r>
        <w:t xml:space="preserve">Costruiamo un modello predittivo dell’abbandono su circa 60.000 matricole UniBG, suddivise in coorti per anno di immatricolazione, e lo colleghiamo a una matrice di payoff. Il risultato è una soglia di intervento motivata economicamente, non il classico 0,5.</w:t>
      </w:r>
    </w:p>
    <w:p>
      <w:pPr>
        <w:pStyle w:val="BodyText"/>
      </w:pPr>
      <w:r>
        <w:rPr>
          <w:bCs/>
          <w:b/>
        </w:rPr>
        <w:t xml:space="preserve">I passi: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Dati.</w:t>
      </w:r>
      <w:r>
        <w:t xml:space="preserve"> </w:t>
      </w:r>
      <w:r>
        <w:t xml:space="preserve">Carriere delle matricole di triennali e cicli unici, dai sistemi dell’ateneo: caratteristiche all’ingresso (scuola, voto di diploma, test, fascia ISEE, età, provenienza) ed eventi del primo anno (CFU, esami).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Target.</w:t>
      </w:r>
      <w:r>
        <w:t xml:space="preserve"> </w:t>
      </w:r>
      <w:r>
        <w:t xml:space="preserve">Una sola variabile binaria: abbandono sì/no entro una finestra da definire (per esempio l’iscrizione al II anno), che includa il dropout esplicito e, se misurabile, quello implicito.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Modello.</w:t>
      </w:r>
      <w:r>
        <w:t xml:space="preserve"> </w:t>
      </w:r>
      <w:r>
        <w:t xml:space="preserve">Classificatori a confronto, con validazione temporale: si addestra sulle coorti più vecchie e si testa sulle più recenti, come avverrebbe nell’uso reale.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Matrice di payoff.</w:t>
      </w:r>
      <w:r>
        <w:t xml:space="preserve"> </w:t>
      </w:r>
      <w:r>
        <w:t xml:space="preserve">Ogni cella della matrice di confusione riceve un valore economico.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Soglia e valore.</w:t>
      </w:r>
      <w:r>
        <w:t xml:space="preserve"> </w:t>
      </w:r>
      <w:r>
        <w:t xml:space="preserve">Si sceglie la soglia che massimizza il valore atteso, e si confronta con lo scenario senza modello.</w:t>
      </w:r>
    </w:p>
    <w:p>
      <w:pPr>
        <w:pStyle w:val="FirstParagraph"/>
      </w:pPr>
      <w:r>
        <w:rPr>
          <w:bCs/>
          <w:b/>
        </w:rPr>
        <w:t xml:space="preserve">La matrice di payoff.</w:t>
      </w:r>
      <w:r>
        <w:t xml:space="preserve"> </w:t>
      </w:r>
      <w:r>
        <w:t xml:space="preserve">V = valore per l’ateneo di uno studente che prosegue (FFO + tasse degli anni successivi); C = costo dell’intervento per studente; p = probabilità che l’intervento eviti davvero l’abbandono.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</w:pP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Abbandona davvero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Non abbandona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Previsto a rischio → intervento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· V −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−C (costo sprecato)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Previsto regolare → nessun intervento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−V (perdita non evitata)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Conviene intervenire su uno studente quando la sua probabilità di abbandono supera la soglia: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p</m:t>
              </m:r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Se l’intervento costa poco rispetto al valore dello studente, la soglia è bassa e conviene raggiungere molti studenti; se costa molto, conviene concentrarsi sui casi più a rischio.</w:t>
      </w:r>
    </w:p>
    <w:p>
      <w:pPr>
        <w:pStyle w:val="BodyText"/>
      </w:pPr>
      <w:r>
        <w:rPr>
          <w:bCs/>
          <w:b/>
        </w:rPr>
        <w:t xml:space="preserve">Da dove arrivano i parametri: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</w:t>
      </w:r>
      <w:r>
        <w:t xml:space="preserve">: dalle regole FFO e dalle tasse; lo ricostruiamo in autonomia.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</w:t>
      </w:r>
      <w:r>
        <w:t xml:space="preserve">: dai costi dei servizi SPEED, richiesti all’ufficio che gestisce il progetto.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</w:t>
      </w:r>
      <w:r>
        <w:t xml:space="preserve">: non è noto. Lo trattiamo come parametro e mostriamo i risultati per diversi valori, calcolando anche l’efficacia minima che rende conveniente ogni servizio.</w:t>
      </w:r>
    </w:p>
    <w:p>
      <w:pPr>
        <w:pStyle w:val="FirstParagraph"/>
      </w:pPr>
      <w:r>
        <w:rPr>
          <w:bCs/>
          <w:b/>
        </w:rPr>
        <w:t xml:space="preserve">Cosa non facciamo:</w:t>
      </w:r>
      <w:r>
        <w:t xml:space="preserve"> </w:t>
      </w:r>
      <w:r>
        <w:t xml:space="preserve">non sostituiamo il modello di rischio di SPEED e non stimiamo l’effetto causale dei servizi. Il nostro contributo è il ragionamento costi-benefici sopra la previsione.</w:t>
      </w:r>
    </w:p>
    <w:p>
      <w:pPr>
        <w:pStyle w:val="BodyText"/>
      </w:pPr>
      <w:r>
        <w:rPr>
          <w:bCs/>
          <w:b/>
        </w:rPr>
        <w:t xml:space="preserve">Un principio da tenere fermo:</w:t>
      </w:r>
      <w:r>
        <w:t xml:space="preserve"> </w:t>
      </w:r>
      <w:r>
        <w:t xml:space="preserve">il modello serve a decidere a chi offrire supporto, mai a selezionare o scoraggiare gli studenti a rischio.</w:t>
      </w:r>
    </w:p>
    <w:bookmarkEnd w:id="28"/>
    <w:bookmarkStart w:id="29" w:name="glossario"/>
    <w:p>
      <w:pPr>
        <w:pStyle w:val="Heading1"/>
      </w:pPr>
      <w:r>
        <w:t xml:space="preserve">Glossario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240"/>
        <w:gridCol w:w="468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Termine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Significato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Ministero dell’Università e della Ricerca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ANVUR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Agenzia nazionale che valuta università e ricerca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di Finanziamento Ordinario: il principale finanziamento statale agli atenei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dell’FFO divisa in base agli studenti regolari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premiale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dell’FFO divisa in base ai risultati (ricerca, reclutamento, indicatori)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Corso di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 formativo universitario; 60 CFU = un anno regolare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Studente al primo anno di iscrizione all’università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Matricole dello stesso anno accademico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corso / fuori 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Iscritto entro / oltre la durata normale del corso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Dropout esplicito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Uscita formale dal sistema universitario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Dropout implicito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Iscritto senza più eventi di carriera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Gestionale delle carriere studenti usato da UniBG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Indicatore della situazione economica familiare; determina le tasse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Progetto UniBG-UniBS contro l’abbandono, finanziato da Fondazione CDP</w:t>
            </w:r>
          </w:p>
        </w:tc>
      </w:tr>
    </w:tbl>
    <w:bookmarkEnd w:id="29"/>
    <w:bookmarkStart w:id="34" w:name="fonti"/>
    <w:p>
      <w:pPr>
        <w:pStyle w:val="Heading1"/>
      </w:pPr>
      <w:r>
        <w:t xml:space="preserve">Fonti</w:t>
      </w:r>
    </w:p>
    <w:p>
      <w:pPr>
        <w:numPr>
          <w:ilvl w:val="0"/>
          <w:numId w:val="1007"/>
        </w:numPr>
        <w:pStyle w:val="Compact"/>
      </w:pPr>
      <w:hyperlink r:id="rId23">
        <w:r>
          <w:rPr>
            <w:rStyle w:val="Hyperlink"/>
          </w:rPr>
          <w:t xml:space="preserve">ANVUR – Rapporto 2026 sul sistema della formazione superiore e della ricerca</w:t>
        </w:r>
      </w:hyperlink>
    </w:p>
    <w:p>
      <w:pPr>
        <w:numPr>
          <w:ilvl w:val="0"/>
          <w:numId w:val="1007"/>
        </w:numPr>
        <w:pStyle w:val="Compact"/>
      </w:pPr>
      <w:hyperlink r:id="rId24">
        <w:r>
          <w:rPr>
            <w:rStyle w:val="Hyperlink"/>
          </w:rPr>
          <w:t xml:space="preserve">Tecnica della Scuola – Anvur e la dispersione universitaria: 1 su 4 lascia</w:t>
        </w:r>
      </w:hyperlink>
    </w:p>
    <w:p>
      <w:pPr>
        <w:numPr>
          <w:ilvl w:val="0"/>
          <w:numId w:val="1007"/>
        </w:numPr>
        <w:pStyle w:val="Compact"/>
      </w:pPr>
      <w:hyperlink r:id="rId30">
        <w:r>
          <w:rPr>
            <w:rStyle w:val="Hyperlink"/>
          </w:rPr>
          <w:t xml:space="preserve">IEXS – Abbandono universitario in Italia: il 26,4% lascia entro sei anni</w:t>
        </w:r>
      </w:hyperlink>
    </w:p>
    <w:p>
      <w:pPr>
        <w:numPr>
          <w:ilvl w:val="0"/>
          <w:numId w:val="1007"/>
        </w:numPr>
        <w:pStyle w:val="Compact"/>
      </w:pPr>
      <w:hyperlink r:id="rId31">
        <w:r>
          <w:rPr>
            <w:rStyle w:val="Hyperlink"/>
          </w:rPr>
          <w:t xml:space="preserve">Il Sole 24 Ore – Pochi laureati, tanti abbandoni: la crisi per l’università non è passata</w:t>
        </w:r>
      </w:hyperlink>
    </w:p>
    <w:p>
      <w:pPr>
        <w:numPr>
          <w:ilvl w:val="0"/>
          <w:numId w:val="1007"/>
        </w:numPr>
        <w:pStyle w:val="Compact"/>
      </w:pPr>
      <w:hyperlink r:id="rId32">
        <w:r>
          <w:rPr>
            <w:rStyle w:val="Hyperlink"/>
          </w:rPr>
          <w:t xml:space="preserve">Il Sole 24 Ore – Il contrasto agli abbandoni universitari resta una sfida ancora aperta</w:t>
        </w:r>
      </w:hyperlink>
    </w:p>
    <w:p>
      <w:pPr>
        <w:numPr>
          <w:ilvl w:val="0"/>
          <w:numId w:val="1007"/>
        </w:numPr>
        <w:pStyle w:val="Compact"/>
      </w:pPr>
      <w:hyperlink r:id="rId25">
        <w:r>
          <w:rPr>
            <w:rStyle w:val="Hyperlink"/>
          </w:rPr>
          <w:t xml:space="preserve">Tgcom24 – 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strage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delle matricole: oltre il 15% lascia o cambia corso al primo anno</w:t>
        </w:r>
      </w:hyperlink>
    </w:p>
    <w:p>
      <w:pPr>
        <w:numPr>
          <w:ilvl w:val="0"/>
          <w:numId w:val="1007"/>
        </w:numPr>
        <w:pStyle w:val="Compact"/>
      </w:pPr>
      <w:hyperlink r:id="rId21">
        <w:r>
          <w:rPr>
            <w:rStyle w:val="Hyperlink"/>
          </w:rPr>
          <w:t xml:space="preserve">Il Sole 24 Ore – FFO 2026</w:t>
        </w:r>
      </w:hyperlink>
    </w:p>
    <w:p>
      <w:pPr>
        <w:numPr>
          <w:ilvl w:val="0"/>
          <w:numId w:val="1007"/>
        </w:numPr>
        <w:pStyle w:val="Compact"/>
      </w:pPr>
      <w:hyperlink r:id="rId33">
        <w:r>
          <w:rPr>
            <w:rStyle w:val="Hyperlink"/>
          </w:rPr>
          <w:t xml:space="preserve">Parere CNSU sullo schema FFO 2026 (quota costo standard al 38%)</w:t>
        </w:r>
      </w:hyperlink>
    </w:p>
    <w:p>
      <w:pPr>
        <w:numPr>
          <w:ilvl w:val="0"/>
          <w:numId w:val="1007"/>
        </w:numPr>
        <w:pStyle w:val="Compact"/>
      </w:pPr>
      <w:r>
        <w:t xml:space="preserve">Progetto SPEED: proposta a Fondazione CDP e Quadro Logico (documenti interni; dati Istat-BES e baseline 2020/21)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customStyle="1" w:styleId="Definition" w:type="paragraph">
    <w:name w:val="Definition"/>
    <w:basedOn w:val="Normal"/>
    <w:rPr>
      <w:rFonts w:ascii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</w:rPr>
  </w:style>
  <w:style w:customStyle="1" w:styleId="ImageCaption" w:type="paragraph">
    <w:name w:val="Image Caption"/>
    <w:basedOn w:val="Caption"/>
    <w:rPr>
      <w:rFonts w:ascii="Calibri" w:hAnsi="Calibri"/>
    </w:rPr>
  </w:style>
  <w:style w:customStyle="1" w:styleId="Figure" w:type="paragraph">
    <w:name w:val="Figure"/>
    <w:basedOn w:val="Normal"/>
    <w:rPr>
      <w:rFonts w:ascii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hyperlink" Target="https://www.anvur.it/en/news-and-events/anvur-publishes-2026-report-higher-education-and-research-system" TargetMode="External"/><Relationship Id="rId33" Type="http://schemas.openxmlformats.org/officeDocument/2006/relationships/hyperlink" Target="https://www.cnsu.mur.gov.it/sites/cnsu/files/2026-07/Parere%20CNSU%20FFO%202026%20prot.%20n.10318%20del%2023-07-2026.pdf" TargetMode="External"/><Relationship Id="rId30" Type="http://schemas.openxmlformats.org/officeDocument/2006/relationships/hyperlink" Target="https://www.iexs.it/2026/09/10/abbandono-universitario-in-italia-il-264-lascia-entro-sei-anni/" TargetMode="External"/><Relationship Id="rId32" Type="http://schemas.openxmlformats.org/officeDocument/2006/relationships/hyperlink" Target="https://www.ilsole24ore.com/art/il-contrasto-abbandoni-universitari-resta-sfida-ancora-aperta-AEPcgdDC" TargetMode="External"/><Relationship Id="rId21" Type="http://schemas.openxmlformats.org/officeDocument/2006/relationships/hyperlink" Target="https://www.ilsole24ore.com/art/nel-2026-fondo-universita-941-miliardi-254-premiali-AJdnF7X" TargetMode="External"/><Relationship Id="rId31" Type="http://schemas.openxmlformats.org/officeDocument/2006/relationships/hyperlink" Target="https://www.ilsole24ore.com/art/pochi-laureati-tanti-abbandoni-crisi-l-universita-non-e-passata-AEW8rsmD" TargetMode="External"/><Relationship Id="rId24" Type="http://schemas.openxmlformats.org/officeDocument/2006/relationships/hyperlink" Target="https://www.tecnicadellascuola.it/quali-indicazioni-per-i-maturandi-che-entrano-alluniversita-anvur-e-la-dispersione-universitaria-1-su-4-lascia" TargetMode="External"/><Relationship Id="rId25" Type="http://schemas.openxmlformats.org/officeDocument/2006/relationships/hyperlink" Target="https://www.tgcom24.mediaset.it/skuola/la-strage-delle-matricole-oltre-il-15-fugge-o-cambia-corso-gia-al-primo-anno-di-universita_111714523-202602k.shtml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www.anvur.it/en/news-and-events/anvur-publishes-2026-report-higher-education-and-research-system" TargetMode="External"/><Relationship Id="rId33" Type="http://schemas.openxmlformats.org/officeDocument/2006/relationships/hyperlink" Target="https://www.cnsu.mur.gov.it/sites/cnsu/files/2026-07/Parere%20CNSU%20FFO%202026%20prot.%20n.10318%20del%2023-07-2026.pdf" TargetMode="External"/><Relationship Id="rId30" Type="http://schemas.openxmlformats.org/officeDocument/2006/relationships/hyperlink" Target="https://www.iexs.it/2026/09/10/abbandono-universitario-in-italia-il-264-lascia-entro-sei-anni/" TargetMode="External"/><Relationship Id="rId32" Type="http://schemas.openxmlformats.org/officeDocument/2006/relationships/hyperlink" Target="https://www.ilsole24ore.com/art/il-contrasto-abbandoni-universitari-resta-sfida-ancora-aperta-AEPcgdDC" TargetMode="External"/><Relationship Id="rId21" Type="http://schemas.openxmlformats.org/officeDocument/2006/relationships/hyperlink" Target="https://www.ilsole24ore.com/art/nel-2026-fondo-universita-941-miliardi-254-premiali-AJdnF7X" TargetMode="External"/><Relationship Id="rId31" Type="http://schemas.openxmlformats.org/officeDocument/2006/relationships/hyperlink" Target="https://www.ilsole24ore.com/art/pochi-laureati-tanti-abbandoni-crisi-l-universita-non-e-passata-AEW8rsmD" TargetMode="External"/><Relationship Id="rId24" Type="http://schemas.openxmlformats.org/officeDocument/2006/relationships/hyperlink" Target="https://www.tecnicadellascuola.it/quali-indicazioni-per-i-maturandi-che-entrano-alluniversita-anvur-e-la-dispersione-universitaria-1-su-4-lascia" TargetMode="External"/><Relationship Id="rId25" Type="http://schemas.openxmlformats.org/officeDocument/2006/relationships/hyperlink" Target="https://www.tgcom24.mediaset.it/skuola/la-strage-delle-matricole-oltre-il-15-fugge-o-cambia-corso-gia-al-primo-anno-di-universita_111714523-202602k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Dispersione universitaria: il contesto del nostro progetto</dc:title>
  <dc:creator>Francesco Peraro</dc:creator>
  <dc:language>it-IT</dc:language>
  <cp:keywords/>
  <dcterms:created xsi:type="dcterms:W3CDTF">2026-09-28T07:51:42Z</dcterms:created>
  <dcterms:modified xsi:type="dcterms:W3CDTF">2026-09-28T07:51:42Z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settembre 2026</vt:lpwstr>
  </property>
</Properties>
</file>