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t xml:space="preserve">Playwright Automated Test Results &amp; Verification Proof</w:t>
      </w:r>
    </w:p>
    <w:p>
      <w:pPr>
        <w:spacing w:after="120"/>
        <w:jc w:val="center"/>
      </w:pPr>
      <w:r>
        <w:rPr>
          <w:b/>
          <w:bCs/>
          <w:color w:val="4F46E5"/>
          <w:sz w:val="24"/>
          <w:szCs w:val="24"/>
        </w:rPr>
        <w:t xml:space="preserve">SavazAI Agent Harness Orchestration Platform — End-to-End Verification</w:t>
      </w:r>
    </w:p>
    <w:p>
      <w:pPr>
        <w:spacing w:after="300"/>
        <w:jc w:val="center"/>
      </w:pPr>
      <w:r>
        <w:rPr>
          <w:color w:val="6B7280"/>
          <w:sz w:val="18"/>
          <w:szCs w:val="18"/>
        </w:rPr>
        <w:t xml:space="preserve">Execution Date: October 28, 2026 | Environment: Localhost Docker (Ports 3055, 3056, 5622)</w:t>
      </w:r>
    </w:p>
    <w:p>
      <w:pPr>
        <w:pStyle w:val="Heading1"/>
        <w:spacing w:after="140" w:before="200"/>
      </w:pPr>
      <w:r>
        <w:t xml:space="preserve">1. Executive Summary &amp; Verification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257"/>
        <w:gridCol w:w="1354"/>
        <w:gridCol w:w="1805"/>
      </w:tblGrid>
      <w:tr>
        <w:tc>
          <w:tcPr>
            <w:tcW w:type="pct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Test ID &amp; Objective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Target Area</w:t>
            </w:r>
          </w:p>
        </w:tc>
        <w:tc>
          <w:tcPr>
            <w:tcW w:type="pct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Result Status</w:t>
            </w:r>
          </w:p>
        </w:tc>
        <w:tc>
          <w:tcPr>
            <w:tcW w:type="pct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  <w:color w:val="111827"/>
                <w:sz w:val="22"/>
                <w:szCs w:val="22"/>
              </w:rPr>
              <w:t xml:space="preserve">Assertion Verdict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TEST-01: Governance Categorized Navigation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Governance Hub (/admin/governance)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Zero tab wrapping; 3 categorized groups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TEST-02: Roles &amp; Access Profiles Default View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 Admin (/admin/users)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Defaulted to List View on initial load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TEST-03: Multi-Role User Directory Filter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 Admin (/admin/users)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Sujatha A matched &amp; displayed under Auditor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TEST-04: Agent Builder Hub Default View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Capability Studio (/studio)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Defaulted to List Table View on mount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TEST-05: Agent Inspector Dialog Dimensions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Agent Drawer (/studio)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Opened in expanded width (max-w-5xl)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TEST-06: Knowledge Tab Table Parity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Agent Inspector (/studio)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Skills &amp; OKF structured tables with switches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TEST-07: Dual-Theme Contrast Compliance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Platform Surfaces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PASSED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Verified across Dark &amp; Light modes</w:t>
            </w:r>
          </w:p>
        </w:tc>
      </w:tr>
    </w:tbl>
    <w:p>
      <w:pPr>
        <w:pStyle w:val="Heading2"/>
        <w:spacing w:after="120" w:before="280"/>
      </w:pPr>
      <w:r>
        <w:t xml:space="preserve">2. Governance Hub Categorized Navigation Rail (Dark Mode)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1: Replaced horizontal wrapped tab strip with a scalable 3-category sub-navigation rail (Analytics &amp; Controls, Operational Audit Ledgers, Asset Version Control). All 9 reports remain accessible without overflowing or occluding controls.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3. Governance Hub Categorized Navigation Rail (Light Mode)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1 dual-theme contrast: Verified WCAG AA contrast compliance, active report indicators, and high-contrast typography under Light Mode.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4. User Admin: Roles &amp; Access Profiles Defaulting to List View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2.1: Navigating to Roles &amp; Access Profiles now initializes in List View mode by default, cleanly presenting all 9 role profiles, IDs, capabilities ratios, and assigned operator badges.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5. User Admin: Multi-Role Filter Resolution for Assigned Operators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2.2: Clicking '1 Users Assigned' on the Auditor role successfully filters and resolves users who hold multiple assigned roles (e.g. Sujatha A holding Studio Flow Architect + Auditor), eliminating the previous false 'No active users matching criteria' defect.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6. Capability Studio: Agent Builder Hub Defaulting to High-Density List Table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3: Navigating to the Universal Agent Catalog &amp; Builder Hub now initializes directly into the High-Density List Table view with sorting, tool counts, origin flow indicators, and quick action buttons.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7. Agent Inspector: Default Expanded Dimensions &amp; Knowledge Tab UX Parity (Dark Mode)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4: Launching Agent Inspector opens directly in expanded width (max-w-5xl/max-w-6xl) without manual user intervention. The Knowledge Tab features two structured data tables mirroring the MCP Servers tab with high-contrast toggles, search inputs, bulk actions, and category badges.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8. Agent Inspector: Knowledge Tab UX Parity (Light Mode)</w:t>
      </w:r>
    </w:p>
    <w:p>
      <w:pPr>
        <w:spacing w:after="160"/>
      </w:pPr>
      <w:r>
        <w:rPr>
          <w:color w:val="4B5563"/>
          <w:sz w:val="20"/>
          <w:szCs w:val="20"/>
        </w:rPr>
        <w:t xml:space="preserve">Verification of Workstream 4 dual-theme compliance: High-contrast switches, clean background tokens, and semantic styling validated under Light Mode.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e8f2698b774ac6992a77fee1fff0e6681a3c6b7.png"/><Relationship Id="rId8" Type="http://schemas.openxmlformats.org/officeDocument/2006/relationships/image" Target="media/1bd0a97d8a84e271053d511b1c62f5d36a0faed4.png"/><Relationship Id="rId9" Type="http://schemas.openxmlformats.org/officeDocument/2006/relationships/image" Target="media/3719bbced572e67c8c2adbc04968bba9cee0762e.png"/><Relationship Id="rId10" Type="http://schemas.openxmlformats.org/officeDocument/2006/relationships/image" Target="media/de05724c8cacb5549d9de800a69ce3efd5ef4781.png"/><Relationship Id="rId11" Type="http://schemas.openxmlformats.org/officeDocument/2006/relationships/image" Target="media/b4ba24005000fdfe28e45e6aa16f351997fcafb7.png"/><Relationship Id="rId12" Type="http://schemas.openxmlformats.org/officeDocument/2006/relationships/image" Target="media/71f2a9176dfb3a1189ae0a8a6377556901d7c0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2026-10-28T07:12:01.193Z</dcterms:created>
  <dcterms:modified xsi:type="dcterms:W3CDTF">2026-10-28T07:12:01.193Z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