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0A2C" w14:textId="2FCCEE12" w:rsidR="008E494F" w:rsidRDefault="00000000" w:rsidP="00973255">
      <w:pPr>
        <w:keepNext/>
        <w:keepLines/>
        <w:snapToGrid w:val="0"/>
        <w:spacing w:after="100"/>
        <w:jc w:val="center"/>
      </w:pPr>
      <w:r>
        <w:rPr>
          <w:rFonts w:ascii="Times New Roman" w:eastAsia="標楷體" w:hAnsi="Times New Roman"/>
          <w:b/>
          <w:color w:val="000000"/>
        </w:rPr>
        <w:t>救「舊」我的書：</w:t>
      </w:r>
      <w:r w:rsidR="00FF2BCC" w:rsidRPr="00FF2BCC">
        <w:rPr>
          <w:rFonts w:ascii="Times New Roman" w:eastAsia="標楷體" w:hAnsi="Times New Roman"/>
          <w:b/>
          <w:color w:val="000000"/>
        </w:rPr>
        <w:t xml:space="preserve">AI </w:t>
      </w:r>
      <w:r w:rsidR="00FF2BCC" w:rsidRPr="00FF2BCC">
        <w:rPr>
          <w:rFonts w:ascii="Times New Roman" w:eastAsia="標楷體" w:hAnsi="Times New Roman"/>
          <w:b/>
          <w:color w:val="000000"/>
        </w:rPr>
        <w:t>智慧服務</w:t>
      </w:r>
      <w:r w:rsidR="00FF2BCC" w:rsidRPr="00FF2BCC">
        <w:rPr>
          <w:rFonts w:ascii="Times New Roman" w:eastAsia="標楷體" w:hAnsi="Times New Roman"/>
          <w:b/>
          <w:color w:val="000000"/>
        </w:rPr>
        <w:t xml:space="preserve"> × App </w:t>
      </w:r>
      <w:r w:rsidR="00FF2BCC" w:rsidRPr="00FF2BCC">
        <w:rPr>
          <w:rFonts w:ascii="Times New Roman" w:eastAsia="標楷體" w:hAnsi="Times New Roman"/>
          <w:b/>
          <w:color w:val="000000"/>
        </w:rPr>
        <w:t>交易平台</w:t>
      </w:r>
      <w:r w:rsidR="00FF2BCC" w:rsidRPr="00FF2BCC">
        <w:rPr>
          <w:rFonts w:ascii="Times New Roman" w:eastAsia="標楷體" w:hAnsi="Times New Roman"/>
          <w:b/>
          <w:color w:val="000000"/>
        </w:rPr>
        <w:t xml:space="preserve"> × IoT </w:t>
      </w:r>
      <w:r w:rsidR="00FF2BCC" w:rsidRPr="00FF2BCC">
        <w:rPr>
          <w:rFonts w:ascii="Times New Roman" w:eastAsia="標楷體" w:hAnsi="Times New Roman"/>
          <w:b/>
          <w:color w:val="000000"/>
        </w:rPr>
        <w:t>智慧書櫃</w:t>
      </w:r>
    </w:p>
    <w:p w14:paraId="32981E2A" w14:textId="63D605F9" w:rsidR="008E494F" w:rsidRDefault="00000000" w:rsidP="00973255">
      <w:pPr>
        <w:keepNext/>
        <w:keepLines/>
        <w:snapToGrid w:val="0"/>
        <w:spacing w:after="60"/>
        <w:jc w:val="center"/>
      </w:pPr>
      <w:r>
        <w:rPr>
          <w:rFonts w:ascii="Times New Roman" w:eastAsia="標楷體" w:hAnsi="Times New Roman"/>
          <w:color w:val="000000"/>
        </w:rPr>
        <w:t>許凱俊、陳秉鴻、連卉媗、江芸萱</w:t>
      </w:r>
    </w:p>
    <w:p w14:paraId="10CA057B" w14:textId="77777777" w:rsidR="008E494F" w:rsidRDefault="00000000" w:rsidP="00973255">
      <w:pPr>
        <w:keepNext/>
        <w:keepLines/>
        <w:snapToGrid w:val="0"/>
        <w:spacing w:after="60"/>
        <w:jc w:val="center"/>
      </w:pPr>
      <w:r>
        <w:rPr>
          <w:rFonts w:ascii="Times New Roman" w:eastAsia="標楷體" w:hAnsi="Times New Roman"/>
          <w:color w:val="000000"/>
        </w:rPr>
        <w:t>國立臺北商業大學資訊管理系</w:t>
      </w:r>
    </w:p>
    <w:p w14:paraId="3140F974" w14:textId="0AAF9F39" w:rsidR="008E494F" w:rsidRDefault="00000000" w:rsidP="00973255">
      <w:pPr>
        <w:keepNext/>
        <w:keepLines/>
        <w:snapToGrid w:val="0"/>
        <w:spacing w:after="40"/>
        <w:jc w:val="center"/>
      </w:pPr>
      <w:r>
        <w:rPr>
          <w:rFonts w:ascii="Times New Roman" w:eastAsia="標楷體" w:hAnsi="Times New Roman"/>
          <w:color w:val="000000"/>
        </w:rPr>
        <w:t>許凱俊</w:t>
      </w:r>
      <w:r>
        <w:rPr>
          <w:rFonts w:ascii="Times New Roman" w:eastAsia="標楷體" w:hAnsi="Times New Roman"/>
          <w:color w:val="000000"/>
        </w:rPr>
        <w:t>____________</w:t>
      </w:r>
      <w:r>
        <w:rPr>
          <w:rFonts w:ascii="Times New Roman" w:eastAsia="標楷體" w:hAnsi="Times New Roman"/>
          <w:color w:val="000000"/>
        </w:rPr>
        <w:t>；陳秉鴻</w:t>
      </w:r>
      <w:r>
        <w:rPr>
          <w:rFonts w:ascii="Times New Roman" w:eastAsia="標楷體" w:hAnsi="Times New Roman"/>
          <w:color w:val="000000"/>
        </w:rPr>
        <w:t>____________</w:t>
      </w:r>
    </w:p>
    <w:p w14:paraId="24AEB2B4" w14:textId="12A2CD6E" w:rsidR="008E494F" w:rsidRDefault="00000000" w:rsidP="00973255">
      <w:pPr>
        <w:keepNext/>
        <w:keepLines/>
        <w:snapToGrid w:val="0"/>
        <w:spacing w:after="100"/>
        <w:jc w:val="center"/>
      </w:pPr>
      <w:r>
        <w:rPr>
          <w:rFonts w:ascii="Times New Roman" w:eastAsia="標楷體" w:hAnsi="Times New Roman"/>
          <w:color w:val="000000"/>
        </w:rPr>
        <w:t>連卉媗</w:t>
      </w:r>
      <w:r>
        <w:rPr>
          <w:rFonts w:ascii="Times New Roman" w:eastAsia="標楷體" w:hAnsi="Times New Roman"/>
          <w:color w:val="000000"/>
        </w:rPr>
        <w:t>____________</w:t>
      </w:r>
      <w:r>
        <w:rPr>
          <w:rFonts w:ascii="Times New Roman" w:eastAsia="標楷體" w:hAnsi="Times New Roman"/>
          <w:color w:val="000000"/>
        </w:rPr>
        <w:t>；江芸萱</w:t>
      </w:r>
      <w:r>
        <w:rPr>
          <w:rFonts w:ascii="Times New Roman" w:eastAsia="標楷體" w:hAnsi="Times New Roman"/>
          <w:color w:val="000000"/>
        </w:rPr>
        <w:t>____________</w:t>
      </w:r>
    </w:p>
    <w:p w14:paraId="5D0A7BE1" w14:textId="77777777" w:rsidR="008E494F" w:rsidRDefault="00000000">
      <w:pPr>
        <w:keepNext/>
        <w:keepLines/>
        <w:snapToGrid w:val="0"/>
        <w:spacing w:after="100"/>
      </w:pPr>
      <w:r>
        <w:rPr>
          <w:rFonts w:ascii="Times New Roman" w:eastAsia="標楷體" w:hAnsi="Times New Roman"/>
          <w:b/>
          <w:color w:val="000000"/>
        </w:rPr>
        <w:t xml:space="preserve">Extended Abstract </w:t>
      </w:r>
      <w:r>
        <w:rPr>
          <w:rFonts w:ascii="Times New Roman" w:eastAsia="標楷體" w:hAnsi="Times New Roman"/>
          <w:b/>
          <w:color w:val="000000"/>
        </w:rPr>
        <w:t>延伸摘要</w:t>
      </w:r>
    </w:p>
    <w:p w14:paraId="763F546E" w14:textId="77777777" w:rsidR="008E494F" w:rsidRDefault="00000000">
      <w:pPr>
        <w:keepLines/>
        <w:snapToGrid w:val="0"/>
        <w:spacing w:after="140"/>
      </w:pPr>
      <w:r>
        <w:rPr>
          <w:rFonts w:ascii="Times New Roman" w:eastAsia="標楷體" w:hAnsi="Times New Roman"/>
          <w:color w:val="000000"/>
        </w:rPr>
        <w:t>關鍵字：循環經濟、二手書交易、智慧書櫃、物聯網、人工智慧</w:t>
      </w:r>
    </w:p>
    <w:p w14:paraId="7696FD2A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1. </w:t>
      </w:r>
      <w:r>
        <w:rPr>
          <w:rFonts w:ascii="Times New Roman" w:eastAsia="標楷體" w:hAnsi="Times New Roman"/>
          <w:b/>
          <w:color w:val="000000"/>
        </w:rPr>
        <w:t>研究背景</w:t>
      </w:r>
    </w:p>
    <w:p w14:paraId="197B222E" w14:textId="042A0B00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校園教科書與一般書籍在使用後經常閒置，二手交易卻受到書況資訊不透明、面交時間難配合及寄送作業繁瑣等限制。既有寄賣平台如</w:t>
      </w:r>
      <w:r>
        <w:rPr>
          <w:rFonts w:ascii="Times New Roman" w:eastAsia="標楷體" w:hAnsi="Times New Roman"/>
          <w:color w:val="000000"/>
        </w:rPr>
        <w:t>TAAZE</w:t>
      </w:r>
      <w:r>
        <w:rPr>
          <w:rFonts w:ascii="Times New Roman" w:eastAsia="標楷體" w:hAnsi="Times New Roman"/>
          <w:color w:val="000000"/>
        </w:rPr>
        <w:t>讀冊生活，由平台標定書況，賣家須先將書籍打包寄送；此模式提供集中處理服務，但仍需要物流交付。本研究以校園書籍循環為應用情境，探討如何整合數位交易與就近自助存取，降低書籍再次流通的操作門檻。</w:t>
      </w:r>
    </w:p>
    <w:p w14:paraId="23DB042C" w14:textId="77777777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團隊進行「二手書籍交易行為與市場需求調查」，回收</w:t>
      </w:r>
      <w:r>
        <w:rPr>
          <w:rFonts w:ascii="Times New Roman" w:eastAsia="標楷體" w:hAnsi="Times New Roman"/>
          <w:color w:val="000000"/>
        </w:rPr>
        <w:t>500</w:t>
      </w:r>
      <w:r>
        <w:rPr>
          <w:rFonts w:ascii="Times New Roman" w:eastAsia="標楷體" w:hAnsi="Times New Roman"/>
          <w:color w:val="000000"/>
        </w:rPr>
        <w:t>份問卷，排除重複填答後取得</w:t>
      </w:r>
      <w:r>
        <w:rPr>
          <w:rFonts w:ascii="Times New Roman" w:eastAsia="標楷體" w:hAnsi="Times New Roman"/>
          <w:color w:val="000000"/>
        </w:rPr>
        <w:t>498</w:t>
      </w:r>
      <w:r>
        <w:rPr>
          <w:rFonts w:ascii="Times New Roman" w:eastAsia="標楷體" w:hAnsi="Times New Roman"/>
          <w:color w:val="000000"/>
        </w:rPr>
        <w:t>份有效樣本。受訪者以</w:t>
      </w:r>
      <w:r>
        <w:rPr>
          <w:rFonts w:ascii="Times New Roman" w:eastAsia="標楷體" w:hAnsi="Times New Roman"/>
          <w:color w:val="000000"/>
        </w:rPr>
        <w:t>21</w:t>
      </w:r>
      <w:r>
        <w:rPr>
          <w:rFonts w:ascii="Times New Roman" w:eastAsia="標楷體" w:hAnsi="Times New Roman"/>
          <w:color w:val="000000"/>
        </w:rPr>
        <w:t>～</w:t>
      </w:r>
      <w:r>
        <w:rPr>
          <w:rFonts w:ascii="Times New Roman" w:eastAsia="標楷體" w:hAnsi="Times New Roman"/>
          <w:color w:val="000000"/>
        </w:rPr>
        <w:t>25</w:t>
      </w:r>
      <w:r>
        <w:rPr>
          <w:rFonts w:ascii="Times New Roman" w:eastAsia="標楷體" w:hAnsi="Times New Roman"/>
          <w:color w:val="000000"/>
        </w:rPr>
        <w:t>歲及</w:t>
      </w:r>
      <w:r>
        <w:rPr>
          <w:rFonts w:ascii="Times New Roman" w:eastAsia="標楷體" w:hAnsi="Times New Roman"/>
          <w:color w:val="000000"/>
        </w:rPr>
        <w:t>20</w:t>
      </w:r>
      <w:r>
        <w:rPr>
          <w:rFonts w:ascii="Times New Roman" w:eastAsia="標楷體" w:hAnsi="Times New Roman"/>
          <w:color w:val="000000"/>
        </w:rPr>
        <w:t>歲以下為主，合計</w:t>
      </w:r>
      <w:r>
        <w:rPr>
          <w:rFonts w:ascii="Times New Roman" w:eastAsia="標楷體" w:hAnsi="Times New Roman"/>
          <w:color w:val="000000"/>
        </w:rPr>
        <w:t>79.5%</w:t>
      </w:r>
      <w:r>
        <w:rPr>
          <w:rFonts w:ascii="Times New Roman" w:eastAsia="標楷體" w:hAnsi="Times New Roman"/>
          <w:color w:val="000000"/>
        </w:rPr>
        <w:t>；問卷顯示交易安全、時間協調與包裝寄送是主要障礙，亦對智慧書櫃與書況照片呈現使用意願</w:t>
      </w:r>
      <w:r>
        <w:rPr>
          <w:rFonts w:ascii="Times New Roman" w:eastAsia="標楷體" w:hAnsi="Times New Roman"/>
          <w:color w:val="000000"/>
        </w:rPr>
        <w:t>[1]</w:t>
      </w:r>
      <w:r>
        <w:rPr>
          <w:rFonts w:ascii="Times New Roman" w:eastAsia="標楷體" w:hAnsi="Times New Roman"/>
          <w:color w:val="000000"/>
        </w:rPr>
        <w:t>。據此建置「救『舊』我的書」原型，以</w:t>
      </w:r>
      <w:r>
        <w:rPr>
          <w:rFonts w:ascii="Times New Roman" w:eastAsia="標楷體" w:hAnsi="Times New Roman"/>
          <w:color w:val="000000"/>
        </w:rPr>
        <w:t>ISBN</w:t>
      </w:r>
      <w:r>
        <w:rPr>
          <w:rFonts w:ascii="Times New Roman" w:eastAsia="標楷體" w:hAnsi="Times New Roman"/>
          <w:color w:val="000000"/>
        </w:rPr>
        <w:t>查詢與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輔助上架、書櫃非同步交付及驗收後撥款，回應上述需求。</w:t>
      </w:r>
    </w:p>
    <w:p w14:paraId="243BCE13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2. </w:t>
      </w:r>
      <w:r>
        <w:rPr>
          <w:rFonts w:ascii="Times New Roman" w:eastAsia="標楷體" w:hAnsi="Times New Roman"/>
          <w:b/>
          <w:color w:val="000000"/>
        </w:rPr>
        <w:t>研究方法</w:t>
      </w:r>
    </w:p>
    <w:p w14:paraId="255D6A53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2.1 </w:t>
      </w:r>
      <w:r>
        <w:rPr>
          <w:rFonts w:ascii="Times New Roman" w:eastAsia="標楷體" w:hAnsi="Times New Roman"/>
          <w:b/>
          <w:color w:val="000000"/>
        </w:rPr>
        <w:t>需求導向的系統與硬體整合</w:t>
      </w:r>
    </w:p>
    <w:p w14:paraId="0BC4A735" w14:textId="1B79193B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依需求調查建立交易流程與功能模型，再以</w:t>
      </w:r>
      <w:r>
        <w:rPr>
          <w:rFonts w:ascii="Times New Roman" w:eastAsia="標楷體" w:hAnsi="Times New Roman"/>
          <w:color w:val="000000"/>
        </w:rPr>
        <w:t>Flutter</w:t>
      </w:r>
      <w:r>
        <w:rPr>
          <w:rFonts w:ascii="Times New Roman" w:eastAsia="標楷體" w:hAnsi="Times New Roman"/>
          <w:color w:val="000000"/>
        </w:rPr>
        <w:t>開發</w:t>
      </w:r>
      <w:r>
        <w:rPr>
          <w:rFonts w:ascii="Times New Roman" w:eastAsia="標楷體" w:hAnsi="Times New Roman"/>
          <w:color w:val="000000"/>
        </w:rPr>
        <w:t>iOS</w:t>
      </w:r>
      <w:r>
        <w:rPr>
          <w:rFonts w:ascii="Times New Roman" w:eastAsia="標楷體" w:hAnsi="Times New Roman"/>
          <w:color w:val="000000"/>
        </w:rPr>
        <w:t>及</w:t>
      </w:r>
      <w:r>
        <w:rPr>
          <w:rFonts w:ascii="Times New Roman" w:eastAsia="標楷體" w:hAnsi="Times New Roman"/>
          <w:color w:val="000000"/>
        </w:rPr>
        <w:t>Android</w:t>
      </w:r>
      <w:r>
        <w:rPr>
          <w:rFonts w:ascii="Times New Roman" w:eastAsia="標楷體" w:hAnsi="Times New Roman"/>
          <w:color w:val="000000"/>
        </w:rPr>
        <w:t>行動</w:t>
      </w:r>
      <w:r>
        <w:rPr>
          <w:rFonts w:ascii="Times New Roman" w:eastAsia="標楷體" w:hAnsi="Times New Roman"/>
          <w:color w:val="000000"/>
        </w:rPr>
        <w:t>App</w:t>
      </w:r>
      <w:r>
        <w:rPr>
          <w:rFonts w:ascii="Times New Roman" w:eastAsia="標楷體" w:hAnsi="Times New Roman"/>
          <w:color w:val="000000"/>
        </w:rPr>
        <w:t>，</w:t>
      </w:r>
      <w:r>
        <w:rPr>
          <w:rFonts w:ascii="Times New Roman" w:eastAsia="標楷體" w:hAnsi="Times New Roman"/>
          <w:color w:val="000000"/>
        </w:rPr>
        <w:t>Node.js</w:t>
      </w:r>
      <w:r>
        <w:rPr>
          <w:rFonts w:ascii="Times New Roman" w:eastAsia="標楷體" w:hAnsi="Times New Roman"/>
          <w:color w:val="000000"/>
        </w:rPr>
        <w:t>／</w:t>
      </w:r>
      <w:r>
        <w:rPr>
          <w:rFonts w:ascii="Times New Roman" w:eastAsia="標楷體" w:hAnsi="Times New Roman"/>
          <w:color w:val="000000"/>
        </w:rPr>
        <w:t>Express</w:t>
      </w:r>
      <w:r>
        <w:rPr>
          <w:rFonts w:ascii="Times New Roman" w:eastAsia="標楷體" w:hAnsi="Times New Roman"/>
          <w:color w:val="000000"/>
        </w:rPr>
        <w:t>提供後端</w:t>
      </w:r>
      <w:r>
        <w:rPr>
          <w:rFonts w:ascii="Times New Roman" w:eastAsia="標楷體" w:hAnsi="Times New Roman"/>
          <w:color w:val="000000"/>
        </w:rPr>
        <w:t>API</w:t>
      </w:r>
      <w:r>
        <w:rPr>
          <w:rFonts w:ascii="Times New Roman" w:eastAsia="標楷體" w:hAnsi="Times New Roman"/>
          <w:color w:val="000000"/>
        </w:rPr>
        <w:t>，</w:t>
      </w:r>
      <w:r>
        <w:rPr>
          <w:rFonts w:ascii="Times New Roman" w:eastAsia="標楷體" w:hAnsi="Times New Roman"/>
          <w:color w:val="000000"/>
        </w:rPr>
        <w:t>MariaDB</w:t>
      </w:r>
      <w:r>
        <w:rPr>
          <w:rFonts w:ascii="Times New Roman" w:eastAsia="標楷體" w:hAnsi="Times New Roman"/>
          <w:color w:val="000000"/>
        </w:rPr>
        <w:t>保存書籍、訂單與書櫃狀態，</w:t>
      </w:r>
      <w:r>
        <w:rPr>
          <w:rFonts w:ascii="Times New Roman" w:eastAsia="標楷體" w:hAnsi="Times New Roman"/>
          <w:color w:val="000000"/>
        </w:rPr>
        <w:t>Socket.IO</w:t>
      </w:r>
      <w:r>
        <w:rPr>
          <w:rFonts w:ascii="Times New Roman" w:eastAsia="標楷體" w:hAnsi="Times New Roman"/>
          <w:color w:val="000000"/>
        </w:rPr>
        <w:t>支援即時訊息與作業狀態推送。管理後台整合於</w:t>
      </w:r>
      <w:r>
        <w:rPr>
          <w:rFonts w:ascii="Times New Roman" w:eastAsia="標楷體" w:hAnsi="Times New Roman"/>
          <w:color w:val="000000"/>
        </w:rPr>
        <w:t>App</w:t>
      </w:r>
      <w:r>
        <w:rPr>
          <w:rFonts w:ascii="Times New Roman" w:eastAsia="標楷體" w:hAnsi="Times New Roman"/>
          <w:color w:val="000000"/>
        </w:rPr>
        <w:t>，供管理員處理商品審核、交易爭議、設備與操作紀錄。</w:t>
      </w:r>
    </w:p>
    <w:p w14:paraId="124F4073" w14:textId="77777777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智慧書櫃以合板製作櫃體，壓克力雷射切割面板與四扇櫃門，外尺寸約</w:t>
      </w:r>
      <w:r>
        <w:rPr>
          <w:rFonts w:ascii="Times New Roman" w:eastAsia="標楷體" w:hAnsi="Times New Roman"/>
          <w:color w:val="000000"/>
        </w:rPr>
        <w:t>31×31×38</w:t>
      </w:r>
      <w:r>
        <w:rPr>
          <w:rFonts w:ascii="Times New Roman" w:eastAsia="標楷體" w:hAnsi="Times New Roman"/>
          <w:color w:val="000000"/>
        </w:rPr>
        <w:t>公分。每台以</w:t>
      </w:r>
      <w:r>
        <w:rPr>
          <w:rFonts w:ascii="Times New Roman" w:eastAsia="標楷體" w:hAnsi="Times New Roman"/>
          <w:color w:val="000000"/>
        </w:rPr>
        <w:t>ESP32-S3</w:t>
      </w:r>
      <w:r>
        <w:rPr>
          <w:rFonts w:ascii="Times New Roman" w:eastAsia="標楷體" w:hAnsi="Times New Roman"/>
          <w:color w:val="000000"/>
        </w:rPr>
        <w:t>控制四組電磁鎖與</w:t>
      </w:r>
      <w:r>
        <w:rPr>
          <w:rFonts w:ascii="Times New Roman" w:eastAsia="標楷體" w:hAnsi="Times New Roman"/>
          <w:color w:val="000000"/>
        </w:rPr>
        <w:t>2.8</w:t>
      </w:r>
      <w:r>
        <w:rPr>
          <w:rFonts w:ascii="Times New Roman" w:eastAsia="標楷體" w:hAnsi="Times New Roman"/>
          <w:color w:val="000000"/>
        </w:rPr>
        <w:t>吋顯示器；其整合</w:t>
      </w:r>
      <w:r>
        <w:rPr>
          <w:rFonts w:ascii="Times New Roman" w:eastAsia="標楷體" w:hAnsi="Times New Roman"/>
          <w:color w:val="000000"/>
        </w:rPr>
        <w:t>2.4 GHz Wi-Fi</w:t>
      </w:r>
      <w:r>
        <w:rPr>
          <w:rFonts w:ascii="Times New Roman" w:eastAsia="標楷體" w:hAnsi="Times New Roman"/>
          <w:color w:val="000000"/>
        </w:rPr>
        <w:t>與藍牙通訊能力</w:t>
      </w:r>
      <w:r>
        <w:rPr>
          <w:rFonts w:ascii="Times New Roman" w:eastAsia="標楷體" w:hAnsi="Times New Roman"/>
          <w:color w:val="000000"/>
        </w:rPr>
        <w:t>[3]</w:t>
      </w:r>
      <w:r>
        <w:rPr>
          <w:rFonts w:ascii="Times New Roman" w:eastAsia="標楷體" w:hAnsi="Times New Roman"/>
          <w:color w:val="000000"/>
        </w:rPr>
        <w:t>，可於安裝時設定網路，運作時透過</w:t>
      </w:r>
      <w:r>
        <w:rPr>
          <w:rFonts w:ascii="Times New Roman" w:eastAsia="標楷體" w:hAnsi="Times New Roman"/>
          <w:color w:val="000000"/>
        </w:rPr>
        <w:t>HTTPS</w:t>
      </w:r>
      <w:r>
        <w:rPr>
          <w:rFonts w:ascii="Times New Roman" w:eastAsia="標楷體" w:hAnsi="Times New Roman"/>
          <w:color w:val="000000"/>
        </w:rPr>
        <w:t>與後端同步。此配置將電子控制、狀態回報與書籍交付整合為同一流程</w:t>
      </w:r>
      <w:r>
        <w:rPr>
          <w:rFonts w:ascii="Times New Roman" w:eastAsia="標楷體" w:hAnsi="Times New Roman"/>
          <w:color w:val="000000"/>
        </w:rPr>
        <w:t>[1]</w:t>
      </w:r>
      <w:r>
        <w:rPr>
          <w:rFonts w:ascii="Times New Roman" w:eastAsia="標楷體" w:hAnsi="Times New Roman"/>
          <w:color w:val="000000"/>
        </w:rPr>
        <w:t>。</w:t>
      </w:r>
    </w:p>
    <w:p w14:paraId="056824FE" w14:textId="77777777" w:rsidR="008E494F" w:rsidRDefault="00000000">
      <w:pPr>
        <w:keepNext/>
        <w:keepLines/>
        <w:pageBreakBefore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lastRenderedPageBreak/>
        <w:t xml:space="preserve">2.2 </w:t>
      </w:r>
      <w:r>
        <w:rPr>
          <w:rFonts w:ascii="Times New Roman" w:eastAsia="標楷體" w:hAnsi="Times New Roman"/>
          <w:b/>
          <w:color w:val="000000"/>
        </w:rPr>
        <w:t>書目查詢與</w:t>
      </w:r>
      <w:r>
        <w:rPr>
          <w:rFonts w:ascii="Times New Roman" w:eastAsia="標楷體" w:hAnsi="Times New Roman"/>
          <w:b/>
          <w:color w:val="000000"/>
        </w:rPr>
        <w:t>AI</w:t>
      </w:r>
      <w:r>
        <w:rPr>
          <w:rFonts w:ascii="Times New Roman" w:eastAsia="標楷體" w:hAnsi="Times New Roman"/>
          <w:b/>
          <w:color w:val="000000"/>
        </w:rPr>
        <w:t>輔助</w:t>
      </w:r>
    </w:p>
    <w:p w14:paraId="075FD402" w14:textId="0FC9A89B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賣家掃描</w:t>
      </w:r>
      <w:r>
        <w:rPr>
          <w:rFonts w:ascii="Times New Roman" w:eastAsia="標楷體" w:hAnsi="Times New Roman"/>
          <w:color w:val="000000"/>
        </w:rPr>
        <w:t>ISBN</w:t>
      </w:r>
      <w:r>
        <w:rPr>
          <w:rFonts w:ascii="Times New Roman" w:eastAsia="標楷體" w:hAnsi="Times New Roman"/>
          <w:color w:val="000000"/>
        </w:rPr>
        <w:t>後，由</w:t>
      </w:r>
      <w:r>
        <w:rPr>
          <w:rFonts w:ascii="Times New Roman" w:eastAsia="標楷體" w:hAnsi="Times New Roman"/>
          <w:color w:val="000000"/>
        </w:rPr>
        <w:t>Google Books</w:t>
      </w:r>
      <w:r>
        <w:rPr>
          <w:rFonts w:ascii="Times New Roman" w:eastAsia="標楷體" w:hAnsi="Times New Roman"/>
          <w:color w:val="000000"/>
        </w:rPr>
        <w:t>與</w:t>
      </w:r>
      <w:r>
        <w:rPr>
          <w:rFonts w:ascii="Times New Roman" w:eastAsia="標楷體" w:hAnsi="Times New Roman"/>
          <w:color w:val="000000"/>
        </w:rPr>
        <w:t>Open Library</w:t>
      </w:r>
      <w:r>
        <w:rPr>
          <w:rFonts w:ascii="Times New Roman" w:eastAsia="標楷體" w:hAnsi="Times New Roman"/>
          <w:color w:val="000000"/>
        </w:rPr>
        <w:t>查詢並合併書名、作者與出版社等書目；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依書目及書況照片建議書況、分類與售價，由賣家確認或修改。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書籍顧問依需求推薦平台上架書籍，個人化推薦則參考購買、收藏、購物車與瀏覽紀錄。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客服以平台說明、常見問題與條款為回答依據，必要時建立工單轉接人員；上架審核與爭議分析亦由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輔助，但裁決由管理員執行，並設有用量、預算及異常備援機制。</w:t>
      </w:r>
    </w:p>
    <w:p w14:paraId="0254F8E4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2.3 </w:t>
      </w:r>
      <w:r>
        <w:rPr>
          <w:rFonts w:ascii="Times New Roman" w:eastAsia="標楷體" w:hAnsi="Times New Roman"/>
          <w:b/>
          <w:color w:val="000000"/>
        </w:rPr>
        <w:t>非同步交付與交易保障</w:t>
      </w:r>
    </w:p>
    <w:p w14:paraId="10DD0418" w14:textId="77777777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賣家可先行存書或接單後存書，買家依場域開放時間自助取書，最長可提供</w:t>
      </w:r>
      <w:r>
        <w:rPr>
          <w:rFonts w:ascii="Times New Roman" w:eastAsia="標楷體" w:hAnsi="Times New Roman"/>
          <w:color w:val="000000"/>
        </w:rPr>
        <w:t>24</w:t>
      </w:r>
      <w:r>
        <w:rPr>
          <w:rFonts w:ascii="Times New Roman" w:eastAsia="標楷體" w:hAnsi="Times New Roman"/>
          <w:color w:val="000000"/>
        </w:rPr>
        <w:t>小時服務。存取時，以</w:t>
      </w:r>
      <w:r>
        <w:rPr>
          <w:rFonts w:ascii="Times New Roman" w:eastAsia="標楷體" w:hAnsi="Times New Roman"/>
          <w:color w:val="000000"/>
        </w:rPr>
        <w:t>App</w:t>
      </w:r>
      <w:r>
        <w:rPr>
          <w:rFonts w:ascii="Times New Roman" w:eastAsia="標楷體" w:hAnsi="Times New Roman"/>
          <w:color w:val="000000"/>
        </w:rPr>
        <w:t>掃描書櫃螢幕每</w:t>
      </w:r>
      <w:r>
        <w:rPr>
          <w:rFonts w:ascii="Times New Roman" w:eastAsia="標楷體" w:hAnsi="Times New Roman"/>
          <w:color w:val="000000"/>
        </w:rPr>
        <w:t>30</w:t>
      </w:r>
      <w:r>
        <w:rPr>
          <w:rFonts w:ascii="Times New Roman" w:eastAsia="標楷體" w:hAnsi="Times New Roman"/>
          <w:color w:val="000000"/>
        </w:rPr>
        <w:t>秒更新、僅能使用一次的</w:t>
      </w:r>
      <w:r>
        <w:rPr>
          <w:rFonts w:ascii="Times New Roman" w:eastAsia="標楷體" w:hAnsi="Times New Roman"/>
          <w:color w:val="000000"/>
        </w:rPr>
        <w:t>QR Code</w:t>
      </w:r>
      <w:r>
        <w:rPr>
          <w:rFonts w:ascii="Times New Roman" w:eastAsia="標楷體" w:hAnsi="Times New Roman"/>
          <w:color w:val="000000"/>
        </w:rPr>
        <w:t>，通過定位距離條件並輸入兩位比對數字後開鎖；櫃門關閉且事件回報後，才正式登記存取與通知交易對方</w:t>
      </w:r>
      <w:r>
        <w:rPr>
          <w:rFonts w:ascii="Times New Roman" w:eastAsia="標楷體" w:hAnsi="Times New Roman"/>
          <w:color w:val="000000"/>
        </w:rPr>
        <w:t>[1]</w:t>
      </w:r>
      <w:r>
        <w:rPr>
          <w:rFonts w:ascii="Times New Roman" w:eastAsia="標楷體" w:hAnsi="Times New Roman"/>
          <w:color w:val="000000"/>
        </w:rPr>
        <w:t>。</w:t>
      </w:r>
    </w:p>
    <w:p w14:paraId="09F2C838" w14:textId="77777777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買家以站內代幣結帳，款項先暫管，提前確認完成訂單或取書後</w:t>
      </w:r>
      <w:r>
        <w:rPr>
          <w:rFonts w:ascii="Times New Roman" w:eastAsia="標楷體" w:hAnsi="Times New Roman"/>
          <w:color w:val="000000"/>
        </w:rPr>
        <w:t>24</w:t>
      </w:r>
      <w:r>
        <w:rPr>
          <w:rFonts w:ascii="Times New Roman" w:eastAsia="標楷體" w:hAnsi="Times New Roman"/>
          <w:color w:val="000000"/>
        </w:rPr>
        <w:t>小時內未申請爭議時才撥付賣家；受理爭議後停止撥款，由管理員參考書況照片、作業紀錄與雙方說明處理。系統亦提供聊天防詐提醒。現階段儲值由客服於後台調整餘額，尚無提領功能，第三方支付屬後續規劃</w:t>
      </w:r>
      <w:r>
        <w:rPr>
          <w:rFonts w:ascii="Times New Roman" w:eastAsia="標楷體" w:hAnsi="Times New Roman"/>
          <w:color w:val="000000"/>
        </w:rPr>
        <w:t>[1]</w:t>
      </w:r>
      <w:r>
        <w:rPr>
          <w:rFonts w:ascii="Times New Roman" w:eastAsia="標楷體" w:hAnsi="Times New Roman"/>
          <w:color w:val="000000"/>
        </w:rPr>
        <w:t>。</w:t>
      </w:r>
    </w:p>
    <w:p w14:paraId="41F7B900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2.4 </w:t>
      </w:r>
      <w:r>
        <w:rPr>
          <w:rFonts w:ascii="Times New Roman" w:eastAsia="標楷體" w:hAnsi="Times New Roman"/>
          <w:b/>
          <w:color w:val="000000"/>
        </w:rPr>
        <w:t>驗證方法</w:t>
      </w:r>
    </w:p>
    <w:p w14:paraId="578118BA" w14:textId="77777777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驗證分為需求分析、軟體自動化測試及書櫃流程驗證。後端以假的資料庫客戶端及預錄外部回應驅動</w:t>
      </w:r>
      <w:r>
        <w:rPr>
          <w:rFonts w:ascii="Times New Roman" w:eastAsia="標楷體" w:hAnsi="Times New Roman"/>
          <w:color w:val="000000"/>
        </w:rPr>
        <w:t>API</w:t>
      </w:r>
      <w:r>
        <w:rPr>
          <w:rFonts w:ascii="Times New Roman" w:eastAsia="標楷體" w:hAnsi="Times New Roman"/>
          <w:color w:val="000000"/>
        </w:rPr>
        <w:t>路由；前端以單元與畫面測試檢查交易、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及掃碼操作。書櫃模擬網頁與實機韌體共用通訊協定與裝置邏輯，另以韌體邏輯測試檢查控制流程。本文引用複評手冊截至</w:t>
      </w:r>
      <w:r>
        <w:rPr>
          <w:rFonts w:ascii="Times New Roman" w:eastAsia="標楷體" w:hAnsi="Times New Roman"/>
          <w:color w:val="000000"/>
        </w:rPr>
        <w:t>2026</w:t>
      </w:r>
      <w:r>
        <w:rPr>
          <w:rFonts w:ascii="Times New Roman" w:eastAsia="標楷體" w:hAnsi="Times New Roman"/>
          <w:color w:val="000000"/>
        </w:rPr>
        <w:t>年</w:t>
      </w:r>
      <w:r>
        <w:rPr>
          <w:rFonts w:ascii="Times New Roman" w:eastAsia="標楷體" w:hAnsi="Times New Roman"/>
          <w:color w:val="000000"/>
        </w:rPr>
        <w:t>10</w:t>
      </w:r>
      <w:r>
        <w:rPr>
          <w:rFonts w:ascii="Times New Roman" w:eastAsia="標楷體" w:hAnsi="Times New Roman"/>
          <w:color w:val="000000"/>
        </w:rPr>
        <w:t>月</w:t>
      </w:r>
      <w:r>
        <w:rPr>
          <w:rFonts w:ascii="Times New Roman" w:eastAsia="標楷體" w:hAnsi="Times New Roman"/>
          <w:color w:val="000000"/>
        </w:rPr>
        <w:t>13</w:t>
      </w:r>
      <w:r>
        <w:rPr>
          <w:rFonts w:ascii="Times New Roman" w:eastAsia="標楷體" w:hAnsi="Times New Roman"/>
          <w:color w:val="000000"/>
        </w:rPr>
        <w:t>日的測試紀錄</w:t>
      </w:r>
      <w:r>
        <w:rPr>
          <w:rFonts w:ascii="Times New Roman" w:eastAsia="標楷體" w:hAnsi="Times New Roman"/>
          <w:color w:val="000000"/>
        </w:rPr>
        <w:t>[1]</w:t>
      </w:r>
      <w:r>
        <w:rPr>
          <w:rFonts w:ascii="Times New Roman" w:eastAsia="標楷體" w:hAnsi="Times New Roman"/>
          <w:color w:val="000000"/>
        </w:rPr>
        <w:t>，並非新增場域實驗。</w:t>
      </w:r>
    </w:p>
    <w:p w14:paraId="0E9E8EB6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3. </w:t>
      </w:r>
      <w:r>
        <w:rPr>
          <w:rFonts w:ascii="Times New Roman" w:eastAsia="標楷體" w:hAnsi="Times New Roman"/>
          <w:b/>
          <w:color w:val="000000"/>
        </w:rPr>
        <w:t>研究結果分析</w:t>
      </w:r>
    </w:p>
    <w:p w14:paraId="73D5883F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3.1 </w:t>
      </w:r>
      <w:r>
        <w:rPr>
          <w:rFonts w:ascii="Times New Roman" w:eastAsia="標楷體" w:hAnsi="Times New Roman"/>
          <w:b/>
          <w:color w:val="000000"/>
        </w:rPr>
        <w:t>需求調查與設計對應</w:t>
      </w:r>
    </w:p>
    <w:p w14:paraId="61D8D890" w14:textId="4655F051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問卷結果如表</w:t>
      </w:r>
      <w:r>
        <w:rPr>
          <w:rFonts w:ascii="Times New Roman" w:eastAsia="標楷體" w:hAnsi="Times New Roman"/>
          <w:color w:val="000000"/>
        </w:rPr>
        <w:t>1</w:t>
      </w:r>
      <w:r>
        <w:rPr>
          <w:rFonts w:ascii="Times New Roman" w:eastAsia="標楷體" w:hAnsi="Times New Roman"/>
          <w:color w:val="000000"/>
        </w:rPr>
        <w:t>，顯示降低處理門檻與增加交付時間彈性具需求基礎。書況照片亦獲逾</w:t>
      </w:r>
      <w:r>
        <w:rPr>
          <w:rFonts w:ascii="Times New Roman" w:eastAsia="標楷體" w:hAnsi="Times New Roman"/>
          <w:color w:val="000000"/>
        </w:rPr>
        <w:t>95%</w:t>
      </w:r>
      <w:r>
        <w:rPr>
          <w:rFonts w:ascii="Times New Roman" w:eastAsia="標楷體" w:hAnsi="Times New Roman"/>
          <w:color w:val="000000"/>
        </w:rPr>
        <w:t>受訪者認為有助於購買意願；因此採實體照片上架、就近書櫃交付與驗收後撥款，將書籍流通與交易信任納入同一設計。</w:t>
      </w:r>
    </w:p>
    <w:p w14:paraId="56F8F9EE" w14:textId="77777777" w:rsidR="008E494F" w:rsidRDefault="00000000">
      <w:pPr>
        <w:keepNext/>
        <w:keepLines/>
        <w:snapToGrid w:val="0"/>
        <w:spacing w:after="80"/>
        <w:jc w:val="center"/>
      </w:pPr>
      <w:r>
        <w:rPr>
          <w:rFonts w:ascii="Times New Roman" w:eastAsia="標楷體" w:hAnsi="Times New Roman"/>
          <w:color w:val="000000"/>
        </w:rPr>
        <w:t>表</w:t>
      </w:r>
      <w:r>
        <w:rPr>
          <w:rFonts w:ascii="Times New Roman" w:eastAsia="標楷體" w:hAnsi="Times New Roman"/>
          <w:color w:val="000000"/>
        </w:rPr>
        <w:t xml:space="preserve">1 </w:t>
      </w:r>
      <w:r>
        <w:rPr>
          <w:rFonts w:ascii="Times New Roman" w:eastAsia="標楷體" w:hAnsi="Times New Roman"/>
          <w:color w:val="000000"/>
        </w:rPr>
        <w:t>關鍵需求調查結果（</w:t>
      </w:r>
      <w:r>
        <w:rPr>
          <w:rFonts w:ascii="Times New Roman" w:eastAsia="標楷體" w:hAnsi="Times New Roman"/>
          <w:color w:val="000000"/>
        </w:rPr>
        <w:t>498</w:t>
      </w:r>
      <w:r>
        <w:rPr>
          <w:rFonts w:ascii="Times New Roman" w:eastAsia="標楷體" w:hAnsi="Times New Roman"/>
          <w:color w:val="000000"/>
        </w:rPr>
        <w:t>份有效樣本）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A0" w:firstRow="1" w:lastRow="0" w:firstColumn="1" w:lastColumn="0" w:noHBand="0" w:noVBand="1"/>
      </w:tblPr>
      <w:tblGrid>
        <w:gridCol w:w="7370"/>
        <w:gridCol w:w="1701"/>
      </w:tblGrid>
      <w:tr w:rsidR="008E494F" w14:paraId="69AFE7E4" w14:textId="77777777">
        <w:trPr>
          <w:cantSplit/>
          <w:tblHeader/>
          <w:jc w:val="center"/>
        </w:trPr>
        <w:tc>
          <w:tcPr>
            <w:tcW w:w="7370" w:type="dxa"/>
            <w:shd w:val="clear" w:color="auto" w:fill="E7ECF0"/>
            <w:vAlign w:val="center"/>
          </w:tcPr>
          <w:p w14:paraId="289915B3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b/>
                <w:color w:val="000000"/>
              </w:rPr>
              <w:t>問卷項目</w:t>
            </w:r>
          </w:p>
        </w:tc>
        <w:tc>
          <w:tcPr>
            <w:tcW w:w="1701" w:type="dxa"/>
            <w:shd w:val="clear" w:color="auto" w:fill="E7ECF0"/>
            <w:vAlign w:val="center"/>
          </w:tcPr>
          <w:p w14:paraId="13E23FA2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b/>
                <w:color w:val="000000"/>
              </w:rPr>
              <w:t>比例</w:t>
            </w:r>
          </w:p>
        </w:tc>
      </w:tr>
      <w:tr w:rsidR="008E494F" w14:paraId="78CA5AD4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1C5FFEF4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面交時擔心放鳥或詐騙</w:t>
            </w:r>
          </w:p>
        </w:tc>
        <w:tc>
          <w:tcPr>
            <w:tcW w:w="1701" w:type="dxa"/>
            <w:vAlign w:val="center"/>
          </w:tcPr>
          <w:p w14:paraId="29C4AA6A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43.2%</w:t>
            </w:r>
          </w:p>
        </w:tc>
      </w:tr>
      <w:tr w:rsidR="008E494F" w14:paraId="18E5BB3B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060B6B4F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面交時間難以談攏</w:t>
            </w:r>
          </w:p>
        </w:tc>
        <w:tc>
          <w:tcPr>
            <w:tcW w:w="1701" w:type="dxa"/>
            <w:vAlign w:val="center"/>
          </w:tcPr>
          <w:p w14:paraId="7F206593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30.9%</w:t>
            </w:r>
          </w:p>
        </w:tc>
      </w:tr>
      <w:tr w:rsidR="008E494F" w14:paraId="069FB982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404C7F9B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寄送須包裝並至超商寄貨</w:t>
            </w:r>
          </w:p>
        </w:tc>
        <w:tc>
          <w:tcPr>
            <w:tcW w:w="1701" w:type="dxa"/>
            <w:vAlign w:val="center"/>
          </w:tcPr>
          <w:p w14:paraId="51C8277D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57.9%</w:t>
            </w:r>
          </w:p>
        </w:tc>
      </w:tr>
      <w:tr w:rsidR="008E494F" w14:paraId="1169CA9B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389C7490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偏好以實體儲物櫃改善流程</w:t>
            </w:r>
          </w:p>
        </w:tc>
        <w:tc>
          <w:tcPr>
            <w:tcW w:w="1701" w:type="dxa"/>
            <w:vAlign w:val="center"/>
          </w:tcPr>
          <w:p w14:paraId="653084F6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51.4%</w:t>
            </w:r>
          </w:p>
        </w:tc>
      </w:tr>
      <w:tr w:rsidR="008E494F" w14:paraId="39954098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228E4BBE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認為</w:t>
            </w:r>
            <w:r>
              <w:rPr>
                <w:rFonts w:ascii="Times New Roman" w:eastAsia="標楷體" w:hAnsi="Times New Roman"/>
                <w:color w:val="000000"/>
              </w:rPr>
              <w:t>24</w:t>
            </w:r>
            <w:r>
              <w:rPr>
                <w:rFonts w:ascii="Times New Roman" w:eastAsia="標楷體" w:hAnsi="Times New Roman"/>
                <w:color w:val="000000"/>
              </w:rPr>
              <w:t>小時自助最具吸引力</w:t>
            </w:r>
          </w:p>
        </w:tc>
        <w:tc>
          <w:tcPr>
            <w:tcW w:w="1701" w:type="dxa"/>
            <w:vAlign w:val="center"/>
          </w:tcPr>
          <w:p w14:paraId="47FC6AAD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57.4%</w:t>
            </w:r>
          </w:p>
        </w:tc>
      </w:tr>
    </w:tbl>
    <w:p w14:paraId="2DDBE794" w14:textId="77777777" w:rsidR="008E494F" w:rsidRDefault="00000000">
      <w:pPr>
        <w:keepNext/>
        <w:keepLines/>
        <w:pageBreakBefore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lastRenderedPageBreak/>
        <w:t xml:space="preserve">3.2 </w:t>
      </w:r>
      <w:r>
        <w:rPr>
          <w:rFonts w:ascii="Times New Roman" w:eastAsia="標楷體" w:hAnsi="Times New Roman"/>
          <w:b/>
          <w:color w:val="000000"/>
        </w:rPr>
        <w:t>系統驗證與結果範圍</w:t>
      </w:r>
    </w:p>
    <w:p w14:paraId="684FE2DE" w14:textId="77777777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核心交易、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輔助與書櫃掃碼存取已完成串接。依手冊紀錄，後端</w:t>
      </w:r>
      <w:r>
        <w:rPr>
          <w:rFonts w:ascii="Times New Roman" w:eastAsia="標楷體" w:hAnsi="Times New Roman"/>
          <w:color w:val="000000"/>
        </w:rPr>
        <w:t>11</w:t>
      </w:r>
      <w:r>
        <w:rPr>
          <w:rFonts w:ascii="Times New Roman" w:eastAsia="標楷體" w:hAnsi="Times New Roman"/>
          <w:color w:val="000000"/>
        </w:rPr>
        <w:t>組共</w:t>
      </w:r>
      <w:r>
        <w:rPr>
          <w:rFonts w:ascii="Times New Roman" w:eastAsia="標楷體" w:hAnsi="Times New Roman"/>
          <w:color w:val="000000"/>
        </w:rPr>
        <w:t>1,558</w:t>
      </w:r>
      <w:r>
        <w:rPr>
          <w:rFonts w:ascii="Times New Roman" w:eastAsia="標楷體" w:hAnsi="Times New Roman"/>
          <w:color w:val="000000"/>
        </w:rPr>
        <w:t>項、前端展開執行</w:t>
      </w:r>
      <w:r>
        <w:rPr>
          <w:rFonts w:ascii="Times New Roman" w:eastAsia="標楷體" w:hAnsi="Times New Roman"/>
          <w:color w:val="000000"/>
        </w:rPr>
        <w:t>2,571</w:t>
      </w:r>
      <w:r>
        <w:rPr>
          <w:rFonts w:ascii="Times New Roman" w:eastAsia="標楷體" w:hAnsi="Times New Roman"/>
          <w:color w:val="000000"/>
        </w:rPr>
        <w:t>項測試皆通過；書櫃</w:t>
      </w:r>
      <w:r>
        <w:rPr>
          <w:rFonts w:ascii="Times New Roman" w:eastAsia="標楷體" w:hAnsi="Times New Roman"/>
          <w:color w:val="000000"/>
        </w:rPr>
        <w:t>API</w:t>
      </w:r>
      <w:r>
        <w:rPr>
          <w:rFonts w:ascii="Times New Roman" w:eastAsia="標楷體" w:hAnsi="Times New Roman"/>
          <w:color w:val="000000"/>
        </w:rPr>
        <w:t>的</w:t>
      </w:r>
      <w:r>
        <w:rPr>
          <w:rFonts w:ascii="Times New Roman" w:eastAsia="標楷體" w:hAnsi="Times New Roman"/>
          <w:color w:val="000000"/>
        </w:rPr>
        <w:t>207</w:t>
      </w:r>
      <w:r>
        <w:rPr>
          <w:rFonts w:ascii="Times New Roman" w:eastAsia="標楷體" w:hAnsi="Times New Roman"/>
          <w:color w:val="000000"/>
        </w:rPr>
        <w:t>項與模擬書櫃</w:t>
      </w:r>
      <w:r>
        <w:rPr>
          <w:rFonts w:ascii="Times New Roman" w:eastAsia="標楷體" w:hAnsi="Times New Roman"/>
          <w:color w:val="000000"/>
        </w:rPr>
        <w:t>52</w:t>
      </w:r>
      <w:r>
        <w:rPr>
          <w:rFonts w:ascii="Times New Roman" w:eastAsia="標楷體" w:hAnsi="Times New Roman"/>
          <w:color w:val="000000"/>
        </w:rPr>
        <w:t>項已包含在後端總數，韌體另有</w:t>
      </w:r>
      <w:r>
        <w:rPr>
          <w:rFonts w:ascii="Times New Roman" w:eastAsia="標楷體" w:hAnsi="Times New Roman"/>
          <w:color w:val="000000"/>
        </w:rPr>
        <w:t>40</w:t>
      </w:r>
      <w:r>
        <w:rPr>
          <w:rFonts w:ascii="Times New Roman" w:eastAsia="標楷體" w:hAnsi="Times New Roman"/>
          <w:color w:val="000000"/>
        </w:rPr>
        <w:t>項測試</w:t>
      </w:r>
      <w:r>
        <w:rPr>
          <w:rFonts w:ascii="Times New Roman" w:eastAsia="標楷體" w:hAnsi="Times New Roman"/>
          <w:color w:val="000000"/>
        </w:rPr>
        <w:t>[1]</w:t>
      </w:r>
      <w:r>
        <w:rPr>
          <w:rFonts w:ascii="Times New Roman" w:eastAsia="標楷體" w:hAnsi="Times New Roman"/>
          <w:color w:val="000000"/>
        </w:rPr>
        <w:t>，統計如表</w:t>
      </w:r>
      <w:r>
        <w:rPr>
          <w:rFonts w:ascii="Times New Roman" w:eastAsia="標楷體" w:hAnsi="Times New Roman"/>
          <w:color w:val="000000"/>
        </w:rPr>
        <w:t>2</w:t>
      </w:r>
      <w:r>
        <w:rPr>
          <w:rFonts w:ascii="Times New Roman" w:eastAsia="標楷體" w:hAnsi="Times New Roman"/>
          <w:color w:val="000000"/>
        </w:rPr>
        <w:t>。結果支持所測情境的邏輯與畫面正確性，不能據此推論實際場域的長期穩定性、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準確率或交易成效。</w:t>
      </w:r>
    </w:p>
    <w:p w14:paraId="5BBF5123" w14:textId="77777777" w:rsidR="008E494F" w:rsidRDefault="00000000">
      <w:pPr>
        <w:keepNext/>
        <w:keepLines/>
        <w:snapToGrid w:val="0"/>
        <w:spacing w:after="80"/>
        <w:jc w:val="center"/>
      </w:pPr>
      <w:r>
        <w:rPr>
          <w:rFonts w:ascii="Times New Roman" w:eastAsia="標楷體" w:hAnsi="Times New Roman"/>
          <w:color w:val="000000"/>
        </w:rPr>
        <w:t>表</w:t>
      </w:r>
      <w:r>
        <w:rPr>
          <w:rFonts w:ascii="Times New Roman" w:eastAsia="標楷體" w:hAnsi="Times New Roman"/>
          <w:color w:val="000000"/>
        </w:rPr>
        <w:t xml:space="preserve">2 </w:t>
      </w:r>
      <w:r>
        <w:rPr>
          <w:rFonts w:ascii="Times New Roman" w:eastAsia="標楷體" w:hAnsi="Times New Roman"/>
          <w:color w:val="000000"/>
        </w:rPr>
        <w:t>自動化測試紀錄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A0" w:firstRow="1" w:lastRow="0" w:firstColumn="1" w:lastColumn="0" w:noHBand="0" w:noVBand="1"/>
      </w:tblPr>
      <w:tblGrid>
        <w:gridCol w:w="5669"/>
        <w:gridCol w:w="1701"/>
        <w:gridCol w:w="1701"/>
      </w:tblGrid>
      <w:tr w:rsidR="008E494F" w14:paraId="02008027" w14:textId="77777777">
        <w:trPr>
          <w:cantSplit/>
          <w:tblHeader/>
          <w:jc w:val="center"/>
        </w:trPr>
        <w:tc>
          <w:tcPr>
            <w:tcW w:w="5669" w:type="dxa"/>
            <w:shd w:val="clear" w:color="auto" w:fill="E7ECF0"/>
            <w:vAlign w:val="center"/>
          </w:tcPr>
          <w:p w14:paraId="55989A88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b/>
                <w:color w:val="000000"/>
              </w:rPr>
              <w:t>測試範圍</w:t>
            </w:r>
          </w:p>
        </w:tc>
        <w:tc>
          <w:tcPr>
            <w:tcW w:w="1701" w:type="dxa"/>
            <w:shd w:val="clear" w:color="auto" w:fill="E7ECF0"/>
            <w:vAlign w:val="center"/>
          </w:tcPr>
          <w:p w14:paraId="5A6D460C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b/>
                <w:color w:val="000000"/>
              </w:rPr>
              <w:t>案例數</w:t>
            </w:r>
          </w:p>
        </w:tc>
        <w:tc>
          <w:tcPr>
            <w:tcW w:w="1701" w:type="dxa"/>
            <w:shd w:val="clear" w:color="auto" w:fill="E7ECF0"/>
            <w:vAlign w:val="center"/>
          </w:tcPr>
          <w:p w14:paraId="2D2510C1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b/>
                <w:color w:val="000000"/>
              </w:rPr>
              <w:t>結果</w:t>
            </w:r>
          </w:p>
        </w:tc>
      </w:tr>
      <w:tr w:rsidR="008E494F" w14:paraId="12418ED3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684108F2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後端（含書櫃</w:t>
            </w:r>
            <w:r>
              <w:rPr>
                <w:rFonts w:ascii="Times New Roman" w:eastAsia="標楷體" w:hAnsi="Times New Roman"/>
                <w:color w:val="000000"/>
              </w:rPr>
              <w:t>API</w:t>
            </w:r>
            <w:r>
              <w:rPr>
                <w:rFonts w:ascii="Times New Roman" w:eastAsia="標楷體" w:hAnsi="Times New Roman"/>
                <w:color w:val="000000"/>
              </w:rPr>
              <w:t>及模擬書櫃）</w:t>
            </w:r>
          </w:p>
        </w:tc>
        <w:tc>
          <w:tcPr>
            <w:tcW w:w="1701" w:type="dxa"/>
            <w:vAlign w:val="center"/>
          </w:tcPr>
          <w:p w14:paraId="22010F46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1,558</w:t>
            </w:r>
          </w:p>
        </w:tc>
        <w:tc>
          <w:tcPr>
            <w:tcW w:w="1701" w:type="dxa"/>
            <w:vAlign w:val="center"/>
          </w:tcPr>
          <w:p w14:paraId="1DB3B55E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通過</w:t>
            </w:r>
          </w:p>
        </w:tc>
      </w:tr>
      <w:tr w:rsidR="008E494F" w14:paraId="7DCED7DB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7810E68D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Flutter</w:t>
            </w:r>
            <w:r>
              <w:rPr>
                <w:rFonts w:ascii="Times New Roman" w:eastAsia="標楷體" w:hAnsi="Times New Roman"/>
                <w:color w:val="000000"/>
              </w:rPr>
              <w:t>前端</w:t>
            </w:r>
          </w:p>
        </w:tc>
        <w:tc>
          <w:tcPr>
            <w:tcW w:w="1701" w:type="dxa"/>
            <w:vAlign w:val="center"/>
          </w:tcPr>
          <w:p w14:paraId="3B69AE60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2,571</w:t>
            </w:r>
          </w:p>
        </w:tc>
        <w:tc>
          <w:tcPr>
            <w:tcW w:w="1701" w:type="dxa"/>
            <w:vAlign w:val="center"/>
          </w:tcPr>
          <w:p w14:paraId="60537C27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通過</w:t>
            </w:r>
          </w:p>
        </w:tc>
      </w:tr>
      <w:tr w:rsidR="008E494F" w14:paraId="52D8FB87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033BD7C9" w14:textId="77777777" w:rsidR="008E494F" w:rsidRDefault="00000000">
            <w:pPr>
              <w:keepLines/>
              <w:spacing w:after="0" w:line="259" w:lineRule="auto"/>
            </w:pPr>
            <w:r>
              <w:rPr>
                <w:rFonts w:ascii="Times New Roman" w:eastAsia="標楷體" w:hAnsi="Times New Roman"/>
                <w:color w:val="000000"/>
              </w:rPr>
              <w:t>書櫃韌體邏輯</w:t>
            </w:r>
          </w:p>
        </w:tc>
        <w:tc>
          <w:tcPr>
            <w:tcW w:w="1701" w:type="dxa"/>
            <w:vAlign w:val="center"/>
          </w:tcPr>
          <w:p w14:paraId="29D1EACD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40</w:t>
            </w:r>
          </w:p>
        </w:tc>
        <w:tc>
          <w:tcPr>
            <w:tcW w:w="1701" w:type="dxa"/>
            <w:vAlign w:val="center"/>
          </w:tcPr>
          <w:p w14:paraId="75297777" w14:textId="77777777" w:rsidR="008E494F" w:rsidRDefault="00000000">
            <w:pPr>
              <w:keepLines/>
              <w:spacing w:after="0" w:line="259" w:lineRule="auto"/>
              <w:jc w:val="center"/>
            </w:pPr>
            <w:r>
              <w:rPr>
                <w:rFonts w:ascii="Times New Roman" w:eastAsia="標楷體" w:hAnsi="Times New Roman"/>
                <w:color w:val="000000"/>
              </w:rPr>
              <w:t>通過</w:t>
            </w:r>
          </w:p>
        </w:tc>
      </w:tr>
    </w:tbl>
    <w:p w14:paraId="69364813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3.3 </w:t>
      </w:r>
      <w:r>
        <w:rPr>
          <w:rFonts w:ascii="Times New Roman" w:eastAsia="標楷體" w:hAnsi="Times New Roman"/>
          <w:b/>
          <w:color w:val="000000"/>
        </w:rPr>
        <w:t>導入可行性與永續意涵</w:t>
      </w:r>
    </w:p>
    <w:p w14:paraId="6277FF88" w14:textId="61AABAAC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依手冊零件、板材與加工費試算，單台書櫃建置成本約新臺幣</w:t>
      </w:r>
      <w:r>
        <w:rPr>
          <w:rFonts w:ascii="Times New Roman" w:eastAsia="標楷體" w:hAnsi="Times New Roman"/>
          <w:color w:val="000000"/>
        </w:rPr>
        <w:t>5,261</w:t>
      </w:r>
      <w:r>
        <w:rPr>
          <w:rFonts w:ascii="Times New Roman" w:eastAsia="標楷體" w:hAnsi="Times New Roman"/>
          <w:color w:val="000000"/>
        </w:rPr>
        <w:t>元，年度維護成本約</w:t>
      </w:r>
      <w:r>
        <w:rPr>
          <w:rFonts w:ascii="Times New Roman" w:eastAsia="標楷體" w:hAnsi="Times New Roman"/>
          <w:color w:val="000000"/>
        </w:rPr>
        <w:t>3,765</w:t>
      </w:r>
      <w:r>
        <w:rPr>
          <w:rFonts w:ascii="Times New Roman" w:eastAsia="標楷體" w:hAnsi="Times New Roman"/>
          <w:color w:val="000000"/>
        </w:rPr>
        <w:t>元；兩者為估計值，尚非商用規模實際支出。場域須提供室內空間、電源與網路，並安排巡檢與客服，故初期宜採小規模校園試辦，觀察書櫃週轉與維修需求。</w:t>
      </w:r>
    </w:p>
    <w:p w14:paraId="3092DD33" w14:textId="77777777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本研究的循環經濟貢獻，在於以數位媒合與共用交付設施延續既有書籍的使用價值，並降低面交與包裝寄送的操作負擔。需求調查支持使用意願，尚不足以證明採用後的流通率提升；目前也未進行碳排盤查或生命週期評估。因此，資源節約與環境效益仍屬待驗證的研究方向。</w:t>
      </w:r>
    </w:p>
    <w:p w14:paraId="0D3CAA5F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4. </w:t>
      </w:r>
      <w:r>
        <w:rPr>
          <w:rFonts w:ascii="Times New Roman" w:eastAsia="標楷體" w:hAnsi="Times New Roman"/>
          <w:b/>
          <w:color w:val="000000"/>
        </w:rPr>
        <w:t>結論</w:t>
      </w:r>
    </w:p>
    <w:p w14:paraId="6B60C4DE" w14:textId="6B6F37E6" w:rsidR="008E494F" w:rsidRDefault="00000000">
      <w:pPr>
        <w:keepLines/>
        <w:snapToGrid w:val="0"/>
        <w:spacing w:after="120"/>
        <w:ind w:firstLine="480"/>
        <w:jc w:val="both"/>
      </w:pPr>
      <w:r>
        <w:rPr>
          <w:rFonts w:ascii="Times New Roman" w:eastAsia="標楷體" w:hAnsi="Times New Roman"/>
          <w:color w:val="000000"/>
        </w:rPr>
        <w:t>本研究由校園二手書交易需求出發，整合行動</w:t>
      </w:r>
      <w:r>
        <w:rPr>
          <w:rFonts w:ascii="Times New Roman" w:eastAsia="標楷體" w:hAnsi="Times New Roman"/>
          <w:color w:val="000000"/>
        </w:rPr>
        <w:t>App</w:t>
      </w:r>
      <w:r>
        <w:rPr>
          <w:rFonts w:ascii="Times New Roman" w:eastAsia="標楷體" w:hAnsi="Times New Roman"/>
          <w:color w:val="000000"/>
        </w:rPr>
        <w:t>、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輔助、智慧書櫃與款項暫管，提出可追溯的非同步交易流程。原型與測試紀錄提供技術實作基礎，實務貢獻為將書目輸入、書況資訊、交付與爭議處理串連，支援閒置書籍再流通。未來將以校園試辦量測訂單完成率、取書時間、書櫃使用率及回購情形，評估</w:t>
      </w:r>
      <w:r>
        <w:rPr>
          <w:rFonts w:ascii="Times New Roman" w:eastAsia="標楷體" w:hAnsi="Times New Roman"/>
          <w:color w:val="000000"/>
        </w:rPr>
        <w:t>AI</w:t>
      </w:r>
      <w:r>
        <w:rPr>
          <w:rFonts w:ascii="Times New Roman" w:eastAsia="標楷體" w:hAnsi="Times New Roman"/>
          <w:color w:val="000000"/>
        </w:rPr>
        <w:t>品質與資源利用效益，再逐步導入第三方支付、合作夥伴管理與營運分析。</w:t>
      </w:r>
    </w:p>
    <w:p w14:paraId="7A6D67FD" w14:textId="77777777" w:rsidR="008E494F" w:rsidRDefault="00000000">
      <w:pPr>
        <w:keepNext/>
        <w:keepLines/>
        <w:snapToGrid w:val="0"/>
        <w:spacing w:before="120" w:after="120"/>
      </w:pPr>
      <w:r>
        <w:rPr>
          <w:rFonts w:ascii="Times New Roman" w:eastAsia="標楷體" w:hAnsi="Times New Roman"/>
          <w:b/>
          <w:color w:val="000000"/>
        </w:rPr>
        <w:t xml:space="preserve">5. </w:t>
      </w:r>
      <w:r>
        <w:rPr>
          <w:rFonts w:ascii="Times New Roman" w:eastAsia="標楷體" w:hAnsi="Times New Roman"/>
          <w:b/>
          <w:color w:val="000000"/>
        </w:rPr>
        <w:t>參考文獻</w:t>
      </w:r>
    </w:p>
    <w:p w14:paraId="0AE61DE4" w14:textId="74A2D137" w:rsidR="008E494F" w:rsidRDefault="008E494F">
      <w:pPr>
        <w:keepLines/>
        <w:snapToGrid w:val="0"/>
        <w:spacing w:after="100"/>
      </w:pPr>
    </w:p>
    <w:sectPr w:rsidR="008E494F">
      <w:pgSz w:w="11906" w:h="16838"/>
      <w:pgMar w:top="1417" w:right="1417" w:bottom="1417" w:left="141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96"/>
    <w:rsid w:val="001055F0"/>
    <w:rsid w:val="0020405E"/>
    <w:rsid w:val="00246EF5"/>
    <w:rsid w:val="002B000C"/>
    <w:rsid w:val="003E2E36"/>
    <w:rsid w:val="00424D73"/>
    <w:rsid w:val="004660AE"/>
    <w:rsid w:val="008A5DF5"/>
    <w:rsid w:val="008E494F"/>
    <w:rsid w:val="00973255"/>
    <w:rsid w:val="009F2B0E"/>
    <w:rsid w:val="00AF0D96"/>
    <w:rsid w:val="00C520E8"/>
    <w:rsid w:val="00E03844"/>
    <w:rsid w:val="00E976C2"/>
    <w:rsid w:val="00EF632E"/>
    <w:rsid w:val="00F21716"/>
    <w:rsid w:val="00F27F13"/>
    <w:rsid w:val="00FB4EA1"/>
    <w:rsid w:val="00FD4E37"/>
    <w:rsid w:val="00FF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486A"/>
  <w15:chartTrackingRefBased/>
  <w15:docId w15:val="{3B75E810-2FE0-47EA-AB32-46D58887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D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D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D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D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D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D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D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0D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0D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0D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0D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0D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0D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0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D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D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0D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0D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D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D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0D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救「舊」我的書：結合智慧書櫃的校園二手書循環交易系統</dc:title>
  <dc:subject>2026智慧永續循環技術研討會暨專題競賽延伸摘要；循環經濟</dc:subject>
  <dc:creator>許凱俊、陳秉鴻、連卉媗、江芸萱、林俊杰</dc:creator>
  <cp:keywords>循環經濟;二手書交易;智慧書櫃;物聯網;人工智慧</cp:keywords>
  <dc:description/>
  <cp:lastModifiedBy>11246074_江芸萱</cp:lastModifiedBy>
  <cp:revision>4</cp:revision>
  <dcterms:created xsi:type="dcterms:W3CDTF">2026-10-13T09:48:00Z</dcterms:created>
  <dcterms:modified xsi:type="dcterms:W3CDTF">2026-10-13T11:47:00Z</dcterms:modified>
</cp:coreProperties>
</file>