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center"/>
      </w:pPr>
      <w:r>
        <w:rPr>
          <w:rFonts w:ascii="Times New Roman" w:hAnsi="Times New Roman"/>
          <w:b/>
          <w:sz w:val="36"/>
        </w:rPr>
        <w:t>2026 International Generative Artificial Intelligence Innovation Application Competition</w:t>
      </w:r>
    </w:p>
    <w:p>
      <w:pPr>
        <w:keepLines/>
        <w:ind w:firstLine="0"/>
        <w:jc w:val="center"/>
      </w:pPr>
      <w:r>
        <w:rPr>
          <w:rFonts w:ascii="Times New Roman" w:hAnsi="Times New Roman"/>
          <w:b/>
          <w:sz w:val="36"/>
        </w:rPr>
        <w:t>Work Description</w:t>
      </w:r>
    </w:p>
    <w:p>
      <w:pPr>
        <w:keepLines/>
        <w:ind w:firstLine="0"/>
        <w:jc w:val="center"/>
      </w:pPr>
      <w:r>
        <w:rPr>
          <w:rFonts w:ascii="Times New Roman" w:hAnsi="Times New Roman"/>
          <w:b/>
          <w:sz w:val="36"/>
        </w:rPr>
        <w:t>SaveMyBook: Generative AI for Secondhand Book Circulation</w:t>
      </w:r>
    </w:p>
    <w:p>
      <w:pPr>
        <w:keepLines/>
        <w:ind w:firstLine="0"/>
      </w:pPr>
      <w:r>
        <w:rPr>
          <w:rFonts w:ascii="Times New Roman" w:hAnsi="Times New Roman"/>
          <w:b w:val="0"/>
          <w:sz w:val="24"/>
        </w:rPr>
        <w:t>Institution: National Taipei University of Business</w:t>
      </w:r>
    </w:p>
    <w:p>
      <w:pPr>
        <w:keepLines/>
        <w:ind w:firstLine="0"/>
      </w:pPr>
      <w:r>
        <w:rPr>
          <w:rFonts w:ascii="Times New Roman" w:hAnsi="Times New Roman"/>
          <w:b w:val="0"/>
          <w:sz w:val="24"/>
        </w:rPr>
        <w:t>Department: Information Management</w:t>
      </w:r>
    </w:p>
    <w:p>
      <w:pPr>
        <w:keepLines/>
        <w:ind w:firstLine="0"/>
      </w:pPr>
      <w:r>
        <w:rPr>
          <w:rFonts w:ascii="Times New Roman" w:hAnsi="Times New Roman"/>
          <w:b w:val="0"/>
          <w:sz w:val="24"/>
        </w:rPr>
        <w:t>Team name: __________________________________</w:t>
      </w:r>
    </w:p>
    <w:p>
      <w:pPr>
        <w:keepLines/>
        <w:ind w:firstLine="0"/>
      </w:pPr>
      <w:r>
        <w:rPr>
          <w:rFonts w:ascii="Times New Roman" w:hAnsi="Times New Roman"/>
          <w:b w:val="0"/>
          <w:sz w:val="24"/>
        </w:rPr>
        <w:t>Team leader: __________________________________</w:t>
      </w:r>
    </w:p>
    <w:p>
      <w:pPr>
        <w:keepLines/>
        <w:ind w:firstLine="0"/>
      </w:pPr>
      <w:r>
        <w:rPr>
          <w:rFonts w:ascii="Times New Roman" w:hAnsi="Times New Roman"/>
          <w:b/>
          <w:sz w:val="24"/>
        </w:rPr>
        <w:t>Team members (English names)</w:t>
      </w:r>
    </w:p>
    <w:p>
      <w:pPr>
        <w:keepLines/>
        <w:ind w:firstLine="0"/>
      </w:pPr>
      <w:r>
        <w:rPr>
          <w:rFonts w:ascii="Times New Roman" w:hAnsi="Times New Roman"/>
          <w:b w:val="0"/>
          <w:sz w:val="24"/>
        </w:rPr>
        <w:t>1. __________________________________________</w:t>
      </w:r>
    </w:p>
    <w:p>
      <w:pPr>
        <w:keepLines/>
        <w:ind w:firstLine="0"/>
      </w:pPr>
      <w:r>
        <w:rPr>
          <w:rFonts w:ascii="Times New Roman" w:hAnsi="Times New Roman"/>
          <w:b w:val="0"/>
          <w:sz w:val="24"/>
        </w:rPr>
        <w:t>2. __________________________________________</w:t>
      </w:r>
    </w:p>
    <w:p>
      <w:pPr>
        <w:keepLines/>
        <w:ind w:firstLine="0"/>
      </w:pPr>
      <w:r>
        <w:rPr>
          <w:rFonts w:ascii="Times New Roman" w:hAnsi="Times New Roman"/>
          <w:b w:val="0"/>
          <w:sz w:val="24"/>
        </w:rPr>
        <w:t>3. __________________________________________</w:t>
      </w:r>
    </w:p>
    <w:p>
      <w:pPr>
        <w:keepLines/>
        <w:ind w:firstLine="0"/>
      </w:pPr>
      <w:r>
        <w:rPr>
          <w:rFonts w:ascii="Times New Roman" w:hAnsi="Times New Roman"/>
          <w:b w:val="0"/>
          <w:sz w:val="24"/>
        </w:rPr>
        <w:t>4. __________________________________________</w:t>
      </w:r>
    </w:p>
    <w:p>
      <w:pPr>
        <w:keepLines/>
        <w:ind w:firstLine="0"/>
      </w:pPr>
      <w:r>
        <w:rPr>
          <w:rFonts w:ascii="Times New Roman" w:hAnsi="Times New Roman"/>
          <w:b w:val="0"/>
          <w:sz w:val="24"/>
        </w:rPr>
        <w:t>Faculty advisor: _______________________________</w:t>
      </w:r>
    </w:p>
    <w:p>
      <w:pPr>
        <w:keepLines/>
        <w:ind w:firstLine="0"/>
      </w:pPr>
      <w:r>
        <w:rPr>
          <w:rFonts w:ascii="Times New Roman" w:hAnsi="Times New Roman"/>
          <w:b w:val="0"/>
          <w:sz w:val="24"/>
        </w:rPr>
        <w:t>Advisor position: ______________________________</w:t>
      </w:r>
    </w:p>
    <w:p>
      <w:pPr>
        <w:keepLines/>
        <w:ind w:firstLine="0"/>
      </w:pPr>
      <w:r>
        <w:rPr>
          <w:rFonts w:ascii="Times New Roman" w:hAnsi="Times New Roman"/>
          <w:b w:val="0"/>
          <w:sz w:val="24"/>
        </w:rPr>
        <w:t>Contact email: _________________________________</w:t>
      </w:r>
    </w:p>
    <w:p>
      <w:r>
        <w:br w:type="page"/>
      </w:r>
    </w:p>
    <w:p>
      <w:pPr>
        <w:pStyle w:val="Title"/>
        <w:keepLines/>
        <w:spacing w:line="240" w:lineRule="auto"/>
        <w:ind w:firstLine="0"/>
        <w:jc w:val="center"/>
      </w:pPr>
      <w:r>
        <w:rPr>
          <w:rFonts w:ascii="Times New Roman" w:hAnsi="Times New Roman"/>
          <w:b/>
          <w:sz w:val="36"/>
        </w:rPr>
        <w:t>SaveMyBook: Generative AI for Secondhand Book Circulation</w:t>
      </w:r>
    </w:p>
    <w:p>
      <w:pPr>
        <w:ind w:firstLine="0"/>
        <w:jc w:val="center"/>
      </w:pPr>
      <w:r>
        <w:rPr>
          <w:rFonts w:ascii="Times New Roman" w:hAnsi="Times New Roman"/>
          <w:sz w:val="24"/>
        </w:rPr>
        <w:t>____________</w:t>
      </w:r>
      <w:r>
        <w:rPr>
          <w:sz w:val="20"/>
          <w:vertAlign w:val="superscript"/>
        </w:rPr>
        <w:footnoteReference w:id="1"/>
      </w:r>
      <w:r>
        <w:t xml:space="preserve">   </w:t>
      </w:r>
      <w:r>
        <w:rPr>
          <w:rFonts w:ascii="Times New Roman" w:hAnsi="Times New Roman"/>
          <w:sz w:val="24"/>
        </w:rPr>
        <w:t>____________</w:t>
      </w:r>
      <w:r>
        <w:rPr>
          <w:sz w:val="20"/>
          <w:vertAlign w:val="superscript"/>
        </w:rPr>
        <w:footnoteReference w:id="2"/>
      </w:r>
      <w:r>
        <w:t xml:space="preserve">   </w:t>
      </w:r>
      <w:r>
        <w:rPr>
          <w:rFonts w:ascii="Times New Roman" w:hAnsi="Times New Roman"/>
          <w:sz w:val="24"/>
        </w:rPr>
        <w:t>____________</w:t>
      </w:r>
      <w:r>
        <w:rPr>
          <w:sz w:val="20"/>
          <w:vertAlign w:val="superscript"/>
        </w:rPr>
        <w:footnoteReference w:id="3"/>
      </w:r>
      <w:r>
        <w:t xml:space="preserve">   </w:t>
      </w:r>
      <w:r>
        <w:rPr>
          <w:rFonts w:ascii="Times New Roman" w:hAnsi="Times New Roman"/>
          <w:sz w:val="24"/>
        </w:rPr>
        <w:t>____________</w:t>
      </w:r>
      <w:r>
        <w:rPr>
          <w:sz w:val="20"/>
          <w:vertAlign w:val="superscript"/>
        </w:rPr>
        <w:footnoteReference w:id="4"/>
      </w:r>
    </w:p>
    <w:p>
      <w:pPr>
        <w:keepLines/>
        <w:ind w:firstLine="0"/>
      </w:pPr>
      <w:r>
        <w:rPr>
          <w:rFonts w:ascii="Times New Roman" w:hAnsi="Times New Roman"/>
          <w:b/>
          <w:sz w:val="22"/>
        </w:rPr>
        <w:t>Abstract</w:t>
      </w:r>
    </w:p>
    <w:p>
      <w:pPr>
        <w:keepLines/>
        <w:ind w:firstLine="0" w:left="220" w:right="220"/>
      </w:pPr>
      <w:r>
        <w:rPr>
          <w:rFonts w:ascii="Times New Roman" w:hAnsi="Times New Roman"/>
          <w:b w:val="0"/>
          <w:sz w:val="22"/>
        </w:rPr>
        <w:t>SaveMyBook integrates generative AI, a mobile marketplace, and an Internet-connected book cabinet to support secondhand book circulation. A survey of 498 valid respondents identified transaction safety, scheduling, and shipping effort as important concerns. The system combines ISBN-based catalog lookup with AI-assisted metadata enrichment, condition and price suggestions, inventory-grounded book advice, personalized recommendations, and retrieval-grounded customer support. Users review listing suggestions, while administrators retain authority over disputes. A Flutter application connects to a Node.js backend and a four-door ESP32-S3 cabinet, supporting asynchronous deposits and collection with on-site verification and door-event tracking. The project manual reports 1,558 passing backend tests and 2,571 passing frontend tests, with 40 additional firmware-logic tests. These results validate tested software behavior rather than live model accuracy or long-term hardware reliability. The prototype demonstrates integrated workflows; future campus trials will assess task efficiency, recommendation relevance, support quality, and actual book reuse. Payment integration and wider deployment remain planned extensions.</w:t>
      </w:r>
    </w:p>
    <w:p>
      <w:pPr>
        <w:keepLines/>
        <w:ind w:firstLine="0" w:left="220" w:right="220"/>
      </w:pPr>
      <w:r>
        <w:rPr>
          <w:rFonts w:ascii="Times New Roman" w:hAnsi="Times New Roman"/>
          <w:b w:val="0"/>
          <w:sz w:val="22"/>
        </w:rPr>
        <w:t>Keywords: generative AI; secondhand books; retrieval-augmented generation; smart cabinet</w:t>
      </w:r>
    </w:p>
    <w:p>
      <w:pPr>
        <w:pStyle w:val="Heading1"/>
        <w:keepNext/>
        <w:keepLines/>
        <w:spacing w:before="200"/>
        <w:ind w:firstLine="0"/>
        <w:jc w:val="center"/>
      </w:pPr>
      <w:r>
        <w:rPr>
          <w:rFonts w:ascii="Times New Roman" w:hAnsi="Times New Roman"/>
          <w:b/>
          <w:sz w:val="28"/>
        </w:rPr>
        <w:t>I. Problem Description</w:t>
      </w:r>
    </w:p>
    <w:p>
      <w:pPr>
        <w:pStyle w:val="Heading2"/>
        <w:keepNext/>
        <w:keepLines/>
        <w:ind w:firstLine="0"/>
      </w:pPr>
      <w:r>
        <w:rPr>
          <w:rFonts w:ascii="Times New Roman" w:hAnsi="Times New Roman"/>
          <w:b/>
          <w:sz w:val="24"/>
        </w:rPr>
        <w:t>1.1 The selected problem</w:t>
      </w:r>
    </w:p>
    <w:p>
      <w:pPr>
        <w:keepLines/>
      </w:pPr>
      <w:r>
        <w:rPr>
          <w:rFonts w:ascii="Times New Roman" w:hAnsi="Times New Roman"/>
          <w:b w:val="0"/>
          <w:sz w:val="24"/>
        </w:rPr>
        <w:t>Usable books can remain idle when listing, finding a buyer, and handing over the item require too much effort. We address this combined information and fulfillment problem: help sellers describe their books, help buyers identify suitable available copies, and enable traceable handover without requiring both parties to arrive together. The evidence and implementation described here are documented in the project manual (SaveMyBook Project Team, 2026).</w:t>
      </w:r>
    </w:p>
    <w:p>
      <w:r>
        <w:br w:type="page"/>
      </w:r>
    </w:p>
    <w:p>
      <w:pPr>
        <w:pStyle w:val="Heading2"/>
        <w:keepNext/>
        <w:keepLines/>
        <w:ind w:firstLine="0"/>
      </w:pPr>
      <w:r>
        <w:rPr>
          <w:rFonts w:ascii="Times New Roman" w:hAnsi="Times New Roman"/>
          <w:b/>
          <w:sz w:val="24"/>
        </w:rPr>
        <w:t>1.2 Evidence of user needs</w:t>
      </w:r>
    </w:p>
    <w:p>
      <w:pPr>
        <w:keepLines/>
      </w:pPr>
      <w:r>
        <w:rPr>
          <w:rFonts w:ascii="Times New Roman" w:hAnsi="Times New Roman"/>
          <w:b w:val="0"/>
          <w:sz w:val="24"/>
        </w:rPr>
        <w:t>We collected 500 questionnaires and retained 498 valid responses after excluding duplicates. For face-to-face transactions, the reported concerns were safety, including no-shows or fraud (43.2%), difficulty arranging a time (30.9%), and privacy when meeting strangers (25.9%). For shipping, packing and visiting a convenience store accounted for 57.9% of the reported inconvenience, while delivery and pickup timing accounted for 42.1%.</w:t>
      </w:r>
    </w:p>
    <w:p>
      <w:pPr>
        <w:keepLines/>
      </w:pPr>
      <w:r>
        <w:rPr>
          <w:rFonts w:ascii="Times New Roman" w:hAnsi="Times New Roman"/>
          <w:b w:val="0"/>
          <w:sz w:val="24"/>
        </w:rPr>
        <w:t>A physical storage-cabinet option was preferred by 51.4% of respondents, compared with keeping the current arrangement (24.7%) or home collection (23.9%). Among cabinet features, 57.4% selected 24-hour self-service as most attractive, followed by ISBN scanning (31.1%) and immediate storage (11.4%). These findings support the design direction, but describe stated preferences rather than observed adoption. Actual access depends on the host venue's opening hours (SaveMyBook Project Team, 2026).</w:t>
      </w:r>
    </w:p>
    <w:p>
      <w:pPr>
        <w:pStyle w:val="Heading2"/>
        <w:keepNext/>
        <w:keepLines/>
        <w:ind w:firstLine="0"/>
      </w:pPr>
      <w:r>
        <w:rPr>
          <w:rFonts w:ascii="Times New Roman" w:hAnsi="Times New Roman"/>
          <w:b/>
          <w:sz w:val="24"/>
        </w:rPr>
        <w:t>1.3 Why generative AI is relevant</w:t>
      </w:r>
    </w:p>
    <w:p>
      <w:pPr>
        <w:keepLines/>
      </w:pPr>
      <w:r>
        <w:rPr>
          <w:rFonts w:ascii="Times New Roman" w:hAnsi="Times New Roman"/>
          <w:b w:val="0"/>
          <w:sz w:val="24"/>
        </w:rPr>
        <w:t>ISBN lookup retrieves existing catalog data, but cannot resolve every missing field or express condition differences from photographs. Buyers may describe a learning objective rather than a precise title, and support questions may combine platform rules with a particular order. Generative AI can turn these varied inputs into editable suggestions and contextual explanations. It must remain grounded in catalog, inventory, and platform information rather than inventing books, policies, or transaction outcomes.</w:t>
      </w:r>
    </w:p>
    <w:p>
      <w:pPr>
        <w:pStyle w:val="Heading2"/>
        <w:keepNext/>
        <w:keepLines/>
        <w:ind w:firstLine="0"/>
      </w:pPr>
      <w:r>
        <w:rPr>
          <w:rFonts w:ascii="Times New Roman" w:hAnsi="Times New Roman"/>
          <w:b/>
          <w:sz w:val="24"/>
        </w:rPr>
        <w:t>1.4 Scope and intended outcomes</w:t>
      </w:r>
    </w:p>
    <w:p>
      <w:pPr>
        <w:keepLines/>
      </w:pPr>
      <w:r>
        <w:rPr>
          <w:rFonts w:ascii="Times New Roman" w:hAnsi="Times New Roman"/>
          <w:b w:val="0"/>
          <w:sz w:val="24"/>
        </w:rPr>
        <w:t>The initial setting is local, campus-oriented secondhand book circulation. The intended outcomes are lower listing effort, more relevant discovery, and fewer coordination steps during handover. The current project establishes an integrated prototype and tested workflows; it does not establish a measured reduction in carbon emissions, a guaranteed resale price, or a proven increase in sales. These outcomes require a field trial with explicit baselines and indicators.</w:t>
      </w:r>
    </w:p>
    <w:p>
      <w:r>
        <w:br w:type="page"/>
      </w:r>
    </w:p>
    <w:p>
      <w:pPr>
        <w:pStyle w:val="Heading1"/>
        <w:keepNext/>
        <w:keepLines/>
        <w:spacing w:before="200"/>
        <w:ind w:firstLine="0"/>
        <w:jc w:val="center"/>
      </w:pPr>
      <w:r>
        <w:rPr>
          <w:rFonts w:ascii="Times New Roman" w:hAnsi="Times New Roman"/>
          <w:b/>
          <w:sz w:val="28"/>
        </w:rPr>
        <w:t>II. Proposed Solution</w:t>
      </w:r>
    </w:p>
    <w:p>
      <w:pPr>
        <w:pStyle w:val="Heading2"/>
        <w:keepNext/>
        <w:keepLines/>
        <w:ind w:firstLine="0"/>
      </w:pPr>
      <w:r>
        <w:rPr>
          <w:rFonts w:ascii="Times New Roman" w:hAnsi="Times New Roman"/>
          <w:b/>
          <w:sz w:val="24"/>
        </w:rPr>
        <w:t>2.1 Integrated architecture</w:t>
      </w:r>
    </w:p>
    <w:p>
      <w:pPr>
        <w:keepLines/>
      </w:pPr>
      <w:r>
        <w:rPr>
          <w:rFonts w:ascii="Times New Roman" w:hAnsi="Times New Roman"/>
          <w:b w:val="0"/>
          <w:sz w:val="24"/>
        </w:rPr>
        <w:t>The mobile application is built with Flutter. A Node.js/Express backend exposes APIs, MariaDB stores operational data, and Prisma provides database access. Socket.IO supports real-time chat and state updates; Firebase supports authentication and push notifications. Cloudflare and NGINX route external connections to the school-hosted server. AI services integrate OpenAI and Google Gemini through configurable provider adapters (SaveMyBook Project Team, 2026).</w:t>
      </w:r>
    </w:p>
    <w:p>
      <w:pPr>
        <w:keepNext/>
        <w:keepLines/>
        <w:ind w:firstLine="0"/>
      </w:pPr>
      <w:r>
        <w:rPr>
          <w:rFonts w:ascii="Times New Roman" w:hAnsi="Times New Roman"/>
          <w:b w:val="0"/>
          <w:sz w:val="22"/>
        </w:rPr>
        <w:t>Table 1. System components and responsibilities</w:t>
      </w:r>
    </w:p>
    <w:tbl>
      <w:tblPr>
        <w:tblW w:type="auto" w:w="0"/>
        <w:tblLayout w:type="fixed"/>
        <w:tblLook w:firstColumn="1" w:firstRow="1" w:lastColumn="0" w:lastRow="0" w:noHBand="0" w:noVBand="1" w:val="04A0"/>
      </w:tblPr>
      <w:tblGrid>
        <w:gridCol w:w="2268"/>
        <w:gridCol w:w="6236"/>
      </w:tblGrid>
      <w:tr>
        <w:trPr>
          <w:cantSplit/>
        </w:trPr>
        <w:tc>
          <w:tcPr>
            <w:tcW w:type="dxa" w:w="2268"/>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Layer</w:t>
            </w:r>
          </w:p>
        </w:tc>
        <w:tc>
          <w:tcPr>
            <w:tcW w:type="dxa" w:w="6236"/>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Responsibility</w:t>
            </w:r>
          </w:p>
        </w:tc>
      </w:tr>
      <w:tr>
        <w:trPr>
          <w:cantSplit/>
        </w:trPr>
        <w:tc>
          <w:tcPr>
            <w:tcW w:type="dxa" w:w="2268"/>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Mobile application</w:t>
            </w:r>
          </w:p>
        </w:tc>
        <w:tc>
          <w:tcPr>
            <w:tcW w:type="dxa" w:w="6236"/>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Listing, book discovery, purchase, cabinet operations, chat, support, and administrator views.</w:t>
            </w:r>
          </w:p>
        </w:tc>
      </w:tr>
      <w:tr>
        <w:trPr>
          <w:cantSplit/>
        </w:trPr>
        <w:tc>
          <w:tcPr>
            <w:tcW w:type="dxa" w:w="2268"/>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Backend and database</w:t>
            </w:r>
          </w:p>
        </w:tc>
        <w:tc>
          <w:tcPr>
            <w:tcW w:type="dxa" w:w="6236"/>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Permissions, books, orders, wallet balances, reservations, events, and AI orchestration.</w:t>
            </w:r>
          </w:p>
        </w:tc>
      </w:tr>
      <w:tr>
        <w:trPr>
          <w:cantSplit/>
        </w:trPr>
        <w:tc>
          <w:tcPr>
            <w:tcW w:type="dxa" w:w="2268"/>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AI service layer</w:t>
            </w:r>
          </w:p>
        </w:tc>
        <w:tc>
          <w:tcPr>
            <w:tcW w:type="dxa" w:w="6236"/>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Enrichment, listing assistance, book advice, recommendations, support, and review assistance.</w:t>
            </w:r>
          </w:p>
        </w:tc>
      </w:tr>
      <w:tr>
        <w:trPr>
          <w:cantSplit/>
        </w:trPr>
        <w:tc>
          <w:tcPr>
            <w:tcW w:type="dxa" w:w="2268"/>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Cabinet terminal</w:t>
            </w:r>
          </w:p>
        </w:tc>
        <w:tc>
          <w:tcPr>
            <w:tcW w:type="dxa" w:w="6236"/>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HTTPS polling, display prompts, four-door lock control, and door-event reporting.</w:t>
            </w:r>
          </w:p>
        </w:tc>
      </w:tr>
    </w:tbl>
    <w:p>
      <w:pPr>
        <w:pStyle w:val="Heading2"/>
        <w:keepNext/>
        <w:keepLines/>
        <w:ind w:firstLine="0"/>
      </w:pPr>
      <w:r>
        <w:rPr>
          <w:rFonts w:ascii="Times New Roman" w:hAnsi="Times New Roman"/>
          <w:b/>
          <w:sz w:val="24"/>
        </w:rPr>
        <w:t>2.2 Physical handover</w:t>
      </w:r>
    </w:p>
    <w:p>
      <w:pPr>
        <w:keepLines/>
      </w:pPr>
      <w:r>
        <w:rPr>
          <w:rFonts w:ascii="Times New Roman" w:hAnsi="Times New Roman"/>
          <w:b w:val="0"/>
          <w:sz w:val="24"/>
        </w:rPr>
        <w:t>Each cabinet uses one ESP32-S3 controller, four electromagnetic locks, and a display. The cabinet body uses plywood, with laser-cut acrylic front panels and doors. The terminal polls the server over HTTPS and reports opening, closing, and fault events. A browser-based simulator implements the same device protocol and logic to support integration testing before and alongside physical operation.</w:t>
      </w:r>
    </w:p>
    <w:p>
      <w:pPr>
        <w:keepLines/>
      </w:pPr>
      <w:r>
        <w:rPr>
          <w:rFonts w:ascii="Times New Roman" w:hAnsi="Times New Roman"/>
          <w:b w:val="0"/>
          <w:sz w:val="24"/>
        </w:rPr>
        <w:t>At the cabinet, the user scans a dynamic QR code and confirms the intended operation. The backend checks eligibility, location within 200 meters, device status, and venue access conditions. The user then enters the displayed two-digit challenge within 60 seconds. An authorized match permits unlocking. Deposit or collection is committed only after the relevant closing event; uncertain states require administrator review.</w:t>
      </w:r>
    </w:p>
    <w:p>
      <w:r>
        <w:br w:type="page"/>
      </w:r>
    </w:p>
    <w:p>
      <w:pPr>
        <w:pStyle w:val="Heading2"/>
        <w:keepNext/>
        <w:keepLines/>
        <w:ind w:firstLine="0"/>
      </w:pPr>
      <w:r>
        <w:rPr>
          <w:rFonts w:ascii="Times New Roman" w:hAnsi="Times New Roman"/>
          <w:b/>
          <w:sz w:val="24"/>
        </w:rPr>
        <w:t>2.3 Transaction workflow and responsibility</w:t>
      </w:r>
    </w:p>
    <w:p>
      <w:pPr>
        <w:keepLines/>
      </w:pPr>
      <w:r>
        <w:rPr>
          <w:rFonts w:ascii="Times New Roman" w:hAnsi="Times New Roman"/>
          <w:b w:val="0"/>
          <w:sz w:val="24"/>
        </w:rPr>
        <w:t>A seller scans the ISBN, adds photographs, reviews generated suggestions, and publishes the listing. The buyer browses or asks the book advisor, then pays using the platform token wallet. One token corresponds to NTD 1. The payment is deducted and held pending completion rather than immediately credited to the seller. Deposits and collection are subject to the documented deadlines; the seller may also store an unsold book in advance.</w:t>
      </w:r>
    </w:p>
    <w:p>
      <w:pPr>
        <w:keepLines/>
      </w:pPr>
      <w:r>
        <w:rPr>
          <w:rFonts w:ascii="Times New Roman" w:hAnsi="Times New Roman"/>
          <w:b w:val="0"/>
          <w:sz w:val="24"/>
        </w:rPr>
        <w:t>After collection, the buyer may confirm completion. If no dispute is raised, the order completes automatically after 24 hours. A dispute can be requested within 24 hours of collection while the order remains incomplete, suspending payout. AI may analyze listing information and submitted evidence, but an administrator determines the outcome. Current wallet top-ups are assisted by customer-service adjustments; withdrawals and third-party payment integration are not yet available (SaveMyBook Project Team, 2026).</w:t>
      </w:r>
    </w:p>
    <w:p>
      <w:pPr>
        <w:pStyle w:val="Heading2"/>
        <w:keepNext/>
        <w:keepLines/>
        <w:ind w:firstLine="0"/>
      </w:pPr>
      <w:r>
        <w:rPr>
          <w:rFonts w:ascii="Times New Roman" w:hAnsi="Times New Roman"/>
          <w:b/>
          <w:sz w:val="24"/>
        </w:rPr>
        <w:t>2.4 Implemented results and verification</w:t>
      </w:r>
    </w:p>
    <w:p>
      <w:pPr>
        <w:keepNext/>
        <w:keepLines/>
        <w:ind w:firstLine="0"/>
      </w:pPr>
      <w:r>
        <w:rPr>
          <w:rFonts w:ascii="Times New Roman" w:hAnsi="Times New Roman"/>
          <w:b w:val="0"/>
          <w:sz w:val="22"/>
        </w:rPr>
        <w:t>Table 2. Reported automated verification as of October 13, 2026</w:t>
      </w:r>
    </w:p>
    <w:tbl>
      <w:tblPr>
        <w:tblW w:type="auto" w:w="0"/>
        <w:tblLayout w:type="fixed"/>
        <w:tblLook w:firstColumn="1" w:firstRow="1" w:lastColumn="0" w:lastRow="0" w:noHBand="0" w:noVBand="1" w:val="04A0"/>
      </w:tblPr>
      <w:tblGrid>
        <w:gridCol w:w="2835"/>
        <w:gridCol w:w="1134"/>
        <w:gridCol w:w="4535"/>
      </w:tblGrid>
      <w:tr>
        <w:trPr>
          <w:cantSplit/>
        </w:trPr>
        <w:tc>
          <w:tcPr>
            <w:tcW w:type="dxa" w:w="2835"/>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Scope</w:t>
            </w:r>
          </w:p>
        </w:tc>
        <w:tc>
          <w:tcPr>
            <w:tcW w:type="dxa" w:w="1134"/>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Tests</w:t>
            </w:r>
          </w:p>
        </w:tc>
        <w:tc>
          <w:tcPr>
            <w:tcW w:type="dxa" w:w="4535"/>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Reported result</w:t>
            </w:r>
          </w:p>
        </w:tc>
      </w:tr>
      <w:tr>
        <w:trPr>
          <w:cantSplit/>
        </w:trPr>
        <w:tc>
          <w:tcPr>
            <w:tcW w:type="dxa" w:w="28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Backend, 11 groups</w:t>
            </w:r>
          </w:p>
        </w:tc>
        <w:tc>
          <w:tcPr>
            <w:tcW w:type="dxa" w:w="1134"/>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1,558</w:t>
            </w:r>
          </w:p>
        </w:tc>
        <w:tc>
          <w:tcPr>
            <w:tcW w:type="dxa" w:w="45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All passed; includes 495 AI-related cases.</w:t>
            </w:r>
          </w:p>
        </w:tc>
      </w:tr>
      <w:tr>
        <w:trPr>
          <w:cantSplit/>
        </w:trPr>
        <w:tc>
          <w:tcPr>
            <w:tcW w:type="dxa" w:w="28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Flutter frontend</w:t>
            </w:r>
          </w:p>
        </w:tc>
        <w:tc>
          <w:tcPr>
            <w:tcW w:type="dxa" w:w="1134"/>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2,571</w:t>
            </w:r>
          </w:p>
        </w:tc>
        <w:tc>
          <w:tcPr>
            <w:tcW w:type="dxa" w:w="45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All passed after expansion of parameterized tests.</w:t>
            </w:r>
          </w:p>
        </w:tc>
      </w:tr>
      <w:tr>
        <w:trPr>
          <w:cantSplit/>
        </w:trPr>
        <w:tc>
          <w:tcPr>
            <w:tcW w:type="dxa" w:w="28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Firmware logic</w:t>
            </w:r>
          </w:p>
        </w:tc>
        <w:tc>
          <w:tcPr>
            <w:tcW w:type="dxa" w:w="1134"/>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40</w:t>
            </w:r>
          </w:p>
        </w:tc>
        <w:tc>
          <w:tcPr>
            <w:tcW w:type="dxa" w:w="4535"/>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Additional device-logic verification.</w:t>
            </w:r>
          </w:p>
        </w:tc>
      </w:tr>
    </w:tbl>
    <w:p>
      <w:pPr>
        <w:keepLines/>
      </w:pPr>
      <w:r>
        <w:rPr>
          <w:rFonts w:ascii="Times New Roman" w:hAnsi="Times New Roman"/>
          <w:b w:val="0"/>
          <w:sz w:val="24"/>
        </w:rPr>
        <w:t>The 207 cabinet API tests and 52 simulator tests are subsets of the backend total, not additional cases. Backend tests use a fake Prisma client and intercepted fetch calls returning recorded responses. Frontend tests cover units and widgets. These methods support repeatable checks of logic, UI behavior, and failure paths; they do not measure live model accuracy, production database performance, or long-term cabinet reliability.</w:t>
      </w:r>
    </w:p>
    <w:p>
      <w:pPr>
        <w:pStyle w:val="Heading2"/>
        <w:keepNext/>
        <w:keepLines/>
        <w:ind w:firstLine="0"/>
      </w:pPr>
      <w:r>
        <w:rPr>
          <w:rFonts w:ascii="Times New Roman" w:hAnsi="Times New Roman"/>
          <w:b/>
          <w:sz w:val="24"/>
        </w:rPr>
        <w:t>2.5 Practical differentiation</w:t>
      </w:r>
    </w:p>
    <w:p>
      <w:pPr>
        <w:keepLines/>
      </w:pPr>
      <w:r>
        <w:rPr>
          <w:rFonts w:ascii="Times New Roman" w:hAnsi="Times New Roman"/>
          <w:b w:val="0"/>
          <w:sz w:val="24"/>
        </w:rPr>
        <w:t>The contribution is the connection of generative assistance to inventory and traceable physical fulfillment. A listing suggestion can become a reviewed product record; book advice can lead to an existing offer; a purchase can be linked to a verified door event. The approach requires cabinet capacity, maintenance, and venue cooperation. It is therefore a locally deployable prototype, not a claim of nationwide operational coverage.</w:t>
      </w:r>
    </w:p>
    <w:p>
      <w:r>
        <w:br w:type="page"/>
      </w:r>
    </w:p>
    <w:p>
      <w:pPr>
        <w:pStyle w:val="Heading1"/>
        <w:keepNext/>
        <w:keepLines/>
        <w:spacing w:before="200"/>
        <w:ind w:firstLine="0"/>
        <w:jc w:val="center"/>
      </w:pPr>
      <w:r>
        <w:rPr>
          <w:rFonts w:ascii="Times New Roman" w:hAnsi="Times New Roman"/>
          <w:b/>
          <w:sz w:val="28"/>
        </w:rPr>
        <w:t>III. How Generative AI Addresses the Problem</w:t>
      </w:r>
    </w:p>
    <w:p>
      <w:pPr>
        <w:pStyle w:val="Heading2"/>
        <w:keepNext/>
        <w:keepLines/>
        <w:ind w:firstLine="0"/>
      </w:pPr>
      <w:r>
        <w:rPr>
          <w:rFonts w:ascii="Times New Roman" w:hAnsi="Times New Roman"/>
          <w:b/>
          <w:sz w:val="24"/>
        </w:rPr>
        <w:t>3.1 Division between AI and deterministic services</w:t>
      </w:r>
    </w:p>
    <w:p>
      <w:pPr>
        <w:keepLines/>
      </w:pPr>
      <w:r>
        <w:rPr>
          <w:rFonts w:ascii="Times New Roman" w:hAnsi="Times New Roman"/>
          <w:b w:val="0"/>
          <w:sz w:val="24"/>
        </w:rPr>
        <w:t>We integrate existing foundation-model services rather than training a new base model. The backend separates language and image interpretation from authoritative transaction logic. Generative AI produces suggestions, explanations, and evidence summaries. Catalog APIs supply bibliographic records; the database supplies inventory and order state; authorization and cabinet logic control access. An AI answer does not itself transfer funds, open a door, or decide a dispute (SaveMyBook Project Team, 2026).</w:t>
      </w:r>
    </w:p>
    <w:p>
      <w:pPr>
        <w:pStyle w:val="Heading2"/>
        <w:keepNext/>
        <w:keepLines/>
        <w:ind w:firstLine="0"/>
      </w:pPr>
      <w:r>
        <w:rPr>
          <w:rFonts w:ascii="Times New Roman" w:hAnsi="Times New Roman"/>
          <w:b/>
          <w:sz w:val="24"/>
        </w:rPr>
        <w:t>3.2 Listing assistance and metadata enrichment</w:t>
      </w:r>
    </w:p>
    <w:p>
      <w:pPr>
        <w:keepLines/>
      </w:pPr>
      <w:r>
        <w:rPr>
          <w:rFonts w:ascii="Times New Roman" w:hAnsi="Times New Roman"/>
          <w:b w:val="0"/>
          <w:sz w:val="24"/>
        </w:rPr>
        <w:t>The seller first scans an ISBN. Google Books and Open Library provide catalog information; this is ordinary data retrieval, not generation. When fields are missing, AI enrichment can suggest an author, publisher, publication date, or synopsis. AI-generated summaries are identified in the interface so users can distinguish them from retrieved catalog information.</w:t>
      </w:r>
    </w:p>
    <w:p>
      <w:pPr>
        <w:keepLines/>
      </w:pPr>
      <w:r>
        <w:rPr>
          <w:rFonts w:ascii="Times New Roman" w:hAnsi="Times New Roman"/>
          <w:b w:val="0"/>
          <w:sz w:val="24"/>
        </w:rPr>
        <w:t>Listing assistance combines book data and seller photographs to suggest descriptions, condition categories, and prices. Photographs provide visual evidence such as cover wear, while metadata supplies context. The output is presented for editing and confirmation. A price is advisory rather than a guaranteed appraisal, and visible photographs cannot establish every defect in a book. Sellers remain responsible for checking both content and condition before publication.</w:t>
      </w:r>
    </w:p>
    <w:p>
      <w:pPr>
        <w:keepNext/>
        <w:keepLines/>
        <w:ind w:firstLine="0"/>
      </w:pPr>
      <w:r>
        <w:rPr>
          <w:rFonts w:ascii="Times New Roman" w:hAnsi="Times New Roman"/>
          <w:b w:val="0"/>
          <w:sz w:val="22"/>
        </w:rPr>
        <w:t>Table 3. Listing assistance with human review</w:t>
      </w:r>
    </w:p>
    <w:tbl>
      <w:tblPr>
        <w:tblW w:type="auto" w:w="0"/>
        <w:tblLayout w:type="fixed"/>
        <w:tblLook w:firstColumn="1" w:firstRow="1" w:lastColumn="0" w:lastRow="0" w:noHBand="0" w:noVBand="1" w:val="04A0"/>
      </w:tblPr>
      <w:tblGrid>
        <w:gridCol w:w="1531"/>
        <w:gridCol w:w="5272"/>
        <w:gridCol w:w="1701"/>
      </w:tblGrid>
      <w:tr>
        <w:trPr>
          <w:cantSplit/>
        </w:trPr>
        <w:tc>
          <w:tcPr>
            <w:tcW w:type="dxa" w:w="1531"/>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Stage</w:t>
            </w:r>
          </w:p>
        </w:tc>
        <w:tc>
          <w:tcPr>
            <w:tcW w:type="dxa" w:w="5272"/>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Function</w:t>
            </w:r>
          </w:p>
        </w:tc>
        <w:tc>
          <w:tcPr>
            <w:tcW w:type="dxa" w:w="1701"/>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Decision owner</w:t>
            </w:r>
          </w:p>
        </w:tc>
      </w:tr>
      <w:tr>
        <w:trPr>
          <w:cantSplit/>
        </w:trPr>
        <w:tc>
          <w:tcPr>
            <w:tcW w:type="dxa" w:w="153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Retrieve</w:t>
            </w:r>
          </w:p>
        </w:tc>
        <w:tc>
          <w:tcPr>
            <w:tcW w:type="dxa" w:w="527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Scan ISBN and query catalog APIs.</w:t>
            </w:r>
          </w:p>
        </w:tc>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Data services</w:t>
            </w:r>
          </w:p>
        </w:tc>
      </w:tr>
      <w:tr>
        <w:trPr>
          <w:cantSplit/>
        </w:trPr>
        <w:tc>
          <w:tcPr>
            <w:tcW w:type="dxa" w:w="153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Generate</w:t>
            </w:r>
          </w:p>
        </w:tc>
        <w:tc>
          <w:tcPr>
            <w:tcW w:type="dxa" w:w="527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Suggest missing metadata and photo-based listing details.</w:t>
            </w:r>
          </w:p>
        </w:tc>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AI service</w:t>
            </w:r>
          </w:p>
        </w:tc>
      </w:tr>
      <w:tr>
        <w:trPr>
          <w:cantSplit/>
        </w:trPr>
        <w:tc>
          <w:tcPr>
            <w:tcW w:type="dxa" w:w="153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Verify</w:t>
            </w:r>
          </w:p>
        </w:tc>
        <w:tc>
          <w:tcPr>
            <w:tcW w:type="dxa" w:w="527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Check suggestions against the book and photographs.</w:t>
            </w:r>
          </w:p>
        </w:tc>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Seller</w:t>
            </w:r>
          </w:p>
        </w:tc>
      </w:tr>
      <w:tr>
        <w:trPr>
          <w:cantSplit/>
        </w:trPr>
        <w:tc>
          <w:tcPr>
            <w:tcW w:type="dxa" w:w="153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Publish</w:t>
            </w:r>
          </w:p>
        </w:tc>
        <w:tc>
          <w:tcPr>
            <w:tcW w:type="dxa" w:w="527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Save the confirmed listing and apply content review.</w:t>
            </w:r>
          </w:p>
        </w:tc>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Platform workflow</w:t>
            </w:r>
          </w:p>
        </w:tc>
      </w:tr>
    </w:tbl>
    <w:p>
      <w:pPr>
        <w:pStyle w:val="Heading2"/>
        <w:keepNext/>
        <w:keepLines/>
        <w:ind w:firstLine="0"/>
      </w:pPr>
      <w:r>
        <w:rPr>
          <w:rFonts w:ascii="Times New Roman" w:hAnsi="Times New Roman"/>
          <w:b/>
          <w:sz w:val="24"/>
        </w:rPr>
        <w:t>3.3 Content review</w:t>
      </w:r>
    </w:p>
    <w:p>
      <w:pPr>
        <w:keepLines/>
      </w:pPr>
      <w:r>
        <w:rPr>
          <w:rFonts w:ascii="Times New Roman" w:hAnsi="Times New Roman"/>
          <w:b w:val="0"/>
          <w:sz w:val="24"/>
        </w:rPr>
        <w:t>The review workflow combines rule checks and AI-assisted examination of listing content. This supports screening while retaining administrator review. The implementation includes structured-output handling and server-side verification tests. Passing those tests confirms behavior against fixtures, not universal detection accuracy for misleading or prohibited content.</w:t>
      </w:r>
    </w:p>
    <w:p>
      <w:r>
        <w:br w:type="page"/>
      </w:r>
    </w:p>
    <w:p>
      <w:pPr>
        <w:pStyle w:val="Heading2"/>
        <w:keepNext/>
        <w:keepLines/>
        <w:ind w:firstLine="0"/>
      </w:pPr>
      <w:r>
        <w:rPr>
          <w:rFonts w:ascii="Times New Roman" w:hAnsi="Times New Roman"/>
          <w:b/>
          <w:sz w:val="24"/>
        </w:rPr>
        <w:t>3.4 Inventory-grounded book advice</w:t>
      </w:r>
    </w:p>
    <w:p>
      <w:pPr>
        <w:keepLines/>
      </w:pPr>
      <w:r>
        <w:rPr>
          <w:rFonts w:ascii="Times New Roman" w:hAnsi="Times New Roman"/>
          <w:b w:val="0"/>
          <w:sz w:val="24"/>
        </w:rPr>
        <w:t>The book advisor interprets a buyer's expressed purpose, budget, category, and condition preferences. Keyword and vector-based semantic retrieval are combined and ranked to search platform listings. Generative AI uses these candidates to explain relevance and return book cards. The retrieval layer connects natural-language intent to available products; the generated explanation should not be treated as an independent inventory record.</w:t>
      </w:r>
    </w:p>
    <w:p>
      <w:pPr>
        <w:keepLines/>
      </w:pPr>
      <w:r>
        <w:rPr>
          <w:rFonts w:ascii="Times New Roman" w:hAnsi="Times New Roman"/>
          <w:b w:val="0"/>
          <w:sz w:val="24"/>
        </w:rPr>
        <w:t>For example, a request for an affordable introductory programming book is handled as a need-and-budget query rather than requiring an exact title. Candidate listings come from platform data, and the advisor explains suitable options. This example describes the workflow, not a measured recommendation result. Stock and price remain subject to the selected listing and transaction checks.</w:t>
      </w:r>
    </w:p>
    <w:p>
      <w:pPr>
        <w:pStyle w:val="Heading2"/>
        <w:keepNext/>
        <w:keepLines/>
        <w:ind w:firstLine="0"/>
      </w:pPr>
      <w:r>
        <w:rPr>
          <w:rFonts w:ascii="Times New Roman" w:hAnsi="Times New Roman"/>
          <w:b/>
          <w:sz w:val="24"/>
        </w:rPr>
        <w:t>3.5 Personalized recommendations</w:t>
      </w:r>
    </w:p>
    <w:p>
      <w:pPr>
        <w:keepLines/>
      </w:pPr>
      <w:r>
        <w:rPr>
          <w:rFonts w:ascii="Times New Roman" w:hAnsi="Times New Roman"/>
          <w:b w:val="0"/>
          <w:sz w:val="24"/>
        </w:rPr>
        <w:t>Candidate books are assembled from purchase, favorite, cart, and browsing history. AI selects among candidates and supplies reasons, allowing the application to present recommendations grouped by rationale. Recommendation results can be cached to reduce repeated calls. When the AI service is unavailable, the system falls back to general recommendations. This avoids making ordinary browsing dependent on a successful model response.</w:t>
      </w:r>
    </w:p>
    <w:p>
      <w:pPr>
        <w:pStyle w:val="Heading2"/>
        <w:keepNext/>
        <w:keepLines/>
        <w:ind w:firstLine="0"/>
      </w:pPr>
      <w:r>
        <w:rPr>
          <w:rFonts w:ascii="Times New Roman" w:hAnsi="Times New Roman"/>
          <w:b/>
          <w:sz w:val="24"/>
        </w:rPr>
        <w:t>3.6 Retrieval-grounded customer support</w:t>
      </w:r>
    </w:p>
    <w:p>
      <w:pPr>
        <w:keepLines/>
      </w:pPr>
      <w:r>
        <w:rPr>
          <w:rFonts w:ascii="Times New Roman" w:hAnsi="Times New Roman"/>
          <w:b w:val="0"/>
          <w:sz w:val="24"/>
        </w:rPr>
        <w:t>Customer support uses keyword and semantic retrieval over platform instructions, frequently asked questions, and policy documents, including terms and privacy information. Relevant passages are provided as answer context together with applicable order, reservation, or book information. This is retrieval-augmented generation: the model explains platform-specific information instead of relying solely on its general knowledge.</w:t>
      </w:r>
    </w:p>
    <w:p>
      <w:pPr>
        <w:keepLines/>
      </w:pPr>
      <w:r>
        <w:rPr>
          <w:rFonts w:ascii="Times New Roman" w:hAnsi="Times New Roman"/>
          <w:b w:val="0"/>
          <w:sz w:val="24"/>
        </w:rPr>
        <w:t>If the conversation does not resolve the issue, the user can transfer it to a human support ticket with conversation history. The user may add descriptions and images. Generated answers remain advisory; support staff handle exceptions and consequential decisions. The support knowledge base and transaction constants require consistency, which is included in the reported AI-related tests.</w:t>
      </w:r>
    </w:p>
    <w:p>
      <w:r>
        <w:br w:type="page"/>
      </w:r>
    </w:p>
    <w:p>
      <w:pPr>
        <w:pStyle w:val="Heading2"/>
        <w:keepNext/>
        <w:keepLines/>
        <w:ind w:firstLine="0"/>
      </w:pPr>
      <w:r>
        <w:rPr>
          <w:rFonts w:ascii="Times New Roman" w:hAnsi="Times New Roman"/>
          <w:b/>
          <w:sz w:val="24"/>
        </w:rPr>
        <w:t>3.7 Dispute assistance and safeguards</w:t>
      </w:r>
    </w:p>
    <w:p>
      <w:pPr>
        <w:keepLines/>
      </w:pPr>
      <w:r>
        <w:rPr>
          <w:rFonts w:ascii="Times New Roman" w:hAnsi="Times New Roman"/>
          <w:b w:val="0"/>
          <w:sz w:val="24"/>
        </w:rPr>
        <w:t>AI dispute assistance compares listing photographs and descriptions with submitted evidence and produces an analysis for administrators. The system records the analysis, the number of photographs submitted to the service, and administrator feedback, including whether the eventual decision agrees with the suggestion. This creates a reviewable assistance process rather than automatic adjudication. The administrator remains responsible for deciding whether to reject, refund, or otherwise resolve a dispute.</w:t>
      </w:r>
    </w:p>
    <w:p>
      <w:pPr>
        <w:keepLines/>
      </w:pPr>
      <w:r>
        <w:rPr>
          <w:rFonts w:ascii="Times New Roman" w:hAnsi="Times New Roman"/>
          <w:b w:val="0"/>
          <w:sz w:val="24"/>
        </w:rPr>
        <w:t>Before AI processing, the system obtains consent and provides privacy disclosures. Daily per-user limits and a monthly budget constrain use. Usage records track calls, cost, outcomes, and prompt versions. Decision records keep codes, counts, and timing rather than complete prompts, original messages, or photographs; conversation and dispute records are separate operational data. The project also includes prompt-injection defenses, timeout fallback, and duplicate-message handling (SaveMyBook Project Team, 2026).</w:t>
      </w:r>
    </w:p>
    <w:p>
      <w:pPr>
        <w:keepNext/>
        <w:keepLines/>
        <w:ind w:firstLine="0"/>
      </w:pPr>
      <w:r>
        <w:rPr>
          <w:rFonts w:ascii="Times New Roman" w:hAnsi="Times New Roman"/>
          <w:b w:val="0"/>
          <w:sz w:val="22"/>
        </w:rPr>
        <w:t>Table 4. Documented AI controls</w:t>
      </w:r>
    </w:p>
    <w:tbl>
      <w:tblPr>
        <w:tblW w:type="auto" w:w="0"/>
        <w:tblLayout w:type="fixed"/>
        <w:tblLook w:firstColumn="1" w:firstRow="1" w:lastColumn="0" w:lastRow="0" w:noHBand="0" w:noVBand="1" w:val="04A0"/>
      </w:tblPr>
      <w:tblGrid>
        <w:gridCol w:w="1701"/>
        <w:gridCol w:w="3402"/>
        <w:gridCol w:w="3402"/>
      </w:tblGrid>
      <w:tr>
        <w:trPr>
          <w:cantSplit/>
        </w:trPr>
        <w:tc>
          <w:tcPr>
            <w:tcW w:type="dxa" w:w="1701"/>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Risk</w:t>
            </w:r>
          </w:p>
        </w:tc>
        <w:tc>
          <w:tcPr>
            <w:tcW w:type="dxa" w:w="3402"/>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Implemented control</w:t>
            </w:r>
          </w:p>
        </w:tc>
        <w:tc>
          <w:tcPr>
            <w:tcW w:type="dxa" w:w="3402"/>
            <w:shd w:fill="ECECEC"/>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sz w:val="22"/>
              </w:rPr>
              <w:t>Remaining evaluation need</w:t>
            </w:r>
          </w:p>
        </w:tc>
      </w:tr>
      <w:tr>
        <w:trPr>
          <w:cantSplit/>
        </w:trPr>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Unsupported output</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Retrieval grounding, server checks, user or administrator review.</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Measure errors on independently labeled cases.</w:t>
            </w:r>
          </w:p>
        </w:tc>
      </w:tr>
      <w:tr>
        <w:trPr>
          <w:cantSplit/>
        </w:trPr>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Service interruption</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Provider adapters, timeout handling, and fallback paths.</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Observe live latency and continuity.</w:t>
            </w:r>
          </w:p>
        </w:tc>
      </w:tr>
      <w:tr>
        <w:trPr>
          <w:cantSplit/>
        </w:trPr>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Excessive cost</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Daily limits, monthly budget, usage logs, and caching.</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Measure cost per completed user task.</w:t>
            </w:r>
          </w:p>
        </w:tc>
      </w:tr>
      <w:tr>
        <w:trPr>
          <w:cantSplit/>
        </w:trPr>
        <w:tc>
          <w:tcPr>
            <w:tcW w:type="dxa" w:w="1701"/>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Unsafe instructions</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Prompt-injection defenses and authoritative backend logic.</w:t>
            </w:r>
          </w:p>
        </w:tc>
        <w:tc>
          <w:tcPr>
            <w:tcW w:type="dxa" w:w="3402"/>
            <w:tcBorders>
              <w:top w:val="single" w:sz="4" w:color="D9D9D9"/>
              <w:left w:val="single" w:sz="4" w:color="D9D9D9"/>
              <w:bottom w:val="single" w:sz="4" w:color="D9D9D9"/>
              <w:right w:val="single" w:sz="4" w:color="D9D9D9"/>
            </w:tcBorders>
          </w:tcPr>
          <w:p>
            <w:pPr>
              <w:spacing w:before="60" w:after="60" w:line="240" w:lineRule="auto"/>
              <w:ind w:firstLine="0"/>
              <w:jc w:val="left"/>
            </w:pPr>
            <w:r>
              <w:rPr>
                <w:rFonts w:ascii="Times New Roman" w:hAnsi="Times New Roman"/>
                <w:b w:val="0"/>
                <w:sz w:val="22"/>
              </w:rPr>
              <w:t>Expand adversarial and policy-consistency cases.</w:t>
            </w:r>
          </w:p>
        </w:tc>
      </w:tr>
    </w:tbl>
    <w:p>
      <w:pPr>
        <w:pStyle w:val="Heading2"/>
        <w:keepNext/>
        <w:keepLines/>
        <w:ind w:firstLine="0"/>
      </w:pPr>
      <w:r>
        <w:rPr>
          <w:rFonts w:ascii="Times New Roman" w:hAnsi="Times New Roman"/>
          <w:b/>
          <w:sz w:val="24"/>
        </w:rPr>
        <w:t>3.8 What the AI tests establish</w:t>
      </w:r>
    </w:p>
    <w:p>
      <w:pPr>
        <w:keepLines/>
      </w:pPr>
      <w:r>
        <w:rPr>
          <w:rFonts w:ascii="Times New Roman" w:hAnsi="Times New Roman"/>
          <w:b w:val="0"/>
          <w:sz w:val="24"/>
        </w:rPr>
        <w:t>The backend AI group contains 495 tests covering retrieval, provider adapters, consent, budgets, structured outputs, verification, moderation, assistance, disputes, injection handling, and fallback behavior. Recorded responses allow deterministic regression checks. They do not justify an accuracy percentage for live models or a claim that hallucinations have been eliminated. Changes in models, prompts, knowledge, or inventory require renewed evaluation.</w:t>
      </w:r>
    </w:p>
    <w:p>
      <w:r>
        <w:br w:type="page"/>
      </w:r>
    </w:p>
    <w:p>
      <w:pPr>
        <w:pStyle w:val="Heading2"/>
        <w:keepNext/>
        <w:keepLines/>
        <w:ind w:firstLine="0"/>
      </w:pPr>
      <w:r>
        <w:rPr>
          <w:rFonts w:ascii="Times New Roman" w:hAnsi="Times New Roman"/>
          <w:b/>
          <w:sz w:val="24"/>
        </w:rPr>
        <w:t>3.9 Planned evaluation and next steps</w:t>
      </w:r>
    </w:p>
    <w:p>
      <w:pPr>
        <w:keepLines/>
      </w:pPr>
      <w:r>
        <w:rPr>
          <w:rFonts w:ascii="Times New Roman" w:hAnsi="Times New Roman"/>
          <w:b w:val="0"/>
          <w:sz w:val="24"/>
        </w:rPr>
        <w:t>A campus pilot should compare manual and AI-assisted listing time while checking final field accuracy against the physical book. Independently reviewed queries should measure recommendation relevance and whether returned products satisfy stated budgets. Support evaluation should check correctness against approved policies, escalation appropriateness, and response latency. Cabinet evaluation should record successful deposits and collections, uncertain states, and recovery time. These are proposed measurements, not completed experiments.</w:t>
      </w:r>
    </w:p>
    <w:p>
      <w:pPr>
        <w:keepLines/>
      </w:pPr>
      <w:r>
        <w:rPr>
          <w:rFonts w:ascii="Times New Roman" w:hAnsi="Times New Roman"/>
          <w:b w:val="0"/>
          <w:sz w:val="24"/>
        </w:rPr>
        <w:t>Reuse should be measured through completed book transfers and repeated circulation, with actual adoption and retention tracked separately from questionnaire preferences. Any future carbon estimate needs explicit boundaries for cabinet materials, electricity, and travel. The prototype currently provides no measured carbon-reduction result. Scaling also requires maintenance procedures, venue agreements, and payment integration.</w:t>
      </w:r>
    </w:p>
    <w:p>
      <w:pPr>
        <w:pStyle w:val="Heading2"/>
        <w:keepNext/>
        <w:keepLines/>
        <w:ind w:firstLine="0"/>
      </w:pPr>
      <w:r>
        <w:rPr>
          <w:rFonts w:ascii="Times New Roman" w:hAnsi="Times New Roman"/>
          <w:b/>
          <w:sz w:val="24"/>
        </w:rPr>
        <w:t>3.10 Development use of generative AI</w:t>
      </w:r>
    </w:p>
    <w:p>
      <w:pPr>
        <w:keepLines/>
      </w:pPr>
      <w:r>
        <w:rPr>
          <w:rFonts w:ascii="Times New Roman" w:hAnsi="Times New Roman"/>
          <w:b w:val="0"/>
          <w:sz w:val="24"/>
        </w:rPr>
        <w:t>The manual discloses the use of Claude, Gemini, and ChatGPT for prose refinement and table organization in project documentation. These supporting uses are distinct from the AI services available inside the product. This English submission was prepared with AI-assisted translation and organization of the manual; no new experimental result was generated for this manuscript. Authorship and final factual verification remain with the team.</w:t>
      </w:r>
    </w:p>
    <w:p>
      <w:pPr>
        <w:pStyle w:val="Heading2"/>
        <w:keepNext/>
        <w:keepLines/>
        <w:ind w:firstLine="0"/>
      </w:pPr>
      <w:r>
        <w:rPr>
          <w:rFonts w:ascii="Times New Roman" w:hAnsi="Times New Roman"/>
          <w:b/>
          <w:sz w:val="24"/>
        </w:rPr>
        <w:t>3.11 Conclusion</w:t>
      </w:r>
    </w:p>
    <w:p>
      <w:pPr>
        <w:keepLines/>
      </w:pPr>
      <w:r>
        <w:rPr>
          <w:rFonts w:ascii="Times New Roman" w:hAnsi="Times New Roman"/>
          <w:b w:val="0"/>
          <w:sz w:val="24"/>
        </w:rPr>
        <w:t>SaveMyBook demonstrates a practical role for generative AI across listing, discovery, and support, connected to a controlled transaction and cabinet workflow. Its current evidence is an integrated prototype and passing automated tests. The next step is not to assume efficiency or environmental gains, but to test them in a small operational setting while preserving human responsibility for listing accuracy and dispute outcomes.</w:t>
      </w:r>
    </w:p>
    <w:p>
      <w:pPr>
        <w:pStyle w:val="Heading1"/>
        <w:keepNext/>
        <w:keepLines/>
        <w:spacing w:before="200"/>
        <w:ind w:firstLine="0"/>
        <w:jc w:val="center"/>
      </w:pPr>
      <w:r>
        <w:rPr>
          <w:rFonts w:ascii="Times New Roman" w:hAnsi="Times New Roman"/>
          <w:b/>
          <w:sz w:val="28"/>
        </w:rPr>
        <w:t>IV. References</w:t>
      </w:r>
    </w:p>
    <w:p>
      <w:pPr>
        <w:keepLines/>
        <w:ind w:firstLine="0"/>
      </w:pPr>
      <w:r>
        <w:rPr>
          <w:rFonts w:ascii="Times New Roman" w:hAnsi="Times New Roman"/>
          <w:b w:val="0"/>
          <w:sz w:val="24"/>
        </w:rPr>
        <w:t>SaveMyBook Project Team. (2026). SaveMyBook system manual: Second-round evaluation edition (October 13, 2026). Department of Information Management, National Taipei University of Business. Unpublished project documentation.</w:t>
      </w:r>
    </w:p>
    <w:sectPr w:rsidR="00FC693F" w:rsidRPr="0006063C" w:rsidSect="00034616">
      <w:footerReference w:type="default" r:id="rId9"/>
      <w:pgSz w:w="11906" w:h="16838"/>
      <w:pgMar w:top="1984" w:right="1701" w:bottom="2665" w:left="1701" w:header="850" w:footer="181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before="0" w:after="0" w:line="240" w:lineRule="auto"/>
      </w:pPr>
      <w:r>
        <w:rPr>
          <w:vertAlign w:val="superscript"/>
          <w:sz w:val="20"/>
        </w:rPr>
        <w:footnoteRef/>
      </w:r>
      <w:r>
        <w:rPr>
          <w:rFonts w:ascii="Times New Roman" w:hAnsi="Times New Roman"/>
          <w:sz w:val="16"/>
        </w:rPr>
        <w:t> Department of Information Management, National Taipei University of Business; Position: __________; Email: ____________________.</w:t>
      </w:r>
    </w:p>
  </w:footnote>
  <w:footnote w:id="2">
    <w:p>
      <w:pPr>
        <w:spacing w:before="0" w:after="0" w:line="240" w:lineRule="auto"/>
      </w:pPr>
      <w:r>
        <w:rPr>
          <w:vertAlign w:val="superscript"/>
          <w:sz w:val="20"/>
        </w:rPr>
        <w:footnoteRef/>
      </w:r>
      <w:r>
        <w:rPr>
          <w:rFonts w:ascii="Times New Roman" w:hAnsi="Times New Roman"/>
          <w:sz w:val="16"/>
        </w:rPr>
        <w:t> Department of Information Management, National Taipei University of Business; Position: __________; Email: ____________________.</w:t>
      </w:r>
    </w:p>
  </w:footnote>
  <w:footnote w:id="3">
    <w:p>
      <w:pPr>
        <w:spacing w:before="0" w:after="0" w:line="240" w:lineRule="auto"/>
      </w:pPr>
      <w:r>
        <w:rPr>
          <w:vertAlign w:val="superscript"/>
          <w:sz w:val="20"/>
        </w:rPr>
        <w:footnoteRef/>
      </w:r>
      <w:r>
        <w:rPr>
          <w:rFonts w:ascii="Times New Roman" w:hAnsi="Times New Roman"/>
          <w:sz w:val="16"/>
        </w:rPr>
        <w:t> Department of Information Management, National Taipei University of Business; Position: __________; Email: ____________________.</w:t>
      </w:r>
    </w:p>
  </w:footnote>
  <w:footnote w:id="4">
    <w:p>
      <w:pPr>
        <w:spacing w:before="0" w:after="0" w:line="240" w:lineRule="auto"/>
      </w:pPr>
      <w:r>
        <w:rPr>
          <w:vertAlign w:val="superscript"/>
          <w:sz w:val="20"/>
        </w:rPr>
        <w:footnoteRef/>
      </w:r>
      <w:r>
        <w:rPr>
          <w:rFonts w:ascii="Times New Roman" w:hAnsi="Times New Roman"/>
          <w:sz w:val="16"/>
        </w:rPr>
        <w:t> Department of Information Management, National Taipei University of Business; Position: __________; Email: ____________________.</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Bdr>
        <w:top w:val="nil"/>
        <w:left w:val="nil"/>
        <w:bottom w:val="nil"/>
        <w:right w:val="nil"/>
        <w:between w:val="nil"/>
        <w:bar w:val="nil"/>
      </w:pBdr>
      <w:spacing w:line="240" w:lineRule="auto" w:before="120" w:after="120"/>
      <w:ind w:firstLine="4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top w:val="nil"/>
        <w:left w:val="nil"/>
        <w:bottom w:val="nil"/>
        <w:right w:val="nil"/>
        <w:between w:val="nil"/>
        <w:bar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Bdr>
        <w:top w:val="nil"/>
        <w:left w:val="nil"/>
        <w:bottom w:val="nil"/>
        <w:right w:val="nil"/>
        <w:between w:val="nil"/>
        <w:bar w:val="nil"/>
      </w:pBdr>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between w:val="nil"/>
        <w:bar w:val="nil"/>
      </w:pBdr>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Bdr>
        <w:top w:val="nil"/>
        <w:left w:val="nil"/>
        <w:bottom w:val="nil"/>
        <w:right w:val="nil"/>
        <w:between w:val="nil"/>
        <w:bar w:val="nil"/>
      </w:pBdr>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ootnotesGAI"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