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Pagare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4"/>
        <w:gridCol w:w="5163"/>
        <w:gridCol w:w="3009"/>
      </w:tblGrid>
      <w:tr>
        <w:trPr/>
        <w:tc>
          <w:tcPr>
            <w:tcW w:w="854"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3"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2</w:t>
            </w:r>
          </w:p>
        </w:tc>
        <w:tc>
          <w:tcPr>
            <w:tcW w:w="5163"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3</w:t>
            </w:r>
          </w:p>
        </w:tc>
        <w:tc>
          <w:tcPr>
            <w:tcW w:w="5163"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4</w:t>
            </w:r>
          </w:p>
        </w:tc>
        <w:tc>
          <w:tcPr>
            <w:tcW w:w="5163"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5</w:t>
            </w:r>
          </w:p>
        </w:tc>
        <w:tc>
          <w:tcPr>
            <w:tcW w:w="5163"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6</w:t>
            </w:r>
          </w:p>
        </w:tc>
        <w:tc>
          <w:tcPr>
            <w:tcW w:w="5163"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7</w:t>
            </w:r>
          </w:p>
        </w:tc>
        <w:tc>
          <w:tcPr>
            <w:tcW w:w="5163"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8</w:t>
            </w:r>
          </w:p>
        </w:tc>
        <w:tc>
          <w:tcPr>
            <w:tcW w:w="5163"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9</w:t>
            </w:r>
          </w:p>
        </w:tc>
        <w:tc>
          <w:tcPr>
            <w:tcW w:w="5163"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10</w:t>
            </w:r>
          </w:p>
        </w:tc>
        <w:tc>
          <w:tcPr>
            <w:tcW w:w="5163"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11</w:t>
            </w:r>
          </w:p>
        </w:tc>
        <w:tc>
          <w:tcPr>
            <w:tcW w:w="5163"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12</w:t>
            </w:r>
          </w:p>
        </w:tc>
        <w:tc>
          <w:tcPr>
            <w:tcW w:w="5163"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13</w:t>
            </w:r>
          </w:p>
        </w:tc>
        <w:tc>
          <w:tcPr>
            <w:tcW w:w="5163"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14</w:t>
            </w:r>
          </w:p>
        </w:tc>
        <w:tc>
          <w:tcPr>
            <w:tcW w:w="5163"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15</w:t>
            </w:r>
          </w:p>
        </w:tc>
        <w:tc>
          <w:tcPr>
            <w:tcW w:w="5163"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16</w:t>
            </w:r>
          </w:p>
        </w:tc>
        <w:tc>
          <w:tcPr>
            <w:tcW w:w="5163"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4" w:type="dxa"/>
            <w:tcBorders>
              <w:left w:val="single" w:sz="2" w:space="0" w:color="000000"/>
              <w:bottom w:val="single" w:sz="2" w:space="0" w:color="000000"/>
            </w:tcBorders>
          </w:tcPr>
          <w:p>
            <w:pPr>
              <w:pStyle w:val="Contenutotabella"/>
              <w:widowControl w:val="false"/>
              <w:spacing w:before="0" w:after="160"/>
              <w:rPr/>
            </w:pPr>
            <w:r>
              <w:rPr/>
              <w:t>17</w:t>
            </w:r>
          </w:p>
        </w:tc>
        <w:tc>
          <w:tcPr>
            <w:tcW w:w="5163"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 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6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con ridondanza: 9 al giorno</w:t>
      </w:r>
    </w:p>
    <w:p>
      <w:pPr>
        <w:pStyle w:val="Normal"/>
        <w:rPr>
          <w:sz w:val="32"/>
          <w:szCs w:val="32"/>
        </w:rPr>
      </w:pPr>
      <w:r>
        <w:rPr>
          <w:sz w:val="32"/>
          <w:szCs w:val="32"/>
        </w:rPr>
        <w:t>- senza ridondanza: 9 al giorno</w:t>
      </w:r>
    </w:p>
    <w:p>
      <w:pPr>
        <w:pStyle w:val="Normal"/>
        <w:jc w:val="both"/>
        <w:rPr>
          <w:sz w:val="32"/>
          <w:szCs w:val="32"/>
        </w:rPr>
      </w:pPr>
      <w:r>
        <w:rPr>
          <w:sz w:val="32"/>
          <w:szCs w:val="32"/>
        </w:rPr>
        <w:t>La ridondanza non porta alcun vantaggio, si decide quindi di eliminarl</w:t>
      </w:r>
      <w:r>
        <w:rPr>
          <w:sz w:val="32"/>
          <w:szCs w:val="32"/>
        </w:rPr>
        <w:t>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7L → 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r>
    </w:p>
    <w:p>
      <w:pPr>
        <w:pStyle w:val="Normal"/>
        <w:spacing w:before="0" w:after="160"/>
        <w:rPr>
          <w:sz w:val="32"/>
          <w:szCs w:val="32"/>
        </w:rPr>
      </w:pP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w:t>
      </w:r>
    </w:p>
    <w:p>
      <w:pPr>
        <w:pStyle w:val="Normal"/>
        <w:rPr>
          <w:sz w:val="32"/>
          <w:szCs w:val="32"/>
        </w:rPr>
      </w:pPr>
      <w:r>
        <w:rPr>
          <w:sz w:val="32"/>
          <w:szCs w:val="32"/>
        </w:rPr>
        <w:t xml:space="preserve">→ </w:t>
      </w:r>
      <w:r>
        <w:rPr>
          <w:sz w:val="32"/>
          <w:szCs w:val="32"/>
        </w:rPr>
        <w:t>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r>
    </w:p>
    <w:p>
      <w:pPr>
        <w:pStyle w:val="Normal"/>
        <w:rPr>
          <w:sz w:val="32"/>
          <w:szCs w:val="32"/>
        </w:rPr>
      </w:pPr>
      <w:r>
        <w:rPr>
          <w:sz w:val="32"/>
          <w:szCs w:val="32"/>
        </w:rPr>
        <w:t>Operazione 15: Calcolo distanza totale di un percorso</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w:t>
            </w:r>
            <w:r>
              <w:rPr/>
              <w:t>L</w:t>
            </w:r>
            <w:r>
              <w:rPr/>
              <w:t xml:space="preserve">x1 al </w:t>
            </w:r>
            <w:r>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9L</w:t>
            </w:r>
            <w:r>
              <w:rPr/>
              <w:t xml:space="preserve">x1 al </w:t>
            </w:r>
            <w:r>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spacing w:before="0" w:after="160"/>
        <w:rPr>
          <w:b w:val="false"/>
          <w:b w:val="false"/>
          <w:bCs w:val="false"/>
          <w:sz w:val="32"/>
          <w:szCs w:val="32"/>
        </w:rPr>
      </w:pPr>
      <w:r>
        <w:rPr>
          <w:b w:val="false"/>
          <w:bCs w:val="false"/>
          <w:sz w:val="32"/>
          <w:szCs w:val="3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LibreOffice/7.0.0.3$Windows_x86 LibreOffice_project/8061b3e9204bef6b321a21033174034a5e2ea88e</Application>
  <Pages>29</Pages>
  <Words>3017</Words>
  <Characters>16576</Characters>
  <CharactersWithSpaces>18846</CharactersWithSpaces>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2022-08-27T13:38:19Z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