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Lettura valutazione complessiva di un’attività</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posOffset>7620</wp:posOffset>
            </wp:positionH>
            <wp:positionV relativeFrom="paragraph">
              <wp:posOffset>-20955</wp:posOffset>
            </wp:positionV>
            <wp:extent cx="5835015" cy="506095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835015" cy="506095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15125" cy="57473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6715125" cy="574738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99860" cy="468439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499860" cy="4684395"/>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89270" cy="833564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5589270" cy="8335645"/>
                    </a:xfrm>
                    <a:prstGeom prst="rect">
                      <a:avLst/>
                    </a:prstGeom>
                  </pic:spPr>
                </pic:pic>
              </a:graphicData>
            </a:graphic>
          </wp:anchor>
        </w:drawing>
      </w:r>
    </w:p>
    <w:p>
      <w:pPr>
        <w:pStyle w:val="Normal"/>
        <w:spacing w:before="0" w:after="160"/>
        <w:jc w:val="both"/>
        <w:rPr>
          <w:b w:val="false"/>
          <w:b w:val="false"/>
          <w:bCs w:val="false"/>
          <w:sz w:val="32"/>
          <w:szCs w:val="3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32751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5731510" cy="9327515"/>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Ricerca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3’900’000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2’600’000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Pagare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98"/>
        <w:gridCol w:w="5119"/>
        <w:gridCol w:w="3009"/>
      </w:tblGrid>
      <w:tr>
        <w:trPr/>
        <w:tc>
          <w:tcPr>
            <w:tcW w:w="898"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19"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2</w:t>
            </w:r>
          </w:p>
        </w:tc>
        <w:tc>
          <w:tcPr>
            <w:tcW w:w="5119"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3</w:t>
            </w:r>
          </w:p>
        </w:tc>
        <w:tc>
          <w:tcPr>
            <w:tcW w:w="5119"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4</w:t>
            </w:r>
          </w:p>
        </w:tc>
        <w:tc>
          <w:tcPr>
            <w:tcW w:w="5119"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5</w:t>
            </w:r>
          </w:p>
        </w:tc>
        <w:tc>
          <w:tcPr>
            <w:tcW w:w="5119"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6</w:t>
            </w:r>
          </w:p>
        </w:tc>
        <w:tc>
          <w:tcPr>
            <w:tcW w:w="5119"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7</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8</w:t>
            </w:r>
          </w:p>
        </w:tc>
        <w:tc>
          <w:tcPr>
            <w:tcW w:w="5119"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9</w:t>
            </w:r>
          </w:p>
        </w:tc>
        <w:tc>
          <w:tcPr>
            <w:tcW w:w="5119"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10</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40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11</w:t>
            </w:r>
          </w:p>
        </w:tc>
        <w:tc>
          <w:tcPr>
            <w:tcW w:w="5119"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12</w:t>
            </w:r>
          </w:p>
        </w:tc>
        <w:tc>
          <w:tcPr>
            <w:tcW w:w="5119"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giorno</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13</w:t>
            </w:r>
          </w:p>
        </w:tc>
        <w:tc>
          <w:tcPr>
            <w:tcW w:w="5119"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14</w:t>
            </w:r>
          </w:p>
        </w:tc>
        <w:tc>
          <w:tcPr>
            <w:tcW w:w="5119" w:type="dxa"/>
            <w:tcBorders>
              <w:left w:val="single" w:sz="2" w:space="0" w:color="000000"/>
              <w:bottom w:val="single" w:sz="2" w:space="0" w:color="000000"/>
            </w:tcBorders>
          </w:tcPr>
          <w:p>
            <w:pPr>
              <w:pStyle w:val="ListParagraph"/>
              <w:widowControl w:val="false"/>
              <w:numPr>
                <w:ilvl w:val="0"/>
                <w:numId w:val="0"/>
              </w:numPr>
              <w:spacing w:before="0" w:after="160"/>
              <w:ind w:left="720" w:hanging="0"/>
              <w:jc w:val="both"/>
              <w:rPr>
                <w:sz w:val="22"/>
                <w:szCs w:val="22"/>
              </w:rPr>
            </w:pPr>
            <w:r>
              <w:rPr>
                <w:b w:val="false"/>
                <w:bCs w:val="false"/>
                <w:sz w:val="22"/>
                <w:szCs w:val="22"/>
              </w:rPr>
              <w:t>Lettura di tutte 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r>
        <w:trPr/>
        <w:tc>
          <w:tcPr>
            <w:tcW w:w="898" w:type="dxa"/>
            <w:tcBorders>
              <w:left w:val="single" w:sz="2" w:space="0" w:color="000000"/>
              <w:bottom w:val="single" w:sz="2" w:space="0" w:color="000000"/>
            </w:tcBorders>
          </w:tcPr>
          <w:p>
            <w:pPr>
              <w:pStyle w:val="Contenutotabella"/>
              <w:widowControl w:val="false"/>
              <w:spacing w:before="0" w:after="160"/>
              <w:rPr/>
            </w:pPr>
            <w:r>
              <w:rPr/>
              <w:t>1</w:t>
            </w:r>
            <w:r>
              <w:rPr/>
              <w:t>5</w:t>
            </w:r>
          </w:p>
        </w:tc>
        <w:tc>
          <w:tcPr>
            <w:tcW w:w="5119"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 xml:space="preserve">Operazione 9: Creazione gruppo </w:t>
      </w:r>
      <w:r>
        <w:rPr>
          <w:sz w:val="32"/>
          <w:szCs w:val="32"/>
        </w:rPr>
        <w:t>(?)</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1</w:t>
            </w:r>
            <w:r>
              <w:rPr/>
              <w:t>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p>
    <w:p>
      <w:pPr>
        <w:pStyle w:val="Normal"/>
        <w:spacing w:before="0" w:after="160"/>
        <w:rPr>
          <w:sz w:val="32"/>
          <w:szCs w:val="32"/>
        </w:rPr>
      </w:pPr>
      <w:r>
        <w:rPr>
          <w:sz w:val="32"/>
          <w:szCs w:val="32"/>
        </w:rPr>
        <w:t>Operazione 1</w:t>
      </w:r>
      <w:r>
        <w:rPr>
          <w:sz w:val="32"/>
          <w:szCs w:val="32"/>
        </w:rPr>
        <w:t>5</w:t>
      </w:r>
      <w:r>
        <w:rPr>
          <w:sz w:val="32"/>
          <w:szCs w:val="32"/>
        </w:rPr>
        <w:t>: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b/>
          <w:b/>
          <w:bCs/>
          <w:sz w:val="36"/>
          <w:szCs w:val="36"/>
        </w:rPr>
      </w:pPr>
      <w:r>
        <w:br w:type="page"/>
      </w:r>
      <w:r>
        <w:rPr>
          <w:b/>
          <w:bCs/>
          <w:sz w:val="36"/>
          <w:szCs w:val="36"/>
        </w:rPr>
        <w:t>Raffinamento dello schema</w:t>
      </w:r>
    </w:p>
    <w:p>
      <w:pPr>
        <w:pStyle w:val="Normal"/>
        <w:spacing w:before="0" w:after="160"/>
        <w:rPr>
          <w:b/>
          <w:b/>
          <w:bCs/>
          <w:sz w:val="32"/>
          <w:szCs w:val="32"/>
        </w:rPr>
      </w:pPr>
      <w:r>
        <w:rPr>
          <w:b/>
          <w:bCs/>
          <w:sz w:val="32"/>
          <w:szCs w:val="32"/>
        </w:rPr>
        <w:t>Eliminazione delle gerarchie</w:t>
      </w:r>
    </w:p>
    <w:p>
      <w:pPr>
        <w:pStyle w:val="Normal"/>
        <w:spacing w:before="0" w:after="160"/>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rPr>
          <w:b/>
          <w:b/>
          <w:bCs/>
          <w:sz w:val="32"/>
          <w:szCs w:val="32"/>
        </w:rPr>
      </w:pPr>
      <w:r>
        <w:rPr>
          <w:b/>
          <w:bCs/>
          <w:sz w:val="32"/>
          <w:szCs w:val="32"/>
        </w:rPr>
        <w:t>Eliminazione attributi composti</w:t>
      </w:r>
    </w:p>
    <w:p>
      <w:pPr>
        <w:pStyle w:val="Normal"/>
        <w:spacing w:before="0" w:after="160"/>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rPr>
          <w:b/>
          <w:b/>
          <w:bCs/>
          <w:sz w:val="32"/>
          <w:szCs w:val="32"/>
        </w:rPr>
      </w:pPr>
      <w:r>
        <w:rPr>
          <w:b/>
          <w:bCs/>
          <w:sz w:val="32"/>
          <w:szCs w:val="32"/>
        </w:rPr>
        <w:t>Chiavi primarie</w:t>
      </w:r>
    </w:p>
    <w:p>
      <w:pPr>
        <w:pStyle w:val="Normal"/>
        <w:spacing w:before="0" w:after="160"/>
        <w:rPr>
          <w:b w:val="false"/>
          <w:b w:val="false"/>
          <w:bCs w:val="false"/>
          <w:sz w:val="32"/>
          <w:szCs w:val="32"/>
        </w:rPr>
      </w:pPr>
      <w:r>
        <w:rPr>
          <w:b w:val="false"/>
          <w:bCs w:val="false"/>
          <w:sz w:val="32"/>
          <w:szCs w:val="32"/>
        </w:rPr>
        <w:t>Lo schema non riporta ambiguità riguardo agli identificatori primari.</w:t>
      </w:r>
    </w:p>
    <w:p>
      <w:pPr>
        <w:pStyle w:val="Normal"/>
        <w:spacing w:before="0" w:after="160"/>
        <w:rPr>
          <w:b/>
          <w:b/>
          <w:bCs/>
          <w:sz w:val="32"/>
          <w:szCs w:val="32"/>
        </w:rPr>
      </w:pPr>
      <w:r>
        <w:rPr/>
      </w:r>
      <w:r>
        <w:br w:type="page"/>
      </w:r>
    </w:p>
    <w:p>
      <w:pPr>
        <w:pStyle w:val="Normal"/>
        <w:spacing w:before="0" w:after="160"/>
        <w:rPr>
          <w:b/>
          <w:b/>
          <w:bCs/>
          <w:sz w:val="32"/>
          <w:szCs w:val="32"/>
        </w:rPr>
      </w:pPr>
      <w:r>
        <w:rPr>
          <w:b/>
          <w:bCs/>
          <w:sz w:val="32"/>
          <w:szCs w:val="32"/>
        </w:rPr>
        <w:t>Chiavi importate</w:t>
      </w:r>
    </w:p>
    <w:p>
      <w:pPr>
        <w:pStyle w:val="Normal"/>
        <w:spacing w:before="0" w:after="160"/>
        <w:rPr>
          <w:sz w:val="32"/>
          <w:szCs w:val="32"/>
        </w:rPr>
      </w:pPr>
      <w:r>
        <w:rPr>
          <w:sz w:val="32"/>
          <w:szCs w:val="32"/>
        </w:rPr>
        <w:t>Di seguito si elencano le politiche utilizzate per la traduzione delle associazioni.</w:t>
      </w:r>
    </w:p>
    <w:p>
      <w:pPr>
        <w:pStyle w:val="Normal"/>
        <w:numPr>
          <w:ilvl w:val="0"/>
          <w:numId w:val="2"/>
        </w:numPr>
        <w:spacing w:before="0" w:after="160"/>
        <w:rPr>
          <w:sz w:val="32"/>
          <w:szCs w:val="32"/>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rPr>
          <w:sz w:val="32"/>
          <w:szCs w:val="32"/>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rPr>
          <w:sz w:val="32"/>
          <w:szCs w:val="32"/>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rPr>
          <w:sz w:val="32"/>
          <w:szCs w:val="32"/>
        </w:rPr>
      </w:pPr>
      <w:r>
        <w:rPr>
          <w:sz w:val="32"/>
          <w:szCs w:val="32"/>
        </w:rPr>
        <w:t xml:space="preserve">Contempla: </w:t>
      </w:r>
      <w:r>
        <w:rPr>
          <w:sz w:val="32"/>
          <w:szCs w:val="32"/>
        </w:rPr>
        <w:t>l’entità Evento ottiene la FK di Intrattenimento</w:t>
      </w:r>
    </w:p>
    <w:p>
      <w:pPr>
        <w:pStyle w:val="Normal"/>
        <w:numPr>
          <w:ilvl w:val="0"/>
          <w:numId w:val="2"/>
        </w:numPr>
        <w:spacing w:before="0" w:after="160"/>
        <w:rPr>
          <w:sz w:val="32"/>
          <w:szCs w:val="32"/>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rPr>
          <w:sz w:val="32"/>
          <w:szCs w:val="32"/>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rPr>
          <w:sz w:val="32"/>
          <w:szCs w:val="32"/>
        </w:rPr>
      </w:pPr>
      <w:r>
        <w:rPr>
          <w:sz w:val="32"/>
          <w:szCs w:val="32"/>
        </w:rPr>
        <w:t>Previsione:  l’entità Attività ottiene la FK di Evento</w:t>
      </w:r>
    </w:p>
    <w:p>
      <w:pPr>
        <w:pStyle w:val="Normal"/>
        <w:numPr>
          <w:ilvl w:val="0"/>
          <w:numId w:val="2"/>
        </w:numPr>
        <w:spacing w:before="0" w:after="160"/>
        <w:rPr>
          <w:sz w:val="32"/>
          <w:szCs w:val="32"/>
        </w:rPr>
      </w:pPr>
      <w:r>
        <w:rPr>
          <w:sz w:val="32"/>
          <w:szCs w:val="32"/>
        </w:rPr>
        <w:t xml:space="preserve">Formato: </w:t>
      </w:r>
      <w:r>
        <w:rPr>
          <w:sz w:val="32"/>
          <w:szCs w:val="32"/>
        </w:rPr>
        <w:t>l’entità Percorso ottiene la FK di Attività</w:t>
      </w:r>
    </w:p>
    <w:p>
      <w:pPr>
        <w:pStyle w:val="Normal"/>
        <w:numPr>
          <w:ilvl w:val="0"/>
          <w:numId w:val="2"/>
        </w:numPr>
        <w:spacing w:before="0" w:after="160"/>
        <w:rPr>
          <w:sz w:val="32"/>
          <w:szCs w:val="32"/>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rPr>
          <w:sz w:val="32"/>
          <w:szCs w:val="32"/>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rPr>
          <w:sz w:val="32"/>
          <w:szCs w:val="32"/>
        </w:rPr>
      </w:pPr>
      <w:r>
        <w:rPr>
          <w:sz w:val="32"/>
          <w:szCs w:val="32"/>
        </w:rPr>
        <w:t>Pagamento: l’entità Evento importa la FK di Quota iscrizione</w:t>
      </w:r>
    </w:p>
    <w:p>
      <w:pPr>
        <w:pStyle w:val="Normal"/>
        <w:numPr>
          <w:ilvl w:val="0"/>
          <w:numId w:val="2"/>
        </w:numPr>
        <w:spacing w:before="0" w:after="160"/>
        <w:rPr>
          <w:sz w:val="32"/>
          <w:szCs w:val="32"/>
        </w:rPr>
      </w:pPr>
      <w:r>
        <w:rPr>
          <w:sz w:val="32"/>
          <w:szCs w:val="32"/>
        </w:rPr>
        <w:t xml:space="preserve">Localizzazione: </w:t>
      </w:r>
      <w:r>
        <w:rPr>
          <w:sz w:val="32"/>
          <w:szCs w:val="32"/>
        </w:rPr>
        <w:t>l’entità Attività importa la FK di Luogo</w:t>
      </w:r>
    </w:p>
    <w:p>
      <w:pPr>
        <w:pStyle w:val="Normal"/>
        <w:numPr>
          <w:ilvl w:val="0"/>
          <w:numId w:val="2"/>
        </w:numPr>
        <w:spacing w:before="0" w:after="160"/>
        <w:rPr>
          <w:sz w:val="32"/>
          <w:szCs w:val="32"/>
        </w:rPr>
      </w:pPr>
      <w:r>
        <w:rPr>
          <w:sz w:val="32"/>
          <w:szCs w:val="32"/>
        </w:rPr>
        <w:t>Necessita: l’entità Attività eredita tutti gli attributi di Equipaggiamento, di conseguenza l’id di Equipaggiamento avrà valore “unique”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LibreOffice/7.0.0.3$Windows_x86 LibreOffice_project/8061b3e9204bef6b321a21033174034a5e2ea88e</Application>
  <Pages>21</Pages>
  <Words>2291</Words>
  <Characters>13097</Characters>
  <CharactersWithSpaces>14899</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2022-08-24T12:43:12Z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