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F33FF8" w14:textId="77777777" w:rsidR="006314F6" w:rsidRDefault="005F3A6B">
      <w:pPr>
        <w:jc w:val="center"/>
        <w:rPr>
          <w:rFonts w:ascii="Arial" w:hAnsi="Arial" w:cs="Arial"/>
          <w:b/>
          <w:sz w:val="24"/>
          <w:szCs w:val="24"/>
        </w:rPr>
      </w:pPr>
      <w:r>
        <w:rPr>
          <w:rFonts w:ascii="Arial" w:hAnsi="Arial" w:cs="Arial"/>
          <w:b/>
          <w:sz w:val="24"/>
          <w:szCs w:val="24"/>
        </w:rPr>
        <w:t xml:space="preserve">DEPARTMENT OF DATA ANALYTICS </w:t>
      </w:r>
    </w:p>
    <w:p w14:paraId="3AE9BC26" w14:textId="77777777" w:rsidR="006314F6" w:rsidRDefault="006314F6">
      <w:pPr>
        <w:jc w:val="center"/>
        <w:rPr>
          <w:rFonts w:ascii="Arial" w:hAnsi="Arial" w:cs="Arial"/>
          <w:b/>
          <w:sz w:val="24"/>
          <w:szCs w:val="24"/>
        </w:rPr>
      </w:pPr>
    </w:p>
    <w:p w14:paraId="33E3DA58" w14:textId="77777777" w:rsidR="006314F6" w:rsidRDefault="005F3A6B">
      <w:pPr>
        <w:jc w:val="center"/>
        <w:rPr>
          <w:rFonts w:ascii="Arial" w:hAnsi="Arial" w:cs="Arial"/>
          <w:b/>
          <w:sz w:val="24"/>
          <w:szCs w:val="24"/>
        </w:rPr>
      </w:pPr>
      <w:r>
        <w:rPr>
          <w:rFonts w:ascii="Arial" w:hAnsi="Arial" w:cs="Arial"/>
          <w:b/>
          <w:sz w:val="24"/>
          <w:szCs w:val="24"/>
        </w:rPr>
        <w:t>VEPHLA UNIVERSITY</w:t>
      </w:r>
    </w:p>
    <w:p w14:paraId="473C21F5" w14:textId="77777777" w:rsidR="006314F6" w:rsidRDefault="006314F6">
      <w:pPr>
        <w:jc w:val="center"/>
        <w:rPr>
          <w:rFonts w:ascii="Arial" w:hAnsi="Arial" w:cs="Arial"/>
          <w:b/>
          <w:sz w:val="24"/>
          <w:szCs w:val="24"/>
        </w:rPr>
      </w:pPr>
    </w:p>
    <w:p w14:paraId="68EF927C" w14:textId="77777777" w:rsidR="006314F6" w:rsidRDefault="006314F6">
      <w:pPr>
        <w:jc w:val="center"/>
        <w:rPr>
          <w:rFonts w:ascii="Arial" w:hAnsi="Arial" w:cs="Arial"/>
          <w:b/>
          <w:sz w:val="24"/>
          <w:szCs w:val="24"/>
        </w:rPr>
      </w:pPr>
    </w:p>
    <w:p w14:paraId="56D908B0" w14:textId="77777777" w:rsidR="006314F6" w:rsidRDefault="006314F6">
      <w:pPr>
        <w:jc w:val="center"/>
        <w:rPr>
          <w:rFonts w:ascii="Arial" w:hAnsi="Arial" w:cs="Arial"/>
          <w:b/>
          <w:sz w:val="24"/>
          <w:szCs w:val="24"/>
        </w:rPr>
      </w:pPr>
    </w:p>
    <w:p w14:paraId="5F2F2D64" w14:textId="77777777" w:rsidR="006314F6" w:rsidRDefault="006314F6">
      <w:pPr>
        <w:jc w:val="center"/>
        <w:rPr>
          <w:rFonts w:ascii="Arial" w:hAnsi="Arial" w:cs="Arial"/>
          <w:b/>
          <w:sz w:val="24"/>
          <w:szCs w:val="24"/>
        </w:rPr>
      </w:pPr>
    </w:p>
    <w:p w14:paraId="2FED2CEC" w14:textId="77777777" w:rsidR="006314F6" w:rsidRDefault="005F3A6B">
      <w:pPr>
        <w:jc w:val="center"/>
        <w:rPr>
          <w:rFonts w:ascii="Arial" w:hAnsi="Arial" w:cs="Arial"/>
          <w:b/>
          <w:sz w:val="24"/>
          <w:szCs w:val="24"/>
        </w:rPr>
      </w:pPr>
      <w:r>
        <w:rPr>
          <w:rFonts w:ascii="Arial" w:hAnsi="Arial" w:cs="Arial"/>
          <w:b/>
          <w:sz w:val="24"/>
          <w:szCs w:val="24"/>
        </w:rPr>
        <w:t>ALO SAVE IBU</w:t>
      </w:r>
    </w:p>
    <w:p w14:paraId="38E11A2C" w14:textId="77777777" w:rsidR="006314F6" w:rsidRDefault="006314F6">
      <w:pPr>
        <w:jc w:val="center"/>
        <w:rPr>
          <w:rFonts w:ascii="Arial" w:hAnsi="Arial" w:cs="Arial"/>
          <w:b/>
          <w:sz w:val="24"/>
          <w:szCs w:val="24"/>
        </w:rPr>
      </w:pPr>
    </w:p>
    <w:p w14:paraId="2EB5EBEB" w14:textId="77777777" w:rsidR="006314F6" w:rsidRDefault="005F3A6B">
      <w:pPr>
        <w:jc w:val="center"/>
        <w:rPr>
          <w:rFonts w:ascii="Arial" w:hAnsi="Arial" w:cs="Arial"/>
          <w:b/>
          <w:sz w:val="24"/>
          <w:szCs w:val="24"/>
        </w:rPr>
      </w:pPr>
      <w:r>
        <w:rPr>
          <w:rFonts w:ascii="Arial" w:hAnsi="Arial" w:cs="Arial"/>
          <w:b/>
          <w:sz w:val="24"/>
          <w:szCs w:val="24"/>
        </w:rPr>
        <w:t xml:space="preserve"> VEPH/20B/DA097</w:t>
      </w:r>
      <w:r>
        <w:rPr>
          <w:rFonts w:ascii="Arial" w:hAnsi="Arial" w:cs="Arial"/>
          <w:b/>
          <w:sz w:val="24"/>
          <w:szCs w:val="24"/>
        </w:rPr>
        <w:br/>
      </w:r>
    </w:p>
    <w:p w14:paraId="1428595C" w14:textId="77777777" w:rsidR="006314F6" w:rsidRDefault="006314F6">
      <w:pPr>
        <w:jc w:val="center"/>
        <w:rPr>
          <w:rFonts w:ascii="Arial" w:hAnsi="Arial" w:cs="Arial"/>
          <w:b/>
          <w:sz w:val="24"/>
          <w:szCs w:val="24"/>
        </w:rPr>
      </w:pPr>
    </w:p>
    <w:p w14:paraId="6AF8E0BB" w14:textId="77777777" w:rsidR="006314F6" w:rsidRDefault="006314F6">
      <w:pPr>
        <w:jc w:val="center"/>
        <w:rPr>
          <w:rFonts w:ascii="Arial" w:hAnsi="Arial" w:cs="Arial"/>
          <w:sz w:val="24"/>
          <w:szCs w:val="24"/>
        </w:rPr>
      </w:pPr>
    </w:p>
    <w:p w14:paraId="68D25C9E" w14:textId="77777777" w:rsidR="006314F6" w:rsidRDefault="006314F6">
      <w:pPr>
        <w:jc w:val="center"/>
        <w:rPr>
          <w:rFonts w:ascii="Arial" w:hAnsi="Arial" w:cs="Arial"/>
          <w:sz w:val="24"/>
          <w:szCs w:val="24"/>
        </w:rPr>
      </w:pPr>
    </w:p>
    <w:p w14:paraId="69380ECF" w14:textId="77777777" w:rsidR="006314F6" w:rsidRDefault="006314F6">
      <w:pPr>
        <w:jc w:val="center"/>
        <w:rPr>
          <w:rFonts w:ascii="Arial" w:hAnsi="Arial" w:cs="Arial"/>
          <w:sz w:val="24"/>
          <w:szCs w:val="24"/>
        </w:rPr>
      </w:pPr>
    </w:p>
    <w:p w14:paraId="269D0D3E" w14:textId="77777777" w:rsidR="006314F6" w:rsidRDefault="006314F6">
      <w:pPr>
        <w:jc w:val="center"/>
        <w:rPr>
          <w:rFonts w:ascii="Arial" w:hAnsi="Arial" w:cs="Arial"/>
          <w:sz w:val="24"/>
          <w:szCs w:val="24"/>
        </w:rPr>
      </w:pPr>
    </w:p>
    <w:p w14:paraId="7211C888" w14:textId="77777777" w:rsidR="006314F6" w:rsidRDefault="006314F6">
      <w:pPr>
        <w:jc w:val="center"/>
        <w:rPr>
          <w:rFonts w:ascii="Arial" w:hAnsi="Arial" w:cs="Arial"/>
          <w:sz w:val="24"/>
          <w:szCs w:val="24"/>
        </w:rPr>
      </w:pPr>
    </w:p>
    <w:p w14:paraId="2F46EE69" w14:textId="77777777" w:rsidR="006314F6" w:rsidRDefault="006314F6">
      <w:pPr>
        <w:jc w:val="center"/>
        <w:rPr>
          <w:rFonts w:ascii="Arial" w:hAnsi="Arial" w:cs="Arial"/>
          <w:sz w:val="24"/>
          <w:szCs w:val="24"/>
        </w:rPr>
      </w:pPr>
    </w:p>
    <w:p w14:paraId="4F35064A" w14:textId="77777777" w:rsidR="006314F6" w:rsidRDefault="006314F6">
      <w:pPr>
        <w:jc w:val="center"/>
        <w:rPr>
          <w:rFonts w:ascii="Arial" w:hAnsi="Arial" w:cs="Arial"/>
          <w:sz w:val="24"/>
          <w:szCs w:val="24"/>
        </w:rPr>
      </w:pPr>
    </w:p>
    <w:p w14:paraId="403F1E0C" w14:textId="77777777" w:rsidR="006314F6" w:rsidRDefault="006314F6">
      <w:pPr>
        <w:jc w:val="center"/>
        <w:rPr>
          <w:rFonts w:ascii="Arial" w:hAnsi="Arial" w:cs="Arial"/>
          <w:sz w:val="24"/>
          <w:szCs w:val="24"/>
        </w:rPr>
      </w:pPr>
    </w:p>
    <w:p w14:paraId="1203EDD1" w14:textId="77777777" w:rsidR="009D64C8" w:rsidRDefault="009D64C8">
      <w:pPr>
        <w:spacing w:line="360" w:lineRule="auto"/>
        <w:ind w:left="2880" w:firstLine="720"/>
        <w:jc w:val="both"/>
        <w:rPr>
          <w:rFonts w:ascii="Arial" w:hAnsi="Arial" w:cs="Arial"/>
          <w:sz w:val="24"/>
          <w:szCs w:val="24"/>
        </w:rPr>
      </w:pPr>
    </w:p>
    <w:p w14:paraId="363F90DF" w14:textId="77777777" w:rsidR="00D518D2" w:rsidRDefault="00D518D2" w:rsidP="008E505B">
      <w:pPr>
        <w:spacing w:line="360" w:lineRule="auto"/>
        <w:rPr>
          <w:rFonts w:ascii="Arial" w:hAnsi="Arial" w:cs="Arial"/>
          <w:sz w:val="24"/>
          <w:szCs w:val="24"/>
        </w:rPr>
      </w:pPr>
    </w:p>
    <w:p w14:paraId="77A352B3" w14:textId="77777777" w:rsidR="008E505B" w:rsidRDefault="008E505B" w:rsidP="008E505B">
      <w:pPr>
        <w:spacing w:line="360" w:lineRule="auto"/>
        <w:rPr>
          <w:rFonts w:ascii="Arial" w:hAnsi="Arial" w:cs="Arial"/>
          <w:sz w:val="24"/>
          <w:szCs w:val="24"/>
        </w:rPr>
      </w:pPr>
    </w:p>
    <w:p w14:paraId="11C75C37" w14:textId="77777777" w:rsidR="008E505B" w:rsidRDefault="008E505B" w:rsidP="008E505B">
      <w:pPr>
        <w:spacing w:line="360" w:lineRule="auto"/>
        <w:rPr>
          <w:rFonts w:ascii="Arial" w:hAnsi="Arial" w:cs="Arial"/>
          <w:sz w:val="24"/>
          <w:szCs w:val="24"/>
        </w:rPr>
      </w:pPr>
    </w:p>
    <w:p w14:paraId="598819EB" w14:textId="77777777" w:rsidR="008E505B" w:rsidRDefault="008E505B" w:rsidP="008E505B">
      <w:pPr>
        <w:spacing w:line="360" w:lineRule="auto"/>
        <w:rPr>
          <w:rFonts w:ascii="Arial" w:hAnsi="Arial" w:cs="Arial"/>
          <w:sz w:val="24"/>
          <w:szCs w:val="24"/>
        </w:rPr>
      </w:pPr>
    </w:p>
    <w:p w14:paraId="2D9A313E" w14:textId="2105B3FA" w:rsidR="00702561" w:rsidRPr="00702561" w:rsidRDefault="005A7A3C" w:rsidP="00702561">
      <w:pPr>
        <w:spacing w:line="360" w:lineRule="auto"/>
        <w:jc w:val="center"/>
        <w:rPr>
          <w:rFonts w:ascii="Arial" w:hAnsi="Arial" w:cs="Arial"/>
          <w:b/>
          <w:bCs/>
          <w:sz w:val="28"/>
          <w:szCs w:val="28"/>
        </w:rPr>
      </w:pPr>
      <w:r w:rsidRPr="000E5068">
        <w:rPr>
          <w:rFonts w:ascii="Arial" w:hAnsi="Arial" w:cs="Arial"/>
          <w:b/>
          <w:bCs/>
          <w:color w:val="000000"/>
          <w:sz w:val="28"/>
          <w:szCs w:val="28"/>
        </w:rPr>
        <w:lastRenderedPageBreak/>
        <w:t>TECHNICAL REPORT</w:t>
      </w:r>
      <w:r w:rsidR="000E5068">
        <w:rPr>
          <w:rFonts w:ascii="Arial" w:hAnsi="Arial" w:cs="Arial"/>
          <w:b/>
          <w:bCs/>
          <w:color w:val="000000"/>
          <w:sz w:val="28"/>
          <w:szCs w:val="28"/>
        </w:rPr>
        <w:t xml:space="preserve"> FOR</w:t>
      </w:r>
      <w:r w:rsidRPr="000E5068">
        <w:rPr>
          <w:rFonts w:ascii="Arial" w:hAnsi="Arial" w:cs="Arial"/>
          <w:b/>
          <w:bCs/>
          <w:color w:val="000000"/>
          <w:sz w:val="28"/>
          <w:szCs w:val="28"/>
        </w:rPr>
        <w:t xml:space="preserve"> </w:t>
      </w:r>
      <w:r w:rsidR="00875F47">
        <w:rPr>
          <w:rFonts w:ascii="Arial" w:hAnsi="Arial" w:cs="Arial"/>
          <w:b/>
          <w:bCs/>
          <w:sz w:val="28"/>
          <w:szCs w:val="28"/>
        </w:rPr>
        <w:t>SAMSUNG</w:t>
      </w:r>
      <w:r w:rsidR="00702561" w:rsidRPr="00702561">
        <w:rPr>
          <w:rFonts w:ascii="Arial" w:hAnsi="Arial" w:cs="Arial"/>
          <w:b/>
          <w:bCs/>
          <w:sz w:val="28"/>
          <w:szCs w:val="28"/>
        </w:rPr>
        <w:t xml:space="preserve"> </w:t>
      </w:r>
      <w:r w:rsidR="00875F47">
        <w:rPr>
          <w:rFonts w:ascii="Arial" w:hAnsi="Arial" w:cs="Arial"/>
          <w:b/>
          <w:bCs/>
          <w:sz w:val="28"/>
          <w:szCs w:val="28"/>
        </w:rPr>
        <w:t xml:space="preserve">5G MOBILE PHONES SALES ANALYSIS </w:t>
      </w:r>
      <w:r w:rsidR="00702561" w:rsidRPr="00702561">
        <w:rPr>
          <w:rFonts w:ascii="Arial" w:hAnsi="Arial" w:cs="Arial"/>
          <w:b/>
          <w:bCs/>
          <w:sz w:val="28"/>
          <w:szCs w:val="28"/>
        </w:rPr>
        <w:t>REPORT FOR THE YEAR 20</w:t>
      </w:r>
      <w:r w:rsidR="00875F47">
        <w:rPr>
          <w:rFonts w:ascii="Arial" w:hAnsi="Arial" w:cs="Arial"/>
          <w:b/>
          <w:bCs/>
          <w:sz w:val="28"/>
          <w:szCs w:val="28"/>
        </w:rPr>
        <w:t>19 - 2024</w:t>
      </w:r>
    </w:p>
    <w:p w14:paraId="41F93748" w14:textId="0F5FEB99" w:rsidR="00CF015D" w:rsidRPr="000E5068" w:rsidRDefault="00CF015D" w:rsidP="000E5068">
      <w:pPr>
        <w:spacing w:line="360" w:lineRule="auto"/>
        <w:jc w:val="center"/>
        <w:rPr>
          <w:rFonts w:ascii="Arial" w:hAnsi="Arial" w:cs="Arial"/>
          <w:b/>
          <w:bCs/>
          <w:color w:val="000000"/>
          <w:sz w:val="28"/>
          <w:szCs w:val="28"/>
        </w:rPr>
      </w:pPr>
    </w:p>
    <w:p w14:paraId="6C315203" w14:textId="77777777" w:rsidR="008367A1" w:rsidRDefault="008367A1" w:rsidP="000E5068">
      <w:pPr>
        <w:spacing w:line="360" w:lineRule="auto"/>
        <w:rPr>
          <w:rFonts w:ascii="Arial" w:hAnsi="Arial" w:cs="Arial"/>
          <w:b/>
          <w:bCs/>
          <w:color w:val="000000"/>
          <w:sz w:val="24"/>
          <w:szCs w:val="24"/>
        </w:rPr>
      </w:pPr>
    </w:p>
    <w:p w14:paraId="4474A599" w14:textId="49B99D4C" w:rsidR="005A7A3C" w:rsidRDefault="000D1898" w:rsidP="005A7A3C">
      <w:pPr>
        <w:spacing w:line="360" w:lineRule="auto"/>
        <w:rPr>
          <w:rFonts w:ascii="Arial" w:hAnsi="Arial" w:cs="Arial"/>
          <w:b/>
          <w:bCs/>
          <w:color w:val="000000"/>
          <w:sz w:val="24"/>
          <w:szCs w:val="24"/>
        </w:rPr>
      </w:pPr>
      <w:r>
        <w:rPr>
          <w:rFonts w:ascii="Arial" w:hAnsi="Arial" w:cs="Arial"/>
          <w:b/>
          <w:bCs/>
          <w:color w:val="000000"/>
          <w:sz w:val="24"/>
          <w:szCs w:val="24"/>
        </w:rPr>
        <w:t>OUTLINE</w:t>
      </w:r>
    </w:p>
    <w:p w14:paraId="65ABAE12" w14:textId="77777777" w:rsidR="000D1898" w:rsidRPr="000D1898" w:rsidRDefault="000D1898">
      <w:pPr>
        <w:numPr>
          <w:ilvl w:val="0"/>
          <w:numId w:val="1"/>
        </w:numPr>
        <w:spacing w:before="240" w:after="0" w:line="240" w:lineRule="auto"/>
        <w:textAlignment w:val="baseline"/>
        <w:outlineLvl w:val="0"/>
        <w:rPr>
          <w:rFonts w:ascii="Arial" w:eastAsia="Times New Roman" w:hAnsi="Arial" w:cs="Arial"/>
          <w:b/>
          <w:bCs/>
          <w:color w:val="000000"/>
          <w:kern w:val="36"/>
          <w:sz w:val="24"/>
          <w:szCs w:val="24"/>
        </w:rPr>
      </w:pPr>
      <w:r w:rsidRPr="000D1898">
        <w:rPr>
          <w:rFonts w:ascii="Arial" w:eastAsia="Times New Roman" w:hAnsi="Arial" w:cs="Arial"/>
          <w:b/>
          <w:bCs/>
          <w:color w:val="000000"/>
          <w:kern w:val="36"/>
          <w:sz w:val="24"/>
          <w:szCs w:val="24"/>
        </w:rPr>
        <w:t>Introduction</w:t>
      </w:r>
    </w:p>
    <w:p w14:paraId="0641E466" w14:textId="77777777" w:rsidR="000D1898" w:rsidRPr="000D1898" w:rsidRDefault="000D1898">
      <w:pPr>
        <w:numPr>
          <w:ilvl w:val="0"/>
          <w:numId w:val="1"/>
        </w:numPr>
        <w:spacing w:after="0" w:line="240" w:lineRule="auto"/>
        <w:textAlignment w:val="baseline"/>
        <w:outlineLvl w:val="0"/>
        <w:rPr>
          <w:rFonts w:ascii="Arial" w:eastAsia="Times New Roman" w:hAnsi="Arial" w:cs="Arial"/>
          <w:b/>
          <w:bCs/>
          <w:color w:val="000000"/>
          <w:kern w:val="36"/>
          <w:sz w:val="24"/>
          <w:szCs w:val="24"/>
        </w:rPr>
      </w:pPr>
      <w:r w:rsidRPr="000D1898">
        <w:rPr>
          <w:rFonts w:ascii="Arial" w:eastAsia="Times New Roman" w:hAnsi="Arial" w:cs="Arial"/>
          <w:b/>
          <w:bCs/>
          <w:color w:val="000000"/>
          <w:kern w:val="36"/>
          <w:sz w:val="24"/>
          <w:szCs w:val="24"/>
        </w:rPr>
        <w:t>Story of Data</w:t>
      </w:r>
    </w:p>
    <w:p w14:paraId="28E3DA33" w14:textId="77777777" w:rsidR="000D1898" w:rsidRPr="000D1898" w:rsidRDefault="000D1898">
      <w:pPr>
        <w:numPr>
          <w:ilvl w:val="0"/>
          <w:numId w:val="1"/>
        </w:numPr>
        <w:spacing w:after="0" w:line="240" w:lineRule="auto"/>
        <w:textAlignment w:val="baseline"/>
        <w:outlineLvl w:val="0"/>
        <w:rPr>
          <w:rFonts w:ascii="Arial" w:eastAsia="Times New Roman" w:hAnsi="Arial" w:cs="Arial"/>
          <w:b/>
          <w:bCs/>
          <w:color w:val="000000"/>
          <w:kern w:val="36"/>
          <w:sz w:val="24"/>
          <w:szCs w:val="24"/>
        </w:rPr>
      </w:pPr>
      <w:r w:rsidRPr="000D1898">
        <w:rPr>
          <w:rFonts w:ascii="Arial" w:eastAsia="Times New Roman" w:hAnsi="Arial" w:cs="Arial"/>
          <w:b/>
          <w:bCs/>
          <w:color w:val="000000"/>
          <w:kern w:val="36"/>
          <w:sz w:val="24"/>
          <w:szCs w:val="24"/>
        </w:rPr>
        <w:t>Data Splitting and Preprocessing</w:t>
      </w:r>
    </w:p>
    <w:p w14:paraId="48369265" w14:textId="77777777" w:rsidR="000D1898" w:rsidRPr="000D1898" w:rsidRDefault="000D1898">
      <w:pPr>
        <w:numPr>
          <w:ilvl w:val="0"/>
          <w:numId w:val="1"/>
        </w:numPr>
        <w:spacing w:after="0" w:line="240" w:lineRule="auto"/>
        <w:textAlignment w:val="baseline"/>
        <w:outlineLvl w:val="0"/>
        <w:rPr>
          <w:rFonts w:ascii="Arial" w:eastAsia="Times New Roman" w:hAnsi="Arial" w:cs="Arial"/>
          <w:b/>
          <w:bCs/>
          <w:color w:val="000000"/>
          <w:kern w:val="36"/>
          <w:sz w:val="24"/>
          <w:szCs w:val="24"/>
        </w:rPr>
      </w:pPr>
      <w:r w:rsidRPr="000D1898">
        <w:rPr>
          <w:rFonts w:ascii="Arial" w:eastAsia="Times New Roman" w:hAnsi="Arial" w:cs="Arial"/>
          <w:b/>
          <w:bCs/>
          <w:color w:val="000000"/>
          <w:kern w:val="36"/>
          <w:sz w:val="24"/>
          <w:szCs w:val="24"/>
        </w:rPr>
        <w:t>Pre-Analysis</w:t>
      </w:r>
    </w:p>
    <w:p w14:paraId="709B0B8C" w14:textId="77777777" w:rsidR="000D1898" w:rsidRPr="000D1898" w:rsidRDefault="000D1898">
      <w:pPr>
        <w:numPr>
          <w:ilvl w:val="0"/>
          <w:numId w:val="1"/>
        </w:numPr>
        <w:spacing w:after="0" w:line="240" w:lineRule="auto"/>
        <w:textAlignment w:val="baseline"/>
        <w:outlineLvl w:val="0"/>
        <w:rPr>
          <w:rFonts w:ascii="Arial" w:eastAsia="Times New Roman" w:hAnsi="Arial" w:cs="Arial"/>
          <w:b/>
          <w:bCs/>
          <w:color w:val="000000"/>
          <w:kern w:val="36"/>
          <w:sz w:val="24"/>
          <w:szCs w:val="24"/>
        </w:rPr>
      </w:pPr>
      <w:r w:rsidRPr="000D1898">
        <w:rPr>
          <w:rFonts w:ascii="Arial" w:eastAsia="Times New Roman" w:hAnsi="Arial" w:cs="Arial"/>
          <w:b/>
          <w:bCs/>
          <w:color w:val="000000"/>
          <w:kern w:val="36"/>
          <w:sz w:val="24"/>
          <w:szCs w:val="24"/>
        </w:rPr>
        <w:t>In-Analysis</w:t>
      </w:r>
    </w:p>
    <w:p w14:paraId="0716F86B" w14:textId="77777777" w:rsidR="000D1898" w:rsidRPr="000D1898" w:rsidRDefault="000D1898">
      <w:pPr>
        <w:numPr>
          <w:ilvl w:val="0"/>
          <w:numId w:val="1"/>
        </w:numPr>
        <w:spacing w:after="0" w:line="240" w:lineRule="auto"/>
        <w:textAlignment w:val="baseline"/>
        <w:outlineLvl w:val="0"/>
        <w:rPr>
          <w:rFonts w:ascii="Arial" w:eastAsia="Times New Roman" w:hAnsi="Arial" w:cs="Arial"/>
          <w:b/>
          <w:bCs/>
          <w:color w:val="000000"/>
          <w:kern w:val="36"/>
          <w:sz w:val="24"/>
          <w:szCs w:val="24"/>
        </w:rPr>
      </w:pPr>
      <w:r w:rsidRPr="000D1898">
        <w:rPr>
          <w:rFonts w:ascii="Arial" w:eastAsia="Times New Roman" w:hAnsi="Arial" w:cs="Arial"/>
          <w:b/>
          <w:bCs/>
          <w:color w:val="000000"/>
          <w:kern w:val="36"/>
          <w:sz w:val="24"/>
          <w:szCs w:val="24"/>
        </w:rPr>
        <w:t>Post-Analysis and Insights</w:t>
      </w:r>
    </w:p>
    <w:p w14:paraId="1744CC68" w14:textId="77777777" w:rsidR="000D1898" w:rsidRPr="000D1898" w:rsidRDefault="000D1898">
      <w:pPr>
        <w:numPr>
          <w:ilvl w:val="0"/>
          <w:numId w:val="1"/>
        </w:numPr>
        <w:spacing w:after="0" w:line="240" w:lineRule="auto"/>
        <w:textAlignment w:val="baseline"/>
        <w:outlineLvl w:val="0"/>
        <w:rPr>
          <w:rFonts w:ascii="Arial" w:eastAsia="Times New Roman" w:hAnsi="Arial" w:cs="Arial"/>
          <w:b/>
          <w:bCs/>
          <w:color w:val="000000"/>
          <w:kern w:val="36"/>
          <w:sz w:val="24"/>
          <w:szCs w:val="24"/>
        </w:rPr>
      </w:pPr>
      <w:r w:rsidRPr="000D1898">
        <w:rPr>
          <w:rFonts w:ascii="Arial" w:eastAsia="Times New Roman" w:hAnsi="Arial" w:cs="Arial"/>
          <w:b/>
          <w:bCs/>
          <w:color w:val="000000"/>
          <w:kern w:val="36"/>
          <w:sz w:val="24"/>
          <w:szCs w:val="24"/>
        </w:rPr>
        <w:t>Data Visualizations &amp; Charts</w:t>
      </w:r>
    </w:p>
    <w:p w14:paraId="456279B6" w14:textId="77777777" w:rsidR="000D1898" w:rsidRPr="000D1898" w:rsidRDefault="000D1898">
      <w:pPr>
        <w:numPr>
          <w:ilvl w:val="0"/>
          <w:numId w:val="1"/>
        </w:numPr>
        <w:spacing w:after="0" w:line="240" w:lineRule="auto"/>
        <w:textAlignment w:val="baseline"/>
        <w:outlineLvl w:val="0"/>
        <w:rPr>
          <w:rFonts w:ascii="Arial" w:eastAsia="Times New Roman" w:hAnsi="Arial" w:cs="Arial"/>
          <w:b/>
          <w:bCs/>
          <w:color w:val="000000"/>
          <w:kern w:val="36"/>
          <w:sz w:val="24"/>
          <w:szCs w:val="24"/>
        </w:rPr>
      </w:pPr>
      <w:r w:rsidRPr="000D1898">
        <w:rPr>
          <w:rFonts w:ascii="Arial" w:eastAsia="Times New Roman" w:hAnsi="Arial" w:cs="Arial"/>
          <w:b/>
          <w:bCs/>
          <w:color w:val="000000"/>
          <w:kern w:val="36"/>
          <w:sz w:val="24"/>
          <w:szCs w:val="24"/>
        </w:rPr>
        <w:t>Recommendations and Observations</w:t>
      </w:r>
    </w:p>
    <w:p w14:paraId="6DE42357" w14:textId="77777777" w:rsidR="000D1898" w:rsidRPr="000D1898" w:rsidRDefault="000D1898">
      <w:pPr>
        <w:numPr>
          <w:ilvl w:val="0"/>
          <w:numId w:val="1"/>
        </w:numPr>
        <w:spacing w:after="0" w:line="240" w:lineRule="auto"/>
        <w:textAlignment w:val="baseline"/>
        <w:outlineLvl w:val="0"/>
        <w:rPr>
          <w:rFonts w:ascii="Arial" w:eastAsia="Times New Roman" w:hAnsi="Arial" w:cs="Arial"/>
          <w:b/>
          <w:bCs/>
          <w:color w:val="000000"/>
          <w:kern w:val="36"/>
          <w:sz w:val="24"/>
          <w:szCs w:val="24"/>
        </w:rPr>
      </w:pPr>
      <w:r w:rsidRPr="000D1898">
        <w:rPr>
          <w:rFonts w:ascii="Arial" w:eastAsia="Times New Roman" w:hAnsi="Arial" w:cs="Arial"/>
          <w:b/>
          <w:bCs/>
          <w:color w:val="000000"/>
          <w:kern w:val="36"/>
          <w:sz w:val="24"/>
          <w:szCs w:val="24"/>
        </w:rPr>
        <w:t>Conclusion</w:t>
      </w:r>
    </w:p>
    <w:p w14:paraId="642CB3D8" w14:textId="77777777" w:rsidR="000D1898" w:rsidRPr="000D1898" w:rsidRDefault="000D1898">
      <w:pPr>
        <w:numPr>
          <w:ilvl w:val="0"/>
          <w:numId w:val="1"/>
        </w:numPr>
        <w:spacing w:after="240" w:line="240" w:lineRule="auto"/>
        <w:textAlignment w:val="baseline"/>
        <w:outlineLvl w:val="0"/>
        <w:rPr>
          <w:rFonts w:ascii="Arial" w:eastAsia="Times New Roman" w:hAnsi="Arial" w:cs="Arial"/>
          <w:b/>
          <w:bCs/>
          <w:color w:val="000000"/>
          <w:kern w:val="36"/>
          <w:sz w:val="24"/>
          <w:szCs w:val="24"/>
        </w:rPr>
      </w:pPr>
      <w:r w:rsidRPr="000D1898">
        <w:rPr>
          <w:rFonts w:ascii="Arial" w:eastAsia="Times New Roman" w:hAnsi="Arial" w:cs="Arial"/>
          <w:b/>
          <w:bCs/>
          <w:color w:val="000000"/>
          <w:kern w:val="36"/>
          <w:sz w:val="24"/>
          <w:szCs w:val="24"/>
        </w:rPr>
        <w:t>References &amp; Appendices</w:t>
      </w:r>
    </w:p>
    <w:p w14:paraId="1B29753E" w14:textId="77777777" w:rsidR="000D1898" w:rsidRDefault="000D1898" w:rsidP="005A7A3C">
      <w:pPr>
        <w:spacing w:line="360" w:lineRule="auto"/>
        <w:rPr>
          <w:rFonts w:ascii="Arial" w:hAnsi="Arial" w:cs="Arial"/>
          <w:b/>
          <w:bCs/>
          <w:color w:val="000000"/>
          <w:sz w:val="24"/>
          <w:szCs w:val="24"/>
        </w:rPr>
      </w:pPr>
    </w:p>
    <w:p w14:paraId="7ACC7AEF" w14:textId="77777777" w:rsidR="00A61BA9" w:rsidRDefault="00A61BA9" w:rsidP="005A7A3C">
      <w:pPr>
        <w:spacing w:line="360" w:lineRule="auto"/>
        <w:rPr>
          <w:rFonts w:ascii="Arial" w:hAnsi="Arial" w:cs="Arial"/>
          <w:b/>
          <w:bCs/>
          <w:color w:val="000000"/>
          <w:sz w:val="24"/>
          <w:szCs w:val="24"/>
        </w:rPr>
      </w:pPr>
    </w:p>
    <w:p w14:paraId="21EC0F9A" w14:textId="76796792" w:rsidR="00A61BA9" w:rsidRDefault="00A61BA9" w:rsidP="005A7A3C">
      <w:pPr>
        <w:spacing w:line="360" w:lineRule="auto"/>
        <w:rPr>
          <w:rFonts w:ascii="Arial" w:hAnsi="Arial" w:cs="Arial"/>
          <w:b/>
          <w:bCs/>
          <w:color w:val="000000"/>
          <w:sz w:val="24"/>
          <w:szCs w:val="24"/>
        </w:rPr>
      </w:pPr>
      <w:r>
        <w:rPr>
          <w:rFonts w:ascii="Arial" w:hAnsi="Arial" w:cs="Arial"/>
          <w:b/>
          <w:bCs/>
          <w:color w:val="000000"/>
          <w:sz w:val="24"/>
          <w:szCs w:val="24"/>
        </w:rPr>
        <w:t>INTRODUCTION</w:t>
      </w:r>
    </w:p>
    <w:p w14:paraId="4B2CE58C" w14:textId="77777777" w:rsidR="00762BA2" w:rsidRPr="00762BA2" w:rsidRDefault="00762BA2" w:rsidP="00762BA2">
      <w:pPr>
        <w:spacing w:line="360" w:lineRule="auto"/>
        <w:rPr>
          <w:rFonts w:ascii="Arial" w:hAnsi="Arial" w:cs="Arial"/>
          <w:b/>
          <w:bCs/>
          <w:sz w:val="24"/>
          <w:szCs w:val="24"/>
        </w:rPr>
      </w:pPr>
      <w:r w:rsidRPr="00762BA2">
        <w:rPr>
          <w:rFonts w:ascii="Arial" w:hAnsi="Arial" w:cs="Arial"/>
          <w:b/>
          <w:bCs/>
          <w:sz w:val="24"/>
          <w:szCs w:val="24"/>
        </w:rPr>
        <w:t>Objective of the Project</w:t>
      </w:r>
    </w:p>
    <w:p w14:paraId="71656558" w14:textId="77777777" w:rsidR="00B3190B" w:rsidRDefault="00B3190B" w:rsidP="00762BA2">
      <w:pPr>
        <w:spacing w:line="360" w:lineRule="auto"/>
        <w:rPr>
          <w:rFonts w:ascii="Arial" w:hAnsi="Arial" w:cs="Arial"/>
          <w:sz w:val="24"/>
          <w:szCs w:val="24"/>
        </w:rPr>
      </w:pPr>
      <w:r w:rsidRPr="00B3190B">
        <w:rPr>
          <w:rFonts w:ascii="Arial" w:hAnsi="Arial" w:cs="Arial"/>
          <w:sz w:val="24"/>
          <w:szCs w:val="24"/>
        </w:rPr>
        <w:t>The objective of this project is to evaluate Samsung’s 5G phone sales performance across different regions and product models, understand customer preferences for 5G-enabled phones, and identify growth trends to support strategic business decisions.</w:t>
      </w:r>
    </w:p>
    <w:p w14:paraId="1F5DBDAD" w14:textId="335C2788" w:rsidR="00762BA2" w:rsidRPr="00762BA2" w:rsidRDefault="00762BA2" w:rsidP="00762BA2">
      <w:pPr>
        <w:spacing w:line="360" w:lineRule="auto"/>
        <w:rPr>
          <w:rFonts w:ascii="Arial" w:hAnsi="Arial" w:cs="Arial"/>
          <w:b/>
          <w:bCs/>
          <w:sz w:val="24"/>
          <w:szCs w:val="24"/>
        </w:rPr>
      </w:pPr>
      <w:r w:rsidRPr="00762BA2">
        <w:rPr>
          <w:rFonts w:ascii="Arial" w:hAnsi="Arial" w:cs="Arial"/>
          <w:b/>
          <w:bCs/>
          <w:sz w:val="24"/>
          <w:szCs w:val="24"/>
        </w:rPr>
        <w:t>Problem Being Addressed</w:t>
      </w:r>
    </w:p>
    <w:p w14:paraId="5388A54A" w14:textId="345F6C63" w:rsidR="003F37BA" w:rsidRDefault="00B3190B" w:rsidP="00762BA2">
      <w:pPr>
        <w:spacing w:line="360" w:lineRule="auto"/>
        <w:rPr>
          <w:rFonts w:ascii="Arial" w:hAnsi="Arial" w:cs="Arial"/>
          <w:sz w:val="24"/>
          <w:szCs w:val="24"/>
        </w:rPr>
      </w:pPr>
      <w:r w:rsidRPr="00B3190B">
        <w:rPr>
          <w:rFonts w:ascii="Arial" w:hAnsi="Arial" w:cs="Arial"/>
          <w:sz w:val="24"/>
          <w:szCs w:val="24"/>
        </w:rPr>
        <w:t xml:space="preserve">This analysis addresses several business problems, such as identifying which 5G models generate the most revenue, determining which regions contribute the most to overall sales, assessing regional 5G network readiness, understanding which </w:t>
      </w:r>
      <w:proofErr w:type="gramStart"/>
      <w:r w:rsidRPr="00B3190B">
        <w:rPr>
          <w:rFonts w:ascii="Arial" w:hAnsi="Arial" w:cs="Arial"/>
          <w:sz w:val="24"/>
          <w:szCs w:val="24"/>
        </w:rPr>
        <w:t>models</w:t>
      </w:r>
      <w:proofErr w:type="gramEnd"/>
      <w:r w:rsidRPr="00B3190B">
        <w:rPr>
          <w:rFonts w:ascii="Arial" w:hAnsi="Arial" w:cs="Arial"/>
          <w:sz w:val="24"/>
          <w:szCs w:val="24"/>
        </w:rPr>
        <w:t xml:space="preserve"> customers prefer for 5G use, and pinpointing the most and least profitable sales periods over the years.</w:t>
      </w:r>
    </w:p>
    <w:p w14:paraId="7384175D" w14:textId="77777777" w:rsidR="00B3190B" w:rsidRDefault="00B3190B" w:rsidP="00762BA2">
      <w:pPr>
        <w:spacing w:line="360" w:lineRule="auto"/>
      </w:pPr>
    </w:p>
    <w:p w14:paraId="04BF9B25" w14:textId="42911969" w:rsidR="00762BA2" w:rsidRPr="00762BA2" w:rsidRDefault="00762BA2" w:rsidP="00762BA2">
      <w:pPr>
        <w:spacing w:line="360" w:lineRule="auto"/>
        <w:rPr>
          <w:rFonts w:ascii="Arial" w:hAnsi="Arial" w:cs="Arial"/>
          <w:b/>
          <w:bCs/>
          <w:sz w:val="24"/>
          <w:szCs w:val="24"/>
        </w:rPr>
      </w:pPr>
      <w:r w:rsidRPr="00762BA2">
        <w:rPr>
          <w:rFonts w:ascii="Arial" w:hAnsi="Arial" w:cs="Arial"/>
          <w:b/>
          <w:bCs/>
          <w:sz w:val="24"/>
          <w:szCs w:val="24"/>
        </w:rPr>
        <w:lastRenderedPageBreak/>
        <w:t>Key Datasets</w:t>
      </w:r>
    </w:p>
    <w:p w14:paraId="60BCEE15" w14:textId="3EA59A12" w:rsidR="00B3190B" w:rsidRPr="00B3190B" w:rsidRDefault="00B3190B" w:rsidP="00B3190B">
      <w:pPr>
        <w:spacing w:line="360" w:lineRule="auto"/>
        <w:rPr>
          <w:rFonts w:ascii="Arial" w:hAnsi="Arial" w:cs="Arial"/>
          <w:sz w:val="24"/>
          <w:szCs w:val="24"/>
        </w:rPr>
      </w:pPr>
      <w:r w:rsidRPr="00B3190B">
        <w:rPr>
          <w:rFonts w:ascii="Arial" w:hAnsi="Arial" w:cs="Arial"/>
          <w:b/>
          <w:bCs/>
          <w:sz w:val="24"/>
          <w:szCs w:val="24"/>
        </w:rPr>
        <w:t>Product Sales Dataset</w:t>
      </w:r>
      <w:r w:rsidRPr="00B3190B">
        <w:rPr>
          <w:rFonts w:ascii="Arial" w:hAnsi="Arial" w:cs="Arial"/>
          <w:sz w:val="24"/>
          <w:szCs w:val="24"/>
        </w:rPr>
        <w:br/>
        <w:t xml:space="preserve">Contains detailed sales data for each Samsung 5G phone model, including units sold, revenue generated, and market share by model and </w:t>
      </w:r>
      <w:proofErr w:type="gramStart"/>
      <w:r w:rsidRPr="00B3190B">
        <w:rPr>
          <w:rFonts w:ascii="Arial" w:hAnsi="Arial" w:cs="Arial"/>
          <w:sz w:val="24"/>
          <w:szCs w:val="24"/>
        </w:rPr>
        <w:t>time period</w:t>
      </w:r>
      <w:proofErr w:type="gramEnd"/>
      <w:r w:rsidRPr="00B3190B">
        <w:rPr>
          <w:rFonts w:ascii="Arial" w:hAnsi="Arial" w:cs="Arial"/>
          <w:sz w:val="24"/>
          <w:szCs w:val="24"/>
        </w:rPr>
        <w:t>.</w:t>
      </w:r>
    </w:p>
    <w:p w14:paraId="4B06758B" w14:textId="58D443FE" w:rsidR="00B3190B" w:rsidRPr="00B3190B" w:rsidRDefault="00B3190B" w:rsidP="00B3190B">
      <w:pPr>
        <w:spacing w:line="360" w:lineRule="auto"/>
        <w:rPr>
          <w:rFonts w:ascii="Arial" w:hAnsi="Arial" w:cs="Arial"/>
          <w:sz w:val="24"/>
          <w:szCs w:val="24"/>
        </w:rPr>
      </w:pPr>
      <w:r w:rsidRPr="00B3190B">
        <w:rPr>
          <w:rFonts w:ascii="Arial" w:hAnsi="Arial" w:cs="Arial"/>
          <w:b/>
          <w:bCs/>
          <w:sz w:val="24"/>
          <w:szCs w:val="24"/>
        </w:rPr>
        <w:t>Product Information Dataset</w:t>
      </w:r>
      <w:r w:rsidRPr="00B3190B">
        <w:rPr>
          <w:rFonts w:ascii="Arial" w:hAnsi="Arial" w:cs="Arial"/>
          <w:sz w:val="24"/>
          <w:szCs w:val="24"/>
        </w:rPr>
        <w:br/>
        <w:t>Includes product specifications such as model name, 5G capability, and other relevant features tied to each device.</w:t>
      </w:r>
    </w:p>
    <w:p w14:paraId="51D82E23" w14:textId="224E1298" w:rsidR="00B3190B" w:rsidRPr="00B3190B" w:rsidRDefault="00B3190B" w:rsidP="00B3190B">
      <w:pPr>
        <w:spacing w:line="360" w:lineRule="auto"/>
        <w:rPr>
          <w:rFonts w:ascii="Arial" w:hAnsi="Arial" w:cs="Arial"/>
          <w:sz w:val="24"/>
          <w:szCs w:val="24"/>
        </w:rPr>
      </w:pPr>
      <w:r w:rsidRPr="00B3190B">
        <w:rPr>
          <w:rFonts w:ascii="Arial" w:hAnsi="Arial" w:cs="Arial"/>
          <w:b/>
          <w:bCs/>
          <w:sz w:val="24"/>
          <w:szCs w:val="24"/>
        </w:rPr>
        <w:t>Regional Market Dataset</w:t>
      </w:r>
      <w:r w:rsidRPr="00B3190B">
        <w:rPr>
          <w:rFonts w:ascii="Arial" w:hAnsi="Arial" w:cs="Arial"/>
          <w:sz w:val="24"/>
          <w:szCs w:val="24"/>
        </w:rPr>
        <w:br/>
        <w:t>Captures data per region (e.g., Asia-Pacific, North America, Europe, Latin America) including total revenue, 5G subscriber counts, and market contributions.</w:t>
      </w:r>
    </w:p>
    <w:p w14:paraId="6D6EC9FB" w14:textId="179BC75E" w:rsidR="00B3190B" w:rsidRPr="00B3190B" w:rsidRDefault="00B3190B" w:rsidP="00B3190B">
      <w:pPr>
        <w:spacing w:line="360" w:lineRule="auto"/>
        <w:rPr>
          <w:rFonts w:ascii="Arial" w:hAnsi="Arial" w:cs="Arial"/>
          <w:sz w:val="24"/>
          <w:szCs w:val="24"/>
        </w:rPr>
      </w:pPr>
      <w:r w:rsidRPr="00B3190B">
        <w:rPr>
          <w:rFonts w:ascii="Arial" w:hAnsi="Arial" w:cs="Arial"/>
          <w:b/>
          <w:bCs/>
          <w:sz w:val="24"/>
          <w:szCs w:val="24"/>
        </w:rPr>
        <w:t>5G Network Coverage Dataset</w:t>
      </w:r>
      <w:r w:rsidRPr="00B3190B">
        <w:rPr>
          <w:rFonts w:ascii="Arial" w:hAnsi="Arial" w:cs="Arial"/>
          <w:sz w:val="24"/>
          <w:szCs w:val="24"/>
        </w:rPr>
        <w:br/>
        <w:t>Provides average 5G network availability (% coverage) by region over time, helping analyze infrastructure maturity and readiness.</w:t>
      </w:r>
    </w:p>
    <w:p w14:paraId="4E479725" w14:textId="16ACB626" w:rsidR="00B3190B" w:rsidRPr="00B3190B" w:rsidRDefault="00B3190B" w:rsidP="00B3190B">
      <w:pPr>
        <w:spacing w:line="360" w:lineRule="auto"/>
        <w:rPr>
          <w:rFonts w:ascii="Arial" w:hAnsi="Arial" w:cs="Arial"/>
          <w:sz w:val="24"/>
          <w:szCs w:val="24"/>
        </w:rPr>
      </w:pPr>
      <w:r w:rsidRPr="00B3190B">
        <w:rPr>
          <w:rFonts w:ascii="Arial" w:hAnsi="Arial" w:cs="Arial"/>
          <w:b/>
          <w:bCs/>
          <w:sz w:val="24"/>
          <w:szCs w:val="24"/>
        </w:rPr>
        <w:t>5G Performance Dataset</w:t>
      </w:r>
      <w:r w:rsidRPr="00B3190B">
        <w:rPr>
          <w:rFonts w:ascii="Arial" w:hAnsi="Arial" w:cs="Arial"/>
          <w:sz w:val="24"/>
          <w:szCs w:val="24"/>
        </w:rPr>
        <w:br/>
        <w:t>Tracks average 5G internet speed (in Mbps) in each region, reflecting the quality of network service that could influence customer satisfaction and sales.</w:t>
      </w:r>
    </w:p>
    <w:p w14:paraId="2B7E551D" w14:textId="76B3A9B6" w:rsidR="00B3190B" w:rsidRPr="00B3190B" w:rsidRDefault="00B3190B" w:rsidP="00B3190B">
      <w:pPr>
        <w:spacing w:line="360" w:lineRule="auto"/>
        <w:rPr>
          <w:rFonts w:ascii="Arial" w:hAnsi="Arial" w:cs="Arial"/>
          <w:sz w:val="24"/>
          <w:szCs w:val="24"/>
        </w:rPr>
      </w:pPr>
      <w:r w:rsidRPr="00B3190B">
        <w:rPr>
          <w:rFonts w:ascii="Arial" w:hAnsi="Arial" w:cs="Arial"/>
          <w:b/>
          <w:bCs/>
          <w:sz w:val="24"/>
          <w:szCs w:val="24"/>
        </w:rPr>
        <w:t>Customer Preference Dataset</w:t>
      </w:r>
      <w:r w:rsidRPr="00B3190B">
        <w:rPr>
          <w:rFonts w:ascii="Arial" w:hAnsi="Arial" w:cs="Arial"/>
          <w:sz w:val="24"/>
          <w:szCs w:val="24"/>
        </w:rPr>
        <w:br/>
        <w:t>Represents survey or behavioral data showing consumer preference percentages for 5G technology by region and product model.</w:t>
      </w:r>
    </w:p>
    <w:p w14:paraId="2893F7E1" w14:textId="6D780C8C" w:rsidR="00B3190B" w:rsidRPr="00B3190B" w:rsidRDefault="00B3190B" w:rsidP="00B3190B">
      <w:pPr>
        <w:spacing w:line="360" w:lineRule="auto"/>
        <w:rPr>
          <w:rFonts w:ascii="Arial" w:hAnsi="Arial" w:cs="Arial"/>
          <w:sz w:val="24"/>
          <w:szCs w:val="24"/>
        </w:rPr>
      </w:pPr>
      <w:r w:rsidRPr="00B3190B">
        <w:rPr>
          <w:rFonts w:ascii="Arial" w:hAnsi="Arial" w:cs="Arial"/>
          <w:b/>
          <w:bCs/>
          <w:sz w:val="24"/>
          <w:szCs w:val="24"/>
        </w:rPr>
        <w:t>Time-based Performance Dataset</w:t>
      </w:r>
      <w:r w:rsidRPr="00B3190B">
        <w:rPr>
          <w:rFonts w:ascii="Arial" w:hAnsi="Arial" w:cs="Arial"/>
          <w:sz w:val="24"/>
          <w:szCs w:val="24"/>
        </w:rPr>
        <w:br/>
        <w:t>Breaks down revenue and units sold by year and quarter to analyze growth trends and seasonal performance.</w:t>
      </w:r>
    </w:p>
    <w:p w14:paraId="3AAF758D" w14:textId="6254A042" w:rsidR="005B1DDB" w:rsidRPr="00303FE4" w:rsidRDefault="005B1DDB" w:rsidP="00303FE4">
      <w:pPr>
        <w:spacing w:line="360" w:lineRule="auto"/>
        <w:jc w:val="center"/>
        <w:rPr>
          <w:rFonts w:ascii="Arial" w:hAnsi="Arial" w:cs="Arial"/>
          <w:b/>
          <w:bCs/>
          <w:color w:val="000000"/>
          <w:sz w:val="24"/>
          <w:szCs w:val="24"/>
        </w:rPr>
      </w:pPr>
      <w:r w:rsidRPr="005B1DDB">
        <w:rPr>
          <w:rFonts w:ascii="Arial" w:hAnsi="Arial" w:cs="Arial"/>
          <w:b/>
          <w:bCs/>
          <w:color w:val="000000"/>
          <w:sz w:val="24"/>
          <w:szCs w:val="24"/>
        </w:rPr>
        <w:t>STORY OF DATA</w:t>
      </w:r>
    </w:p>
    <w:p w14:paraId="67D7F450" w14:textId="78708670" w:rsidR="00303FE4" w:rsidRDefault="00303FE4" w:rsidP="005B1DDB">
      <w:pPr>
        <w:spacing w:line="360" w:lineRule="auto"/>
        <w:rPr>
          <w:rFonts w:ascii="Arial" w:hAnsi="Arial" w:cs="Arial"/>
          <w:color w:val="000000"/>
          <w:sz w:val="24"/>
          <w:szCs w:val="24"/>
        </w:rPr>
      </w:pPr>
      <w:r>
        <w:br/>
      </w:r>
      <w:r w:rsidRPr="00303FE4">
        <w:rPr>
          <w:rFonts w:ascii="Arial" w:hAnsi="Arial" w:cs="Arial"/>
          <w:b/>
          <w:bCs/>
          <w:color w:val="000000"/>
          <w:sz w:val="24"/>
          <w:szCs w:val="24"/>
        </w:rPr>
        <w:t>Data Source</w:t>
      </w:r>
      <w:r w:rsidRPr="00303FE4">
        <w:rPr>
          <w:rFonts w:ascii="Arial" w:hAnsi="Arial" w:cs="Arial"/>
          <w:color w:val="000000"/>
          <w:sz w:val="24"/>
          <w:szCs w:val="24"/>
        </w:rPr>
        <w:t>:</w:t>
      </w:r>
      <w:r>
        <w:rPr>
          <w:rFonts w:ascii="Arial" w:hAnsi="Arial" w:cs="Arial"/>
          <w:color w:val="000000"/>
          <w:sz w:val="24"/>
          <w:szCs w:val="24"/>
        </w:rPr>
        <w:t xml:space="preserve"> The data </w:t>
      </w:r>
      <w:r w:rsidR="00C33B21">
        <w:rPr>
          <w:rFonts w:ascii="Arial" w:hAnsi="Arial" w:cs="Arial"/>
          <w:color w:val="000000"/>
          <w:sz w:val="24"/>
          <w:szCs w:val="24"/>
        </w:rPr>
        <w:t>was obtained from Kaggle.com</w:t>
      </w:r>
    </w:p>
    <w:p w14:paraId="35EADC95" w14:textId="53A61F4F" w:rsidR="007B7476" w:rsidRDefault="007B7476" w:rsidP="005B1DDB">
      <w:pPr>
        <w:spacing w:line="360" w:lineRule="auto"/>
        <w:rPr>
          <w:rFonts w:ascii="Arial" w:hAnsi="Arial" w:cs="Arial"/>
          <w:color w:val="000000"/>
          <w:sz w:val="24"/>
          <w:szCs w:val="24"/>
        </w:rPr>
      </w:pPr>
      <w:r w:rsidRPr="007B7476">
        <w:rPr>
          <w:rFonts w:ascii="Arial" w:hAnsi="Arial" w:cs="Arial"/>
          <w:b/>
          <w:bCs/>
          <w:color w:val="000000"/>
          <w:sz w:val="24"/>
          <w:szCs w:val="24"/>
        </w:rPr>
        <w:t>Data Collection Process</w:t>
      </w:r>
      <w:r w:rsidRPr="007B7476">
        <w:rPr>
          <w:rFonts w:ascii="Arial" w:hAnsi="Arial" w:cs="Arial"/>
          <w:color w:val="000000"/>
          <w:sz w:val="24"/>
          <w:szCs w:val="24"/>
        </w:rPr>
        <w:t>:</w:t>
      </w:r>
      <w:r>
        <w:rPr>
          <w:rFonts w:ascii="Arial" w:hAnsi="Arial" w:cs="Arial"/>
          <w:color w:val="000000"/>
          <w:sz w:val="24"/>
          <w:szCs w:val="24"/>
        </w:rPr>
        <w:t xml:space="preserve"> </w:t>
      </w:r>
      <w:r w:rsidR="000A5E05">
        <w:rPr>
          <w:rFonts w:ascii="Arial" w:hAnsi="Arial" w:cs="Arial"/>
          <w:color w:val="000000"/>
          <w:sz w:val="24"/>
          <w:szCs w:val="24"/>
        </w:rPr>
        <w:t>T</w:t>
      </w:r>
      <w:r w:rsidR="000A5E05" w:rsidRPr="000A5E05">
        <w:rPr>
          <w:rFonts w:ascii="Arial" w:hAnsi="Arial" w:cs="Arial"/>
          <w:color w:val="000000"/>
          <w:sz w:val="24"/>
          <w:szCs w:val="24"/>
        </w:rPr>
        <w:t>his data w</w:t>
      </w:r>
      <w:r w:rsidR="00A231C8">
        <w:rPr>
          <w:rFonts w:ascii="Arial" w:hAnsi="Arial" w:cs="Arial"/>
          <w:color w:val="000000"/>
          <w:sz w:val="24"/>
          <w:szCs w:val="24"/>
        </w:rPr>
        <w:t>as obtained from Kaggle.com</w:t>
      </w:r>
      <w:r w:rsidR="000A5E05">
        <w:rPr>
          <w:rFonts w:ascii="Arial" w:hAnsi="Arial" w:cs="Arial"/>
          <w:color w:val="000000"/>
          <w:sz w:val="24"/>
          <w:szCs w:val="24"/>
        </w:rPr>
        <w:t xml:space="preserve"> </w:t>
      </w:r>
    </w:p>
    <w:p w14:paraId="57A4972F" w14:textId="77777777" w:rsidR="00E1229E" w:rsidRDefault="0027787A" w:rsidP="00E1229E">
      <w:pPr>
        <w:rPr>
          <w:rFonts w:ascii="Arial" w:hAnsi="Arial" w:cs="Arial"/>
          <w:sz w:val="24"/>
          <w:szCs w:val="24"/>
        </w:rPr>
      </w:pPr>
      <w:r w:rsidRPr="0027787A">
        <w:rPr>
          <w:rFonts w:ascii="Arial" w:hAnsi="Arial" w:cs="Arial"/>
          <w:b/>
          <w:bCs/>
          <w:color w:val="000000"/>
          <w:sz w:val="24"/>
          <w:szCs w:val="24"/>
        </w:rPr>
        <w:lastRenderedPageBreak/>
        <w:t>Data Structure:</w:t>
      </w:r>
      <w:r>
        <w:rPr>
          <w:rFonts w:ascii="Arial" w:hAnsi="Arial" w:cs="Arial"/>
          <w:b/>
          <w:bCs/>
          <w:color w:val="000000"/>
          <w:sz w:val="24"/>
          <w:szCs w:val="24"/>
        </w:rPr>
        <w:t xml:space="preserve"> </w:t>
      </w:r>
      <w:r w:rsidRPr="00F8755D">
        <w:rPr>
          <w:rFonts w:ascii="Arial" w:hAnsi="Arial" w:cs="Arial"/>
          <w:color w:val="000000"/>
          <w:sz w:val="24"/>
          <w:szCs w:val="24"/>
        </w:rPr>
        <w:t xml:space="preserve">The data contains </w:t>
      </w:r>
      <w:r w:rsidR="00E1229E">
        <w:rPr>
          <w:rFonts w:ascii="Arial" w:hAnsi="Arial" w:cs="Arial"/>
          <w:color w:val="000000"/>
          <w:sz w:val="24"/>
          <w:szCs w:val="24"/>
        </w:rPr>
        <w:t>362</w:t>
      </w:r>
      <w:r w:rsidR="00702561">
        <w:rPr>
          <w:rFonts w:ascii="Arial" w:hAnsi="Arial" w:cs="Arial"/>
          <w:color w:val="000000"/>
          <w:sz w:val="24"/>
          <w:szCs w:val="24"/>
        </w:rPr>
        <w:t xml:space="preserve"> </w:t>
      </w:r>
      <w:r w:rsidRPr="00F8755D">
        <w:rPr>
          <w:rFonts w:ascii="Arial" w:hAnsi="Arial" w:cs="Arial"/>
          <w:color w:val="000000"/>
          <w:sz w:val="24"/>
          <w:szCs w:val="24"/>
        </w:rPr>
        <w:t xml:space="preserve">rows with each representing a distinct </w:t>
      </w:r>
      <w:r w:rsidR="00EB325D">
        <w:rPr>
          <w:rFonts w:ascii="Arial" w:hAnsi="Arial" w:cs="Arial"/>
          <w:color w:val="000000"/>
          <w:sz w:val="24"/>
          <w:szCs w:val="24"/>
        </w:rPr>
        <w:t>individual’s</w:t>
      </w:r>
      <w:r w:rsidR="00C33B21">
        <w:rPr>
          <w:rFonts w:ascii="Arial" w:hAnsi="Arial" w:cs="Arial"/>
          <w:color w:val="000000"/>
          <w:sz w:val="24"/>
          <w:szCs w:val="24"/>
        </w:rPr>
        <w:t xml:space="preserve"> </w:t>
      </w:r>
      <w:r w:rsidR="00EB325D">
        <w:rPr>
          <w:rFonts w:ascii="Arial" w:hAnsi="Arial" w:cs="Arial"/>
          <w:color w:val="000000"/>
          <w:sz w:val="24"/>
          <w:szCs w:val="24"/>
        </w:rPr>
        <w:t>details a</w:t>
      </w:r>
      <w:r w:rsidR="00F8755D" w:rsidRPr="00F8755D">
        <w:rPr>
          <w:rFonts w:ascii="Arial" w:hAnsi="Arial" w:cs="Arial"/>
          <w:color w:val="000000"/>
          <w:sz w:val="24"/>
          <w:szCs w:val="24"/>
        </w:rPr>
        <w:t>nd</w:t>
      </w:r>
      <w:r w:rsidR="00F8755D">
        <w:rPr>
          <w:rFonts w:ascii="Arial" w:hAnsi="Arial" w:cs="Arial"/>
          <w:color w:val="000000"/>
          <w:sz w:val="24"/>
          <w:szCs w:val="24"/>
        </w:rPr>
        <w:t xml:space="preserve"> </w:t>
      </w:r>
      <w:r w:rsidR="00E1229E">
        <w:rPr>
          <w:rFonts w:ascii="Arial" w:hAnsi="Arial" w:cs="Arial"/>
          <w:color w:val="000000"/>
          <w:sz w:val="24"/>
          <w:szCs w:val="24"/>
        </w:rPr>
        <w:t>12</w:t>
      </w:r>
      <w:r w:rsidR="00F8755D">
        <w:rPr>
          <w:rFonts w:ascii="Arial" w:hAnsi="Arial" w:cs="Arial"/>
          <w:color w:val="000000"/>
          <w:sz w:val="24"/>
          <w:szCs w:val="24"/>
        </w:rPr>
        <w:t xml:space="preserve"> columns representing </w:t>
      </w:r>
      <w:r w:rsidR="00E1229E">
        <w:rPr>
          <w:rStyle w:val="HTMLCode"/>
          <w:rFonts w:ascii="Arial" w:eastAsiaTheme="minorHAnsi" w:hAnsi="Arial" w:cs="Arial"/>
          <w:sz w:val="24"/>
          <w:szCs w:val="24"/>
        </w:rPr>
        <w:t>Year</w:t>
      </w:r>
      <w:r w:rsidR="00762BA2" w:rsidRPr="00762BA2">
        <w:rPr>
          <w:rFonts w:ascii="Arial" w:hAnsi="Arial" w:cs="Arial"/>
          <w:sz w:val="24"/>
          <w:szCs w:val="24"/>
        </w:rPr>
        <w:t>,</w:t>
      </w:r>
      <w:r w:rsidR="00702561">
        <w:rPr>
          <w:rFonts w:ascii="Arial" w:hAnsi="Arial" w:cs="Arial"/>
          <w:sz w:val="24"/>
          <w:szCs w:val="24"/>
        </w:rPr>
        <w:t xml:space="preserve"> </w:t>
      </w:r>
      <w:r w:rsidR="00E1229E">
        <w:rPr>
          <w:rFonts w:ascii="Arial" w:hAnsi="Arial" w:cs="Arial"/>
          <w:sz w:val="24"/>
          <w:szCs w:val="24"/>
        </w:rPr>
        <w:t xml:space="preserve">Quarter, Product Model, 5G Capability, Units Sold, </w:t>
      </w:r>
      <w:proofErr w:type="spellStart"/>
      <w:r w:rsidR="00E1229E">
        <w:rPr>
          <w:rFonts w:ascii="Arial" w:hAnsi="Arial" w:cs="Arial"/>
          <w:sz w:val="24"/>
          <w:szCs w:val="24"/>
        </w:rPr>
        <w:t>Revenus</w:t>
      </w:r>
      <w:proofErr w:type="spellEnd"/>
      <w:r w:rsidR="00E1229E">
        <w:rPr>
          <w:rFonts w:ascii="Arial" w:hAnsi="Arial" w:cs="Arial"/>
          <w:sz w:val="24"/>
          <w:szCs w:val="24"/>
        </w:rPr>
        <w:t xml:space="preserve">, Market </w:t>
      </w:r>
      <w:proofErr w:type="gramStart"/>
      <w:r w:rsidR="00E1229E">
        <w:rPr>
          <w:rFonts w:ascii="Arial" w:hAnsi="Arial" w:cs="Arial"/>
          <w:sz w:val="24"/>
          <w:szCs w:val="24"/>
        </w:rPr>
        <w:t>Share,  Regional</w:t>
      </w:r>
      <w:proofErr w:type="gramEnd"/>
      <w:r w:rsidR="00E1229E">
        <w:rPr>
          <w:rFonts w:ascii="Arial" w:hAnsi="Arial" w:cs="Arial"/>
          <w:sz w:val="24"/>
          <w:szCs w:val="24"/>
        </w:rPr>
        <w:t xml:space="preserve"> 5G Coverage</w:t>
      </w:r>
      <w:r w:rsidR="00702561">
        <w:rPr>
          <w:rFonts w:ascii="Arial" w:hAnsi="Arial" w:cs="Arial"/>
          <w:sz w:val="24"/>
          <w:szCs w:val="24"/>
        </w:rPr>
        <w:t>,</w:t>
      </w:r>
      <w:r w:rsidR="00E1229E">
        <w:rPr>
          <w:rFonts w:ascii="Arial" w:hAnsi="Arial" w:cs="Arial"/>
          <w:sz w:val="24"/>
          <w:szCs w:val="24"/>
        </w:rPr>
        <w:t xml:space="preserve"> 5G Subscribers, Avg 5G Strength, Preference for 5G and Region.</w:t>
      </w:r>
    </w:p>
    <w:p w14:paraId="316512AF" w14:textId="1DA82BCA" w:rsidR="00762BA2" w:rsidRDefault="00702561" w:rsidP="00E1229E">
      <w:pPr>
        <w:rPr>
          <w:rStyle w:val="HTMLCode"/>
          <w:rFonts w:eastAsiaTheme="minorHAnsi"/>
        </w:rPr>
      </w:pPr>
      <w:r>
        <w:rPr>
          <w:rFonts w:ascii="Arial" w:hAnsi="Arial" w:cs="Arial"/>
          <w:sz w:val="24"/>
          <w:szCs w:val="24"/>
        </w:rPr>
        <w:t xml:space="preserve"> </w:t>
      </w:r>
    </w:p>
    <w:p w14:paraId="79CD440F" w14:textId="7CDFD115" w:rsidR="00274DD2" w:rsidRDefault="00057D74" w:rsidP="00EB325D">
      <w:pPr>
        <w:spacing w:line="360" w:lineRule="auto"/>
        <w:rPr>
          <w:rFonts w:ascii="Arial" w:hAnsi="Arial" w:cs="Arial"/>
          <w:color w:val="000000"/>
          <w:sz w:val="24"/>
          <w:szCs w:val="24"/>
        </w:rPr>
      </w:pPr>
      <w:r w:rsidRPr="00057D74">
        <w:rPr>
          <w:rFonts w:ascii="Arial" w:hAnsi="Arial" w:cs="Arial"/>
          <w:b/>
          <w:bCs/>
          <w:color w:val="000000"/>
          <w:sz w:val="24"/>
          <w:szCs w:val="24"/>
        </w:rPr>
        <w:t>Important Features and Their Significance</w:t>
      </w:r>
      <w:r w:rsidRPr="00057D74">
        <w:rPr>
          <w:rFonts w:ascii="Arial" w:hAnsi="Arial" w:cs="Arial"/>
          <w:color w:val="000000"/>
          <w:sz w:val="24"/>
          <w:szCs w:val="24"/>
        </w:rPr>
        <w:t>:</w:t>
      </w:r>
      <w:r>
        <w:rPr>
          <w:rFonts w:ascii="Arial" w:hAnsi="Arial" w:cs="Arial"/>
          <w:color w:val="000000"/>
          <w:sz w:val="24"/>
          <w:szCs w:val="24"/>
        </w:rPr>
        <w:t xml:space="preserve"> </w:t>
      </w:r>
    </w:p>
    <w:p w14:paraId="3BA8F9D5" w14:textId="4C303C91" w:rsidR="00024E42" w:rsidRPr="00024E42" w:rsidRDefault="00024E42" w:rsidP="00024E42">
      <w:pPr>
        <w:pStyle w:val="ListParagraph"/>
        <w:numPr>
          <w:ilvl w:val="0"/>
          <w:numId w:val="10"/>
        </w:numPr>
        <w:spacing w:line="360" w:lineRule="auto"/>
        <w:rPr>
          <w:rFonts w:ascii="Arial" w:hAnsi="Arial" w:cs="Arial"/>
          <w:color w:val="000000"/>
          <w:sz w:val="24"/>
          <w:szCs w:val="24"/>
        </w:rPr>
      </w:pPr>
      <w:r w:rsidRPr="00024E42">
        <w:rPr>
          <w:rFonts w:ascii="Arial" w:hAnsi="Arial" w:cs="Arial"/>
          <w:color w:val="000000"/>
          <w:sz w:val="24"/>
          <w:szCs w:val="24"/>
        </w:rPr>
        <w:t xml:space="preserve">The </w:t>
      </w:r>
      <w:r w:rsidRPr="00024E42">
        <w:rPr>
          <w:rFonts w:ascii="Arial" w:hAnsi="Arial" w:cs="Arial"/>
          <w:b/>
          <w:bCs/>
          <w:color w:val="000000"/>
          <w:sz w:val="24"/>
          <w:szCs w:val="24"/>
        </w:rPr>
        <w:t>Year</w:t>
      </w:r>
      <w:r w:rsidRPr="00024E42">
        <w:rPr>
          <w:rFonts w:ascii="Arial" w:hAnsi="Arial" w:cs="Arial"/>
          <w:color w:val="000000"/>
          <w:sz w:val="24"/>
          <w:szCs w:val="24"/>
        </w:rPr>
        <w:t xml:space="preserve"> field records the calendar year in which the sales and performance data for Samsung 5G mobile phones </w:t>
      </w:r>
      <w:proofErr w:type="gramStart"/>
      <w:r w:rsidRPr="00024E42">
        <w:rPr>
          <w:rFonts w:ascii="Arial" w:hAnsi="Arial" w:cs="Arial"/>
          <w:color w:val="000000"/>
          <w:sz w:val="24"/>
          <w:szCs w:val="24"/>
        </w:rPr>
        <w:t>was</w:t>
      </w:r>
      <w:proofErr w:type="gramEnd"/>
      <w:r w:rsidRPr="00024E42">
        <w:rPr>
          <w:rFonts w:ascii="Arial" w:hAnsi="Arial" w:cs="Arial"/>
          <w:color w:val="000000"/>
          <w:sz w:val="24"/>
          <w:szCs w:val="24"/>
        </w:rPr>
        <w:t xml:space="preserve"> collected.</w:t>
      </w:r>
    </w:p>
    <w:p w14:paraId="5C853772" w14:textId="3CEB7193" w:rsidR="00024E42" w:rsidRPr="00024E42" w:rsidRDefault="00024E42" w:rsidP="00024E42">
      <w:pPr>
        <w:pStyle w:val="ListParagraph"/>
        <w:numPr>
          <w:ilvl w:val="0"/>
          <w:numId w:val="10"/>
        </w:numPr>
        <w:spacing w:line="360" w:lineRule="auto"/>
        <w:rPr>
          <w:rFonts w:ascii="Arial" w:hAnsi="Arial" w:cs="Arial"/>
          <w:color w:val="000000"/>
          <w:sz w:val="24"/>
          <w:szCs w:val="24"/>
        </w:rPr>
      </w:pPr>
      <w:r w:rsidRPr="00024E42">
        <w:rPr>
          <w:rFonts w:ascii="Arial" w:hAnsi="Arial" w:cs="Arial"/>
          <w:color w:val="000000"/>
          <w:sz w:val="24"/>
          <w:szCs w:val="24"/>
        </w:rPr>
        <w:t xml:space="preserve">The </w:t>
      </w:r>
      <w:r w:rsidRPr="00024E42">
        <w:rPr>
          <w:rFonts w:ascii="Arial" w:hAnsi="Arial" w:cs="Arial"/>
          <w:b/>
          <w:bCs/>
          <w:color w:val="000000"/>
          <w:sz w:val="24"/>
          <w:szCs w:val="24"/>
        </w:rPr>
        <w:t>Quarter</w:t>
      </w:r>
      <w:r w:rsidRPr="00024E42">
        <w:rPr>
          <w:rFonts w:ascii="Arial" w:hAnsi="Arial" w:cs="Arial"/>
          <w:color w:val="000000"/>
          <w:sz w:val="24"/>
          <w:szCs w:val="24"/>
        </w:rPr>
        <w:t xml:space="preserve"> field specifies the </w:t>
      </w:r>
      <w:proofErr w:type="gramStart"/>
      <w:r w:rsidRPr="00024E42">
        <w:rPr>
          <w:rFonts w:ascii="Arial" w:hAnsi="Arial" w:cs="Arial"/>
          <w:color w:val="000000"/>
          <w:sz w:val="24"/>
          <w:szCs w:val="24"/>
        </w:rPr>
        <w:t>time period</w:t>
      </w:r>
      <w:proofErr w:type="gramEnd"/>
      <w:r w:rsidRPr="00024E42">
        <w:rPr>
          <w:rFonts w:ascii="Arial" w:hAnsi="Arial" w:cs="Arial"/>
          <w:color w:val="000000"/>
          <w:sz w:val="24"/>
          <w:szCs w:val="24"/>
        </w:rPr>
        <w:t xml:space="preserve"> within the year, divided into Q1, Q2, Q3, or Q4.</w:t>
      </w:r>
    </w:p>
    <w:p w14:paraId="7DACECCC" w14:textId="162D2986" w:rsidR="00024E42" w:rsidRPr="00024E42" w:rsidRDefault="00024E42" w:rsidP="00024E42">
      <w:pPr>
        <w:pStyle w:val="ListParagraph"/>
        <w:numPr>
          <w:ilvl w:val="0"/>
          <w:numId w:val="10"/>
        </w:numPr>
        <w:spacing w:line="360" w:lineRule="auto"/>
        <w:rPr>
          <w:rFonts w:ascii="Arial" w:hAnsi="Arial" w:cs="Arial"/>
          <w:color w:val="000000"/>
          <w:sz w:val="24"/>
          <w:szCs w:val="24"/>
        </w:rPr>
      </w:pPr>
      <w:r w:rsidRPr="00024E42">
        <w:rPr>
          <w:rFonts w:ascii="Arial" w:hAnsi="Arial" w:cs="Arial"/>
          <w:color w:val="000000"/>
          <w:sz w:val="24"/>
          <w:szCs w:val="24"/>
        </w:rPr>
        <w:t xml:space="preserve">The </w:t>
      </w:r>
      <w:r w:rsidRPr="00024E42">
        <w:rPr>
          <w:rFonts w:ascii="Arial" w:hAnsi="Arial" w:cs="Arial"/>
          <w:b/>
          <w:bCs/>
          <w:color w:val="000000"/>
          <w:sz w:val="24"/>
          <w:szCs w:val="24"/>
        </w:rPr>
        <w:t>Product Model</w:t>
      </w:r>
      <w:r w:rsidRPr="00024E42">
        <w:rPr>
          <w:rFonts w:ascii="Arial" w:hAnsi="Arial" w:cs="Arial"/>
          <w:color w:val="000000"/>
          <w:sz w:val="24"/>
          <w:szCs w:val="24"/>
        </w:rPr>
        <w:t xml:space="preserve"> field contains the name of the specific Samsung 5G mobile phone model being analyzed.</w:t>
      </w:r>
    </w:p>
    <w:p w14:paraId="6E054CE3" w14:textId="5CE5BAE2" w:rsidR="00024E42" w:rsidRPr="00024E42" w:rsidRDefault="00024E42" w:rsidP="00024E42">
      <w:pPr>
        <w:pStyle w:val="ListParagraph"/>
        <w:numPr>
          <w:ilvl w:val="0"/>
          <w:numId w:val="10"/>
        </w:numPr>
        <w:spacing w:line="360" w:lineRule="auto"/>
        <w:rPr>
          <w:rFonts w:ascii="Arial" w:hAnsi="Arial" w:cs="Arial"/>
          <w:color w:val="000000"/>
          <w:sz w:val="24"/>
          <w:szCs w:val="24"/>
        </w:rPr>
      </w:pPr>
      <w:r w:rsidRPr="00024E42">
        <w:rPr>
          <w:rFonts w:ascii="Arial" w:hAnsi="Arial" w:cs="Arial"/>
          <w:color w:val="000000"/>
          <w:sz w:val="24"/>
          <w:szCs w:val="24"/>
        </w:rPr>
        <w:t xml:space="preserve">The </w:t>
      </w:r>
      <w:r w:rsidRPr="00024E42">
        <w:rPr>
          <w:rFonts w:ascii="Arial" w:hAnsi="Arial" w:cs="Arial"/>
          <w:b/>
          <w:bCs/>
          <w:color w:val="000000"/>
          <w:sz w:val="24"/>
          <w:szCs w:val="24"/>
        </w:rPr>
        <w:t>5G Capability</w:t>
      </w:r>
      <w:r w:rsidRPr="00024E42">
        <w:rPr>
          <w:rFonts w:ascii="Arial" w:hAnsi="Arial" w:cs="Arial"/>
          <w:color w:val="000000"/>
          <w:sz w:val="24"/>
          <w:szCs w:val="24"/>
        </w:rPr>
        <w:t xml:space="preserve"> field indicates whether the phone model supports 5G technology, typically marked as "Yes" or "No."</w:t>
      </w:r>
    </w:p>
    <w:p w14:paraId="5C638731" w14:textId="080CBB76" w:rsidR="00024E42" w:rsidRPr="00024E42" w:rsidRDefault="00024E42" w:rsidP="00024E42">
      <w:pPr>
        <w:pStyle w:val="ListParagraph"/>
        <w:numPr>
          <w:ilvl w:val="0"/>
          <w:numId w:val="10"/>
        </w:numPr>
        <w:spacing w:line="360" w:lineRule="auto"/>
        <w:rPr>
          <w:rFonts w:ascii="Arial" w:hAnsi="Arial" w:cs="Arial"/>
          <w:color w:val="000000"/>
          <w:sz w:val="24"/>
          <w:szCs w:val="24"/>
        </w:rPr>
      </w:pPr>
      <w:r w:rsidRPr="00024E42">
        <w:rPr>
          <w:rFonts w:ascii="Arial" w:hAnsi="Arial" w:cs="Arial"/>
          <w:color w:val="000000"/>
          <w:sz w:val="24"/>
          <w:szCs w:val="24"/>
        </w:rPr>
        <w:t xml:space="preserve">The </w:t>
      </w:r>
      <w:r w:rsidRPr="00024E42">
        <w:rPr>
          <w:rFonts w:ascii="Arial" w:hAnsi="Arial" w:cs="Arial"/>
          <w:b/>
          <w:bCs/>
          <w:color w:val="000000"/>
          <w:sz w:val="24"/>
          <w:szCs w:val="24"/>
        </w:rPr>
        <w:t>Units Sold ($)</w:t>
      </w:r>
      <w:r w:rsidRPr="00024E42">
        <w:rPr>
          <w:rFonts w:ascii="Arial" w:hAnsi="Arial" w:cs="Arial"/>
          <w:color w:val="000000"/>
          <w:sz w:val="24"/>
          <w:szCs w:val="24"/>
        </w:rPr>
        <w:t xml:space="preserve"> field shows the number of units sold, either represented in unit count or in monetary value.</w:t>
      </w:r>
    </w:p>
    <w:p w14:paraId="71463DD6" w14:textId="51C48D59" w:rsidR="00024E42" w:rsidRPr="00024E42" w:rsidRDefault="00024E42" w:rsidP="00024E42">
      <w:pPr>
        <w:pStyle w:val="ListParagraph"/>
        <w:numPr>
          <w:ilvl w:val="0"/>
          <w:numId w:val="10"/>
        </w:numPr>
        <w:spacing w:line="360" w:lineRule="auto"/>
        <w:rPr>
          <w:rFonts w:ascii="Arial" w:hAnsi="Arial" w:cs="Arial"/>
          <w:color w:val="000000"/>
          <w:sz w:val="24"/>
          <w:szCs w:val="24"/>
        </w:rPr>
      </w:pPr>
      <w:r w:rsidRPr="00024E42">
        <w:rPr>
          <w:rFonts w:ascii="Arial" w:hAnsi="Arial" w:cs="Arial"/>
          <w:color w:val="000000"/>
          <w:sz w:val="24"/>
          <w:szCs w:val="24"/>
        </w:rPr>
        <w:t xml:space="preserve">The </w:t>
      </w:r>
      <w:r w:rsidRPr="00024E42">
        <w:rPr>
          <w:rFonts w:ascii="Arial" w:hAnsi="Arial" w:cs="Arial"/>
          <w:b/>
          <w:bCs/>
          <w:color w:val="000000"/>
          <w:sz w:val="24"/>
          <w:szCs w:val="24"/>
        </w:rPr>
        <w:t>Revenue</w:t>
      </w:r>
      <w:r w:rsidRPr="00024E42">
        <w:rPr>
          <w:rFonts w:ascii="Arial" w:hAnsi="Arial" w:cs="Arial"/>
          <w:color w:val="000000"/>
          <w:sz w:val="24"/>
          <w:szCs w:val="24"/>
        </w:rPr>
        <w:t xml:space="preserve"> field reflects the total income generated from the sales of a particular phone model.</w:t>
      </w:r>
    </w:p>
    <w:p w14:paraId="2EBF2F2F" w14:textId="0D4B9501" w:rsidR="00024E42" w:rsidRPr="00024E42" w:rsidRDefault="00024E42" w:rsidP="00024E42">
      <w:pPr>
        <w:pStyle w:val="ListParagraph"/>
        <w:numPr>
          <w:ilvl w:val="0"/>
          <w:numId w:val="10"/>
        </w:numPr>
        <w:spacing w:line="360" w:lineRule="auto"/>
        <w:rPr>
          <w:rFonts w:ascii="Arial" w:hAnsi="Arial" w:cs="Arial"/>
          <w:color w:val="000000"/>
          <w:sz w:val="24"/>
          <w:szCs w:val="24"/>
        </w:rPr>
      </w:pPr>
      <w:r w:rsidRPr="00024E42">
        <w:rPr>
          <w:rFonts w:ascii="Arial" w:hAnsi="Arial" w:cs="Arial"/>
          <w:color w:val="000000"/>
          <w:sz w:val="24"/>
          <w:szCs w:val="24"/>
        </w:rPr>
        <w:t xml:space="preserve">The </w:t>
      </w:r>
      <w:r w:rsidRPr="00024E42">
        <w:rPr>
          <w:rFonts w:ascii="Arial" w:hAnsi="Arial" w:cs="Arial"/>
          <w:b/>
          <w:bCs/>
          <w:color w:val="000000"/>
          <w:sz w:val="24"/>
          <w:szCs w:val="24"/>
        </w:rPr>
        <w:t>Market Share (%)</w:t>
      </w:r>
      <w:r w:rsidRPr="00024E42">
        <w:rPr>
          <w:rFonts w:ascii="Arial" w:hAnsi="Arial" w:cs="Arial"/>
          <w:color w:val="000000"/>
          <w:sz w:val="24"/>
          <w:szCs w:val="24"/>
        </w:rPr>
        <w:t xml:space="preserve"> field shows the percentage of the market that a specific product model captured.</w:t>
      </w:r>
    </w:p>
    <w:p w14:paraId="7781DC09" w14:textId="40EB66D1" w:rsidR="00024E42" w:rsidRPr="00024E42" w:rsidRDefault="00024E42" w:rsidP="00024E42">
      <w:pPr>
        <w:pStyle w:val="ListParagraph"/>
        <w:numPr>
          <w:ilvl w:val="0"/>
          <w:numId w:val="10"/>
        </w:numPr>
        <w:spacing w:line="360" w:lineRule="auto"/>
        <w:rPr>
          <w:rFonts w:ascii="Arial" w:hAnsi="Arial" w:cs="Arial"/>
          <w:color w:val="000000"/>
          <w:sz w:val="24"/>
          <w:szCs w:val="24"/>
        </w:rPr>
      </w:pPr>
      <w:r w:rsidRPr="00024E42">
        <w:rPr>
          <w:rFonts w:ascii="Arial" w:hAnsi="Arial" w:cs="Arial"/>
          <w:color w:val="000000"/>
          <w:sz w:val="24"/>
          <w:szCs w:val="24"/>
        </w:rPr>
        <w:t xml:space="preserve">The </w:t>
      </w:r>
      <w:r w:rsidRPr="00024E42">
        <w:rPr>
          <w:rFonts w:ascii="Arial" w:hAnsi="Arial" w:cs="Arial"/>
          <w:b/>
          <w:bCs/>
          <w:color w:val="000000"/>
          <w:sz w:val="24"/>
          <w:szCs w:val="24"/>
        </w:rPr>
        <w:t>Regional 5G Coverage (%)</w:t>
      </w:r>
      <w:r w:rsidRPr="00024E42">
        <w:rPr>
          <w:rFonts w:ascii="Arial" w:hAnsi="Arial" w:cs="Arial"/>
          <w:color w:val="000000"/>
          <w:sz w:val="24"/>
          <w:szCs w:val="24"/>
        </w:rPr>
        <w:t xml:space="preserve"> field provides the percentage of 5G network availability in the given region.</w:t>
      </w:r>
    </w:p>
    <w:p w14:paraId="4BE34DCA" w14:textId="0397EE47" w:rsidR="00024E42" w:rsidRPr="00024E42" w:rsidRDefault="00024E42" w:rsidP="00024E42">
      <w:pPr>
        <w:pStyle w:val="ListParagraph"/>
        <w:numPr>
          <w:ilvl w:val="0"/>
          <w:numId w:val="10"/>
        </w:numPr>
        <w:spacing w:line="360" w:lineRule="auto"/>
        <w:rPr>
          <w:rFonts w:ascii="Arial" w:hAnsi="Arial" w:cs="Arial"/>
          <w:color w:val="000000"/>
          <w:sz w:val="24"/>
          <w:szCs w:val="24"/>
        </w:rPr>
      </w:pPr>
      <w:r w:rsidRPr="00024E42">
        <w:rPr>
          <w:rFonts w:ascii="Arial" w:hAnsi="Arial" w:cs="Arial"/>
          <w:color w:val="000000"/>
          <w:sz w:val="24"/>
          <w:szCs w:val="24"/>
        </w:rPr>
        <w:t xml:space="preserve">The </w:t>
      </w:r>
      <w:r w:rsidRPr="00024E42">
        <w:rPr>
          <w:rFonts w:ascii="Arial" w:hAnsi="Arial" w:cs="Arial"/>
          <w:b/>
          <w:bCs/>
          <w:color w:val="000000"/>
          <w:sz w:val="24"/>
          <w:szCs w:val="24"/>
        </w:rPr>
        <w:t>5G Subscribers (millions)</w:t>
      </w:r>
      <w:r w:rsidRPr="00024E42">
        <w:rPr>
          <w:rFonts w:ascii="Arial" w:hAnsi="Arial" w:cs="Arial"/>
          <w:color w:val="000000"/>
          <w:sz w:val="24"/>
          <w:szCs w:val="24"/>
        </w:rPr>
        <w:t xml:space="preserve"> field indicates the total number of 5G subscribers in the region, measured in millions.</w:t>
      </w:r>
    </w:p>
    <w:p w14:paraId="6A2C166C" w14:textId="4D3C77A1" w:rsidR="00024E42" w:rsidRPr="00024E42" w:rsidRDefault="00024E42" w:rsidP="00024E42">
      <w:pPr>
        <w:pStyle w:val="ListParagraph"/>
        <w:numPr>
          <w:ilvl w:val="0"/>
          <w:numId w:val="10"/>
        </w:numPr>
        <w:spacing w:line="360" w:lineRule="auto"/>
        <w:rPr>
          <w:rFonts w:ascii="Arial" w:hAnsi="Arial" w:cs="Arial"/>
          <w:color w:val="000000"/>
          <w:sz w:val="24"/>
          <w:szCs w:val="24"/>
        </w:rPr>
      </w:pPr>
      <w:r w:rsidRPr="00024E42">
        <w:rPr>
          <w:rFonts w:ascii="Arial" w:hAnsi="Arial" w:cs="Arial"/>
          <w:color w:val="000000"/>
          <w:sz w:val="24"/>
          <w:szCs w:val="24"/>
        </w:rPr>
        <w:t xml:space="preserve">The </w:t>
      </w:r>
      <w:r w:rsidRPr="00024E42">
        <w:rPr>
          <w:rFonts w:ascii="Arial" w:hAnsi="Arial" w:cs="Arial"/>
          <w:b/>
          <w:bCs/>
          <w:color w:val="000000"/>
          <w:sz w:val="24"/>
          <w:szCs w:val="24"/>
        </w:rPr>
        <w:t>Avg 5G Speed (Mbps)</w:t>
      </w:r>
      <w:r w:rsidRPr="00024E42">
        <w:rPr>
          <w:rFonts w:ascii="Arial" w:hAnsi="Arial" w:cs="Arial"/>
          <w:color w:val="000000"/>
          <w:sz w:val="24"/>
          <w:szCs w:val="24"/>
        </w:rPr>
        <w:t xml:space="preserve"> field gives the average 5G internet speed in the region, measured in megabits per second.</w:t>
      </w:r>
    </w:p>
    <w:p w14:paraId="3865177C" w14:textId="0278205C" w:rsidR="00024E42" w:rsidRPr="00024E42" w:rsidRDefault="00024E42" w:rsidP="00024E42">
      <w:pPr>
        <w:pStyle w:val="ListParagraph"/>
        <w:numPr>
          <w:ilvl w:val="0"/>
          <w:numId w:val="10"/>
        </w:numPr>
        <w:spacing w:line="360" w:lineRule="auto"/>
        <w:rPr>
          <w:rFonts w:ascii="Arial" w:hAnsi="Arial" w:cs="Arial"/>
          <w:color w:val="000000"/>
          <w:sz w:val="24"/>
          <w:szCs w:val="24"/>
        </w:rPr>
      </w:pPr>
      <w:r w:rsidRPr="00024E42">
        <w:rPr>
          <w:rFonts w:ascii="Arial" w:hAnsi="Arial" w:cs="Arial"/>
          <w:color w:val="000000"/>
          <w:sz w:val="24"/>
          <w:szCs w:val="24"/>
        </w:rPr>
        <w:t xml:space="preserve">The </w:t>
      </w:r>
      <w:r w:rsidRPr="00024E42">
        <w:rPr>
          <w:rFonts w:ascii="Arial" w:hAnsi="Arial" w:cs="Arial"/>
          <w:b/>
          <w:bCs/>
          <w:color w:val="000000"/>
          <w:sz w:val="24"/>
          <w:szCs w:val="24"/>
        </w:rPr>
        <w:t>Preference for 5G (%)</w:t>
      </w:r>
      <w:r w:rsidRPr="00024E42">
        <w:rPr>
          <w:rFonts w:ascii="Arial" w:hAnsi="Arial" w:cs="Arial"/>
          <w:color w:val="000000"/>
          <w:sz w:val="24"/>
          <w:szCs w:val="24"/>
        </w:rPr>
        <w:t xml:space="preserve"> field shows the proportion of customers in the region who prefer 5G-enabled phones.</w:t>
      </w:r>
    </w:p>
    <w:p w14:paraId="1942B941" w14:textId="4DFA361F" w:rsidR="00024E42" w:rsidRPr="00024E42" w:rsidRDefault="00024E42" w:rsidP="00024E42">
      <w:pPr>
        <w:pStyle w:val="ListParagraph"/>
        <w:numPr>
          <w:ilvl w:val="0"/>
          <w:numId w:val="10"/>
        </w:numPr>
        <w:spacing w:line="360" w:lineRule="auto"/>
        <w:rPr>
          <w:rFonts w:ascii="Arial" w:hAnsi="Arial" w:cs="Arial"/>
          <w:color w:val="000000"/>
          <w:sz w:val="24"/>
          <w:szCs w:val="24"/>
        </w:rPr>
      </w:pPr>
      <w:r w:rsidRPr="00024E42">
        <w:rPr>
          <w:rFonts w:ascii="Arial" w:hAnsi="Arial" w:cs="Arial"/>
          <w:color w:val="000000"/>
          <w:sz w:val="24"/>
          <w:szCs w:val="24"/>
        </w:rPr>
        <w:t xml:space="preserve">The </w:t>
      </w:r>
      <w:r w:rsidRPr="00024E42">
        <w:rPr>
          <w:rFonts w:ascii="Arial" w:hAnsi="Arial" w:cs="Arial"/>
          <w:b/>
          <w:bCs/>
          <w:color w:val="000000"/>
          <w:sz w:val="24"/>
          <w:szCs w:val="24"/>
        </w:rPr>
        <w:t>Region</w:t>
      </w:r>
      <w:r w:rsidRPr="00024E42">
        <w:rPr>
          <w:rFonts w:ascii="Arial" w:hAnsi="Arial" w:cs="Arial"/>
          <w:color w:val="000000"/>
          <w:sz w:val="24"/>
          <w:szCs w:val="24"/>
        </w:rPr>
        <w:t xml:space="preserve"> field identifies the geographical location (such as Asia-Pacific, Europe, or Latin America) where the data was gathered.</w:t>
      </w:r>
    </w:p>
    <w:p w14:paraId="0A5101C1" w14:textId="77777777" w:rsidR="00024E42" w:rsidRPr="00EB325D" w:rsidRDefault="00024E42" w:rsidP="00EB325D">
      <w:pPr>
        <w:spacing w:line="360" w:lineRule="auto"/>
        <w:rPr>
          <w:rFonts w:ascii="Arial" w:hAnsi="Arial" w:cs="Arial"/>
          <w:color w:val="000000"/>
          <w:sz w:val="24"/>
          <w:szCs w:val="24"/>
        </w:rPr>
      </w:pPr>
    </w:p>
    <w:p w14:paraId="504D4BD6" w14:textId="77777777" w:rsidR="00F4053F" w:rsidRPr="00F4053F" w:rsidRDefault="00F4053F" w:rsidP="00F4053F">
      <w:pPr>
        <w:spacing w:line="360" w:lineRule="auto"/>
        <w:rPr>
          <w:rFonts w:ascii="Arial" w:hAnsi="Arial" w:cs="Arial"/>
          <w:color w:val="000000"/>
          <w:sz w:val="24"/>
          <w:szCs w:val="24"/>
        </w:rPr>
      </w:pPr>
    </w:p>
    <w:p w14:paraId="57B69202" w14:textId="77777777" w:rsidR="00EB325D" w:rsidRPr="00EB325D" w:rsidRDefault="00EB325D" w:rsidP="00EB325D">
      <w:pPr>
        <w:pStyle w:val="ListParagraph"/>
        <w:spacing w:line="360" w:lineRule="auto"/>
        <w:rPr>
          <w:rFonts w:ascii="Arial" w:hAnsi="Arial" w:cs="Arial"/>
          <w:b/>
          <w:bCs/>
          <w:color w:val="000000"/>
          <w:sz w:val="24"/>
          <w:szCs w:val="24"/>
        </w:rPr>
      </w:pPr>
    </w:p>
    <w:p w14:paraId="737FD3B5" w14:textId="6FDC8452" w:rsidR="00AB29C3" w:rsidRDefault="00AB29C3" w:rsidP="00AB29C3">
      <w:pPr>
        <w:pStyle w:val="ListParagraph"/>
        <w:spacing w:line="360" w:lineRule="auto"/>
        <w:jc w:val="center"/>
        <w:rPr>
          <w:rFonts w:ascii="Arial" w:hAnsi="Arial" w:cs="Arial"/>
          <w:color w:val="000000"/>
          <w:sz w:val="24"/>
          <w:szCs w:val="24"/>
        </w:rPr>
      </w:pPr>
      <w:r w:rsidRPr="00AB29C3">
        <w:rPr>
          <w:rFonts w:ascii="Arial" w:hAnsi="Arial" w:cs="Arial"/>
          <w:b/>
          <w:bCs/>
          <w:color w:val="000000"/>
          <w:sz w:val="24"/>
          <w:szCs w:val="24"/>
        </w:rPr>
        <w:t>Data Limitations or Biases</w:t>
      </w:r>
    </w:p>
    <w:p w14:paraId="53FB0E11" w14:textId="7D828DC2" w:rsidR="006648DB" w:rsidRDefault="00C05981" w:rsidP="00757BE1">
      <w:pPr>
        <w:spacing w:line="360" w:lineRule="auto"/>
        <w:jc w:val="center"/>
        <w:rPr>
          <w:rFonts w:ascii="Arial" w:hAnsi="Arial" w:cs="Arial"/>
          <w:b/>
          <w:bCs/>
          <w:color w:val="000000"/>
          <w:sz w:val="24"/>
          <w:szCs w:val="24"/>
        </w:rPr>
      </w:pPr>
      <w:r w:rsidRPr="00C05981">
        <w:rPr>
          <w:rFonts w:ascii="Arial" w:hAnsi="Arial" w:cs="Arial"/>
          <w:sz w:val="24"/>
          <w:szCs w:val="24"/>
        </w:rPr>
        <w:t>The data may be limited by regional gaps, survey and aggregation biases, lack of competitive and pricing context, and oversimplified links between 5G coverage and sales, making it less comprehensive for global or in-depth market analysis</w:t>
      </w:r>
      <w:r>
        <w:rPr>
          <w:rFonts w:ascii="Arial" w:hAnsi="Arial" w:cs="Arial"/>
          <w:sz w:val="24"/>
          <w:szCs w:val="24"/>
        </w:rPr>
        <w:t>.</w:t>
      </w:r>
    </w:p>
    <w:p w14:paraId="53124B6E" w14:textId="72F24983" w:rsidR="00757BE1" w:rsidRDefault="00757BE1" w:rsidP="00757BE1">
      <w:pPr>
        <w:spacing w:line="360" w:lineRule="auto"/>
        <w:jc w:val="center"/>
        <w:rPr>
          <w:rFonts w:ascii="Arial" w:hAnsi="Arial" w:cs="Arial"/>
          <w:b/>
          <w:bCs/>
          <w:color w:val="000000"/>
          <w:sz w:val="24"/>
          <w:szCs w:val="24"/>
        </w:rPr>
      </w:pPr>
      <w:r w:rsidRPr="00757BE1">
        <w:rPr>
          <w:rFonts w:ascii="Arial" w:hAnsi="Arial" w:cs="Arial"/>
          <w:b/>
          <w:bCs/>
          <w:color w:val="000000"/>
          <w:sz w:val="24"/>
          <w:szCs w:val="24"/>
        </w:rPr>
        <w:t>DATA SPLITTING AND PREPROCESSING</w:t>
      </w:r>
    </w:p>
    <w:p w14:paraId="3F61430D" w14:textId="7C6942F4" w:rsidR="008E6DCB" w:rsidRDefault="00F52573" w:rsidP="00757BE1">
      <w:pPr>
        <w:spacing w:line="360" w:lineRule="auto"/>
        <w:rPr>
          <w:rFonts w:ascii="Arial" w:hAnsi="Arial" w:cs="Arial"/>
          <w:color w:val="000000"/>
          <w:sz w:val="24"/>
          <w:szCs w:val="24"/>
        </w:rPr>
      </w:pPr>
      <w:r w:rsidRPr="009044FB">
        <w:rPr>
          <w:rFonts w:ascii="Arial" w:hAnsi="Arial" w:cs="Arial"/>
          <w:b/>
          <w:bCs/>
          <w:color w:val="000000"/>
          <w:sz w:val="24"/>
          <w:szCs w:val="24"/>
        </w:rPr>
        <w:t>Data Cleaning</w:t>
      </w:r>
      <w:r w:rsidR="009044FB">
        <w:rPr>
          <w:rFonts w:ascii="Arial" w:hAnsi="Arial" w:cs="Arial"/>
          <w:b/>
          <w:bCs/>
          <w:color w:val="000000"/>
          <w:sz w:val="24"/>
          <w:szCs w:val="24"/>
        </w:rPr>
        <w:t xml:space="preserve">: </w:t>
      </w:r>
      <w:r w:rsidR="00480BF5">
        <w:rPr>
          <w:rFonts w:ascii="Arial" w:hAnsi="Arial" w:cs="Arial"/>
          <w:color w:val="000000"/>
          <w:sz w:val="24"/>
          <w:szCs w:val="24"/>
        </w:rPr>
        <w:t>T</w:t>
      </w:r>
      <w:r w:rsidR="009044FB">
        <w:rPr>
          <w:rFonts w:ascii="Arial" w:hAnsi="Arial" w:cs="Arial"/>
          <w:color w:val="000000"/>
          <w:sz w:val="24"/>
          <w:szCs w:val="24"/>
        </w:rPr>
        <w:t>he data was cleaned by removing duplicates, identifying and removing blanks, and ensuring that no inconsistencies are observed.</w:t>
      </w:r>
      <w:r w:rsidR="004F3CBC">
        <w:rPr>
          <w:rFonts w:ascii="Arial" w:hAnsi="Arial" w:cs="Arial"/>
          <w:color w:val="000000"/>
          <w:sz w:val="24"/>
          <w:szCs w:val="24"/>
        </w:rPr>
        <w:t xml:space="preserve"> Thereafter, the data was converted to a standard excel table to ease analysis. </w:t>
      </w:r>
    </w:p>
    <w:p w14:paraId="3B729090" w14:textId="3BD2B1BE" w:rsidR="008E6DCB" w:rsidRDefault="008E6DCB" w:rsidP="00757BE1">
      <w:pPr>
        <w:spacing w:line="360" w:lineRule="auto"/>
        <w:rPr>
          <w:rFonts w:ascii="Arial" w:hAnsi="Arial" w:cs="Arial"/>
          <w:color w:val="000000"/>
          <w:sz w:val="24"/>
          <w:szCs w:val="24"/>
        </w:rPr>
      </w:pPr>
      <w:r>
        <w:rPr>
          <w:rFonts w:ascii="Arial" w:hAnsi="Arial" w:cs="Arial"/>
          <w:color w:val="000000"/>
          <w:sz w:val="24"/>
          <w:szCs w:val="24"/>
        </w:rPr>
        <w:t xml:space="preserve">To remove duplicate, simply copy the entire data (ctrl +shift + end) then navigate to the data tab and on the data tools ribbon to select “remove duplicates”. </w:t>
      </w:r>
    </w:p>
    <w:p w14:paraId="283E908E" w14:textId="12485E23" w:rsidR="008E6DCB" w:rsidRDefault="008E6DCB" w:rsidP="00757BE1">
      <w:pPr>
        <w:spacing w:line="360" w:lineRule="auto"/>
        <w:rPr>
          <w:rFonts w:ascii="Arial" w:hAnsi="Arial" w:cs="Arial"/>
          <w:color w:val="000000"/>
          <w:sz w:val="24"/>
          <w:szCs w:val="24"/>
        </w:rPr>
      </w:pPr>
      <w:r>
        <w:rPr>
          <w:rFonts w:ascii="Arial" w:hAnsi="Arial" w:cs="Arial"/>
          <w:color w:val="000000"/>
          <w:sz w:val="24"/>
          <w:szCs w:val="24"/>
        </w:rPr>
        <w:t xml:space="preserve">To identify and remove blanks, simply copy the entire data (ctrl +shift + end) on the home tab navigate to the editing ribbon and click “Find and select”, then navigate </w:t>
      </w:r>
      <w:proofErr w:type="gramStart"/>
      <w:r>
        <w:rPr>
          <w:rFonts w:ascii="Arial" w:hAnsi="Arial" w:cs="Arial"/>
          <w:color w:val="000000"/>
          <w:sz w:val="24"/>
          <w:szCs w:val="24"/>
        </w:rPr>
        <w:t>to  “</w:t>
      </w:r>
      <w:proofErr w:type="gramEnd"/>
      <w:r>
        <w:rPr>
          <w:rFonts w:ascii="Arial" w:hAnsi="Arial" w:cs="Arial"/>
          <w:color w:val="000000"/>
          <w:sz w:val="24"/>
          <w:szCs w:val="24"/>
        </w:rPr>
        <w:t xml:space="preserve">Go to Special” and select “Blanks”, finally click on OK. </w:t>
      </w:r>
    </w:p>
    <w:p w14:paraId="18395DBF" w14:textId="6D35C081" w:rsidR="00674677" w:rsidRDefault="00674677" w:rsidP="00757BE1">
      <w:pPr>
        <w:spacing w:line="360" w:lineRule="auto"/>
        <w:rPr>
          <w:rFonts w:ascii="Arial" w:hAnsi="Arial" w:cs="Arial"/>
          <w:color w:val="000000"/>
          <w:sz w:val="24"/>
          <w:szCs w:val="24"/>
        </w:rPr>
      </w:pPr>
      <w:r w:rsidRPr="00674677">
        <w:rPr>
          <w:rFonts w:ascii="Arial" w:hAnsi="Arial" w:cs="Arial"/>
          <w:b/>
          <w:bCs/>
          <w:color w:val="000000"/>
          <w:sz w:val="24"/>
          <w:szCs w:val="24"/>
        </w:rPr>
        <w:t>Handling Missing Values</w:t>
      </w:r>
      <w:r w:rsidRPr="00674677">
        <w:rPr>
          <w:rFonts w:ascii="Arial" w:hAnsi="Arial" w:cs="Arial"/>
          <w:color w:val="000000"/>
          <w:sz w:val="24"/>
          <w:szCs w:val="24"/>
        </w:rPr>
        <w:t>:</w:t>
      </w:r>
      <w:r>
        <w:rPr>
          <w:rFonts w:ascii="Arial" w:hAnsi="Arial" w:cs="Arial"/>
          <w:color w:val="000000"/>
          <w:sz w:val="24"/>
          <w:szCs w:val="24"/>
        </w:rPr>
        <w:t xml:space="preserve"> </w:t>
      </w:r>
      <w:r w:rsidR="00480BF5">
        <w:rPr>
          <w:rFonts w:ascii="Arial" w:hAnsi="Arial" w:cs="Arial"/>
          <w:color w:val="000000"/>
          <w:sz w:val="24"/>
          <w:szCs w:val="24"/>
        </w:rPr>
        <w:t>T</w:t>
      </w:r>
      <w:r>
        <w:rPr>
          <w:rFonts w:ascii="Arial" w:hAnsi="Arial" w:cs="Arial"/>
          <w:color w:val="000000"/>
          <w:sz w:val="24"/>
          <w:szCs w:val="24"/>
        </w:rPr>
        <w:t>he</w:t>
      </w:r>
      <w:r w:rsidR="00274DD2">
        <w:rPr>
          <w:rFonts w:ascii="Arial" w:hAnsi="Arial" w:cs="Arial"/>
          <w:color w:val="000000"/>
          <w:sz w:val="24"/>
          <w:szCs w:val="24"/>
        </w:rPr>
        <w:t xml:space="preserve">re </w:t>
      </w:r>
      <w:r w:rsidR="00AE7244">
        <w:rPr>
          <w:rFonts w:ascii="Arial" w:hAnsi="Arial" w:cs="Arial"/>
          <w:color w:val="000000"/>
          <w:sz w:val="24"/>
          <w:szCs w:val="24"/>
        </w:rPr>
        <w:t>are</w:t>
      </w:r>
      <w:r w:rsidR="00274DD2">
        <w:rPr>
          <w:rFonts w:ascii="Arial" w:hAnsi="Arial" w:cs="Arial"/>
          <w:color w:val="000000"/>
          <w:sz w:val="24"/>
          <w:szCs w:val="24"/>
        </w:rPr>
        <w:t xml:space="preserve"> no missing values in the data. </w:t>
      </w:r>
      <w:r>
        <w:rPr>
          <w:rFonts w:ascii="Arial" w:hAnsi="Arial" w:cs="Arial"/>
          <w:color w:val="000000"/>
          <w:sz w:val="24"/>
          <w:szCs w:val="24"/>
        </w:rPr>
        <w:t xml:space="preserve"> </w:t>
      </w:r>
    </w:p>
    <w:p w14:paraId="699F0A05" w14:textId="02381B92" w:rsidR="00AB29C3" w:rsidRDefault="00480BF5" w:rsidP="00480BF5">
      <w:pPr>
        <w:spacing w:line="360" w:lineRule="auto"/>
        <w:rPr>
          <w:rFonts w:ascii="Arial" w:hAnsi="Arial" w:cs="Arial"/>
          <w:color w:val="000000"/>
          <w:sz w:val="24"/>
          <w:szCs w:val="24"/>
        </w:rPr>
      </w:pPr>
      <w:r w:rsidRPr="00480BF5">
        <w:rPr>
          <w:rFonts w:ascii="Arial" w:hAnsi="Arial" w:cs="Arial"/>
          <w:b/>
          <w:bCs/>
          <w:color w:val="000000"/>
          <w:sz w:val="24"/>
          <w:szCs w:val="24"/>
        </w:rPr>
        <w:t>Data Transformations</w:t>
      </w:r>
      <w:r>
        <w:rPr>
          <w:rFonts w:ascii="Arial" w:hAnsi="Arial" w:cs="Arial"/>
          <w:b/>
          <w:bCs/>
          <w:color w:val="000000"/>
          <w:sz w:val="24"/>
          <w:szCs w:val="24"/>
        </w:rPr>
        <w:t>:</w:t>
      </w:r>
      <w:r>
        <w:rPr>
          <w:rFonts w:ascii="Arial" w:hAnsi="Arial" w:cs="Arial"/>
          <w:color w:val="000000"/>
          <w:sz w:val="24"/>
          <w:szCs w:val="24"/>
        </w:rPr>
        <w:t xml:space="preserve"> No data transformations were performed. </w:t>
      </w:r>
    </w:p>
    <w:p w14:paraId="4F29C8BE" w14:textId="77777777" w:rsidR="00956401" w:rsidRDefault="00480BF5" w:rsidP="00956401">
      <w:pPr>
        <w:rPr>
          <w:rFonts w:ascii="Arial" w:hAnsi="Arial" w:cs="Arial"/>
          <w:color w:val="000000"/>
          <w:sz w:val="24"/>
          <w:szCs w:val="24"/>
        </w:rPr>
      </w:pPr>
      <w:r w:rsidRPr="00956401">
        <w:rPr>
          <w:rFonts w:ascii="Arial" w:hAnsi="Arial" w:cs="Arial"/>
          <w:color w:val="000000"/>
          <w:sz w:val="24"/>
          <w:szCs w:val="24"/>
        </w:rPr>
        <w:t xml:space="preserve">Data Splitting: The data was </w:t>
      </w:r>
      <w:proofErr w:type="spellStart"/>
      <w:r w:rsidRPr="00956401">
        <w:rPr>
          <w:rFonts w:ascii="Arial" w:hAnsi="Arial" w:cs="Arial"/>
          <w:color w:val="000000"/>
          <w:sz w:val="24"/>
          <w:szCs w:val="24"/>
        </w:rPr>
        <w:t>splitted</w:t>
      </w:r>
      <w:proofErr w:type="spellEnd"/>
      <w:r w:rsidRPr="00956401">
        <w:rPr>
          <w:rFonts w:ascii="Arial" w:hAnsi="Arial" w:cs="Arial"/>
          <w:color w:val="000000"/>
          <w:sz w:val="24"/>
          <w:szCs w:val="24"/>
        </w:rPr>
        <w:t xml:space="preserve"> into dependent and independent variables. </w:t>
      </w:r>
    </w:p>
    <w:p w14:paraId="375AE53F" w14:textId="77777777" w:rsidR="00BE002C" w:rsidRDefault="00BE002C" w:rsidP="00956401">
      <w:pPr>
        <w:rPr>
          <w:rFonts w:ascii="Arial" w:hAnsi="Arial" w:cs="Arial"/>
          <w:color w:val="000000"/>
          <w:sz w:val="24"/>
          <w:szCs w:val="24"/>
        </w:rPr>
      </w:pPr>
    </w:p>
    <w:p w14:paraId="2883C725" w14:textId="146DB0F1" w:rsidR="00956401" w:rsidRPr="00956401" w:rsidRDefault="00956401" w:rsidP="00956401">
      <w:pPr>
        <w:rPr>
          <w:rFonts w:ascii="Arial" w:hAnsi="Arial" w:cs="Arial"/>
          <w:b/>
          <w:bCs/>
          <w:sz w:val="24"/>
          <w:szCs w:val="24"/>
        </w:rPr>
      </w:pPr>
      <w:r w:rsidRPr="00956401">
        <w:rPr>
          <w:rFonts w:ascii="Arial" w:hAnsi="Arial" w:cs="Arial"/>
          <w:b/>
          <w:bCs/>
          <w:sz w:val="24"/>
          <w:szCs w:val="24"/>
        </w:rPr>
        <w:t>Category One- Independent Values</w:t>
      </w:r>
    </w:p>
    <w:p w14:paraId="1F4D1653" w14:textId="1E7D6481" w:rsidR="00BE002C" w:rsidRPr="00BE002C" w:rsidRDefault="00BE002C" w:rsidP="00BE002C">
      <w:pPr>
        <w:spacing w:line="360" w:lineRule="auto"/>
        <w:rPr>
          <w:rFonts w:ascii="Arial" w:hAnsi="Arial" w:cs="Arial"/>
          <w:sz w:val="24"/>
          <w:szCs w:val="24"/>
        </w:rPr>
      </w:pPr>
      <w:r w:rsidRPr="00BE002C">
        <w:rPr>
          <w:rFonts w:ascii="Arial" w:hAnsi="Arial" w:cs="Arial"/>
          <w:sz w:val="24"/>
          <w:szCs w:val="24"/>
        </w:rPr>
        <w:t>Year</w:t>
      </w:r>
    </w:p>
    <w:p w14:paraId="6B5E37CE" w14:textId="19EC560C" w:rsidR="00BE002C" w:rsidRPr="00BE002C" w:rsidRDefault="00BE002C" w:rsidP="00BE002C">
      <w:pPr>
        <w:spacing w:line="360" w:lineRule="auto"/>
        <w:rPr>
          <w:rFonts w:ascii="Arial" w:hAnsi="Arial" w:cs="Arial"/>
          <w:sz w:val="24"/>
          <w:szCs w:val="24"/>
        </w:rPr>
      </w:pPr>
      <w:r w:rsidRPr="00BE002C">
        <w:rPr>
          <w:rFonts w:ascii="Arial" w:hAnsi="Arial" w:cs="Arial"/>
          <w:sz w:val="24"/>
          <w:szCs w:val="24"/>
        </w:rPr>
        <w:t>Quarter</w:t>
      </w:r>
    </w:p>
    <w:p w14:paraId="188FC8E2" w14:textId="2D518197" w:rsidR="00BE002C" w:rsidRPr="00BE002C" w:rsidRDefault="00BE002C" w:rsidP="00BE002C">
      <w:pPr>
        <w:spacing w:line="360" w:lineRule="auto"/>
        <w:rPr>
          <w:rFonts w:ascii="Arial" w:hAnsi="Arial" w:cs="Arial"/>
          <w:sz w:val="24"/>
          <w:szCs w:val="24"/>
        </w:rPr>
      </w:pPr>
      <w:r w:rsidRPr="00BE002C">
        <w:rPr>
          <w:rFonts w:ascii="Arial" w:hAnsi="Arial" w:cs="Arial"/>
          <w:sz w:val="24"/>
          <w:szCs w:val="24"/>
        </w:rPr>
        <w:t>Product Model</w:t>
      </w:r>
    </w:p>
    <w:p w14:paraId="5F1A4112" w14:textId="7868F5C4" w:rsidR="00BE002C" w:rsidRPr="00BE002C" w:rsidRDefault="00BE002C" w:rsidP="00BE002C">
      <w:pPr>
        <w:spacing w:line="360" w:lineRule="auto"/>
        <w:rPr>
          <w:rFonts w:ascii="Arial" w:hAnsi="Arial" w:cs="Arial"/>
          <w:sz w:val="24"/>
          <w:szCs w:val="24"/>
        </w:rPr>
      </w:pPr>
      <w:r w:rsidRPr="00BE002C">
        <w:rPr>
          <w:rFonts w:ascii="Arial" w:hAnsi="Arial" w:cs="Arial"/>
          <w:sz w:val="24"/>
          <w:szCs w:val="24"/>
        </w:rPr>
        <w:t>5G Capability</w:t>
      </w:r>
    </w:p>
    <w:p w14:paraId="0D3F2782" w14:textId="1306FA25" w:rsidR="00BE002C" w:rsidRPr="00BE002C" w:rsidRDefault="00BE002C" w:rsidP="00BE002C">
      <w:pPr>
        <w:spacing w:line="360" w:lineRule="auto"/>
        <w:rPr>
          <w:rFonts w:ascii="Arial" w:hAnsi="Arial" w:cs="Arial"/>
          <w:sz w:val="24"/>
          <w:szCs w:val="24"/>
        </w:rPr>
      </w:pPr>
      <w:r w:rsidRPr="00BE002C">
        <w:rPr>
          <w:rFonts w:ascii="Arial" w:hAnsi="Arial" w:cs="Arial"/>
          <w:sz w:val="24"/>
          <w:szCs w:val="24"/>
        </w:rPr>
        <w:t>Regional 5G Coverage (%)</w:t>
      </w:r>
    </w:p>
    <w:p w14:paraId="4ADB6325" w14:textId="4C896CC4" w:rsidR="00BE002C" w:rsidRPr="00BE002C" w:rsidRDefault="00BE002C" w:rsidP="00BE002C">
      <w:pPr>
        <w:spacing w:line="360" w:lineRule="auto"/>
        <w:rPr>
          <w:rFonts w:ascii="Arial" w:hAnsi="Arial" w:cs="Arial"/>
          <w:sz w:val="24"/>
          <w:szCs w:val="24"/>
        </w:rPr>
      </w:pPr>
      <w:r w:rsidRPr="00BE002C">
        <w:rPr>
          <w:rFonts w:ascii="Arial" w:hAnsi="Arial" w:cs="Arial"/>
          <w:sz w:val="24"/>
          <w:szCs w:val="24"/>
        </w:rPr>
        <w:lastRenderedPageBreak/>
        <w:t>5G Subscribers (millions)</w:t>
      </w:r>
    </w:p>
    <w:p w14:paraId="5D774FC4" w14:textId="3749DA46" w:rsidR="00BE002C" w:rsidRPr="00BE002C" w:rsidRDefault="00BE002C" w:rsidP="00BE002C">
      <w:pPr>
        <w:spacing w:line="360" w:lineRule="auto"/>
        <w:rPr>
          <w:rFonts w:ascii="Arial" w:hAnsi="Arial" w:cs="Arial"/>
          <w:sz w:val="24"/>
          <w:szCs w:val="24"/>
        </w:rPr>
      </w:pPr>
      <w:r w:rsidRPr="00BE002C">
        <w:rPr>
          <w:rFonts w:ascii="Arial" w:hAnsi="Arial" w:cs="Arial"/>
          <w:sz w:val="24"/>
          <w:szCs w:val="24"/>
        </w:rPr>
        <w:t>Avg 5G Speed (Mbps)</w:t>
      </w:r>
    </w:p>
    <w:p w14:paraId="453BFD6D" w14:textId="412AA543" w:rsidR="00BE002C" w:rsidRPr="00BE002C" w:rsidRDefault="00BE002C" w:rsidP="00BE002C">
      <w:pPr>
        <w:spacing w:line="360" w:lineRule="auto"/>
        <w:rPr>
          <w:rFonts w:ascii="Arial" w:hAnsi="Arial" w:cs="Arial"/>
          <w:sz w:val="24"/>
          <w:szCs w:val="24"/>
        </w:rPr>
      </w:pPr>
      <w:r w:rsidRPr="00BE002C">
        <w:rPr>
          <w:rFonts w:ascii="Arial" w:hAnsi="Arial" w:cs="Arial"/>
          <w:sz w:val="24"/>
          <w:szCs w:val="24"/>
        </w:rPr>
        <w:t>Region</w:t>
      </w:r>
    </w:p>
    <w:p w14:paraId="2D377D60" w14:textId="51B99408" w:rsidR="00956401" w:rsidRDefault="00956401" w:rsidP="00956401">
      <w:pPr>
        <w:rPr>
          <w:rFonts w:ascii="Arial" w:hAnsi="Arial" w:cs="Arial"/>
          <w:b/>
          <w:bCs/>
          <w:sz w:val="24"/>
          <w:szCs w:val="24"/>
        </w:rPr>
      </w:pPr>
      <w:r w:rsidRPr="00956401">
        <w:rPr>
          <w:rFonts w:ascii="Arial" w:hAnsi="Arial" w:cs="Arial"/>
          <w:b/>
          <w:bCs/>
          <w:sz w:val="24"/>
          <w:szCs w:val="24"/>
        </w:rPr>
        <w:t>Category Two- Dependent Values</w:t>
      </w:r>
    </w:p>
    <w:p w14:paraId="5DADD998" w14:textId="02CB4EBF" w:rsidR="00BE002C" w:rsidRPr="00BE002C" w:rsidRDefault="00BE002C" w:rsidP="00BE002C">
      <w:pPr>
        <w:spacing w:line="360" w:lineRule="auto"/>
        <w:rPr>
          <w:rFonts w:ascii="Arial" w:hAnsi="Arial" w:cs="Arial"/>
          <w:sz w:val="24"/>
          <w:szCs w:val="24"/>
        </w:rPr>
      </w:pPr>
      <w:r w:rsidRPr="00BE002C">
        <w:rPr>
          <w:rFonts w:ascii="Arial" w:hAnsi="Arial" w:cs="Arial"/>
          <w:sz w:val="24"/>
          <w:szCs w:val="24"/>
        </w:rPr>
        <w:t>Units Sold ($)</w:t>
      </w:r>
    </w:p>
    <w:p w14:paraId="71817AC7" w14:textId="37D51F00" w:rsidR="00BE002C" w:rsidRPr="00BE002C" w:rsidRDefault="00BE002C" w:rsidP="00BE002C">
      <w:pPr>
        <w:spacing w:line="360" w:lineRule="auto"/>
        <w:rPr>
          <w:rFonts w:ascii="Arial" w:hAnsi="Arial" w:cs="Arial"/>
          <w:sz w:val="24"/>
          <w:szCs w:val="24"/>
        </w:rPr>
      </w:pPr>
      <w:r w:rsidRPr="00BE002C">
        <w:rPr>
          <w:rFonts w:ascii="Arial" w:hAnsi="Arial" w:cs="Arial"/>
          <w:sz w:val="24"/>
          <w:szCs w:val="24"/>
        </w:rPr>
        <w:t>Revenue</w:t>
      </w:r>
    </w:p>
    <w:p w14:paraId="0F5006FA" w14:textId="7DBD1A3A" w:rsidR="00BE002C" w:rsidRPr="00BE002C" w:rsidRDefault="00BE002C" w:rsidP="00BE002C">
      <w:pPr>
        <w:spacing w:line="360" w:lineRule="auto"/>
        <w:rPr>
          <w:rFonts w:ascii="Arial" w:hAnsi="Arial" w:cs="Arial"/>
          <w:sz w:val="24"/>
          <w:szCs w:val="24"/>
        </w:rPr>
      </w:pPr>
      <w:r w:rsidRPr="00BE002C">
        <w:rPr>
          <w:rFonts w:ascii="Arial" w:hAnsi="Arial" w:cs="Arial"/>
          <w:sz w:val="24"/>
          <w:szCs w:val="24"/>
        </w:rPr>
        <w:t>Market Share (%)</w:t>
      </w:r>
    </w:p>
    <w:p w14:paraId="0C2860D7" w14:textId="63293D65" w:rsidR="00BE002C" w:rsidRPr="00BE002C" w:rsidRDefault="00BE002C" w:rsidP="00BE002C">
      <w:pPr>
        <w:spacing w:line="360" w:lineRule="auto"/>
        <w:rPr>
          <w:rFonts w:ascii="Arial" w:hAnsi="Arial" w:cs="Arial"/>
          <w:sz w:val="24"/>
          <w:szCs w:val="24"/>
        </w:rPr>
      </w:pPr>
      <w:r w:rsidRPr="00BE002C">
        <w:rPr>
          <w:rFonts w:ascii="Arial" w:hAnsi="Arial" w:cs="Arial"/>
          <w:sz w:val="24"/>
          <w:szCs w:val="24"/>
        </w:rPr>
        <w:t>Preference for 5G (%)</w:t>
      </w:r>
    </w:p>
    <w:p w14:paraId="1C72932B" w14:textId="77777777" w:rsidR="00BE002C" w:rsidRPr="00BE002C" w:rsidRDefault="00BE002C" w:rsidP="00956401">
      <w:pPr>
        <w:rPr>
          <w:rFonts w:ascii="Arial" w:hAnsi="Arial" w:cs="Arial"/>
          <w:b/>
          <w:bCs/>
          <w:sz w:val="24"/>
          <w:szCs w:val="24"/>
        </w:rPr>
      </w:pPr>
    </w:p>
    <w:p w14:paraId="6176E330" w14:textId="44D1A138" w:rsidR="00123309" w:rsidRDefault="00123309" w:rsidP="00123309">
      <w:pPr>
        <w:spacing w:line="360" w:lineRule="auto"/>
      </w:pPr>
    </w:p>
    <w:p w14:paraId="1DFC94F2" w14:textId="77777777" w:rsidR="004B7D7E" w:rsidRPr="004B7D7E" w:rsidRDefault="009B20C9" w:rsidP="004B7D7E">
      <w:pPr>
        <w:spacing w:line="360" w:lineRule="auto"/>
        <w:rPr>
          <w:rFonts w:ascii="Arial" w:hAnsi="Arial" w:cs="Arial"/>
          <w:sz w:val="24"/>
          <w:szCs w:val="24"/>
        </w:rPr>
      </w:pPr>
      <w:r w:rsidRPr="009B20C9">
        <w:rPr>
          <w:rFonts w:ascii="Arial" w:hAnsi="Arial" w:cs="Arial"/>
          <w:b/>
          <w:bCs/>
          <w:color w:val="000000"/>
          <w:sz w:val="24"/>
          <w:szCs w:val="24"/>
        </w:rPr>
        <w:t>Industry Context</w:t>
      </w:r>
      <w:r w:rsidRPr="009A0075">
        <w:rPr>
          <w:rFonts w:ascii="Arial" w:hAnsi="Arial" w:cs="Arial"/>
          <w:sz w:val="24"/>
          <w:szCs w:val="24"/>
        </w:rPr>
        <w:t xml:space="preserve">: </w:t>
      </w:r>
      <w:r w:rsidR="004B7D7E" w:rsidRPr="004B7D7E">
        <w:rPr>
          <w:rFonts w:ascii="Arial" w:hAnsi="Arial" w:cs="Arial"/>
          <w:sz w:val="24"/>
          <w:szCs w:val="24"/>
        </w:rPr>
        <w:t>Telecommunications and Consumer Electronics sectors, specifically focusing on the Mobile Devices (Smartphones) and Mobile Network Services (5G) sub-sectors.</w:t>
      </w:r>
    </w:p>
    <w:p w14:paraId="329E8DA6" w14:textId="61B58DBF" w:rsidR="00727CF6" w:rsidRDefault="009A0075" w:rsidP="00727CF6">
      <w:pPr>
        <w:spacing w:line="360" w:lineRule="auto"/>
        <w:rPr>
          <w:rFonts w:ascii="Arial" w:hAnsi="Arial" w:cs="Arial"/>
          <w:sz w:val="24"/>
          <w:szCs w:val="24"/>
        </w:rPr>
      </w:pPr>
      <w:r w:rsidRPr="009A0075">
        <w:rPr>
          <w:rFonts w:ascii="Arial" w:hAnsi="Arial" w:cs="Arial"/>
          <w:b/>
          <w:bCs/>
          <w:sz w:val="24"/>
          <w:szCs w:val="24"/>
        </w:rPr>
        <w:t>Story of data:</w:t>
      </w:r>
      <w:r>
        <w:rPr>
          <w:rFonts w:ascii="Arial" w:hAnsi="Arial" w:cs="Arial"/>
          <w:b/>
          <w:bCs/>
          <w:sz w:val="24"/>
          <w:szCs w:val="24"/>
        </w:rPr>
        <w:t xml:space="preserve"> </w:t>
      </w:r>
      <w:r w:rsidR="00727CF6" w:rsidRPr="00727CF6">
        <w:rPr>
          <w:rFonts w:ascii="Arial" w:hAnsi="Arial" w:cs="Arial"/>
          <w:sz w:val="24"/>
          <w:szCs w:val="24"/>
        </w:rPr>
        <w:t>This dataset tells the story of the telecommunications industry's transition to 5G technology, tracking how</w:t>
      </w:r>
      <w:r w:rsidR="00727CF6">
        <w:rPr>
          <w:rFonts w:ascii="Arial" w:hAnsi="Arial" w:cs="Arial"/>
          <w:sz w:val="24"/>
          <w:szCs w:val="24"/>
        </w:rPr>
        <w:t xml:space="preserve"> the</w:t>
      </w:r>
      <w:r w:rsidR="00727CF6" w:rsidRPr="00727CF6">
        <w:rPr>
          <w:rFonts w:ascii="Arial" w:hAnsi="Arial" w:cs="Arial"/>
          <w:sz w:val="24"/>
          <w:szCs w:val="24"/>
        </w:rPr>
        <w:t xml:space="preserve"> manufacturer gradually introduced 5G capability across product lines from premium to mainstream devices, how network operators expanded regional coverage over time, and how consumer adoption accelerated as infrastructure </w:t>
      </w:r>
      <w:proofErr w:type="gramStart"/>
      <w:r w:rsidR="00727CF6" w:rsidRPr="00727CF6">
        <w:rPr>
          <w:rFonts w:ascii="Arial" w:hAnsi="Arial" w:cs="Arial"/>
          <w:sz w:val="24"/>
          <w:szCs w:val="24"/>
        </w:rPr>
        <w:t>improved</w:t>
      </w:r>
      <w:proofErr w:type="gramEnd"/>
      <w:r w:rsidR="00727CF6" w:rsidRPr="00727CF6">
        <w:rPr>
          <w:rFonts w:ascii="Arial" w:hAnsi="Arial" w:cs="Arial"/>
          <w:sz w:val="24"/>
          <w:szCs w:val="24"/>
        </w:rPr>
        <w:t xml:space="preserve"> and speeds increased, ultimately reshaping market dynamics and competitive positioning in the mobile industry</w:t>
      </w:r>
      <w:r w:rsidR="00727CF6">
        <w:rPr>
          <w:rFonts w:ascii="Arial" w:hAnsi="Arial" w:cs="Arial"/>
          <w:sz w:val="24"/>
          <w:szCs w:val="24"/>
        </w:rPr>
        <w:t xml:space="preserve">. </w:t>
      </w:r>
    </w:p>
    <w:p w14:paraId="33EEF8B4" w14:textId="5ACAD6C8" w:rsidR="00123309" w:rsidRDefault="00B11E55" w:rsidP="00727CF6">
      <w:pPr>
        <w:spacing w:line="360" w:lineRule="auto"/>
        <w:rPr>
          <w:rFonts w:ascii="Times New Roman" w:eastAsia="Times New Roman" w:hAnsi="Times New Roman" w:cs="Times New Roman"/>
          <w:sz w:val="24"/>
          <w:szCs w:val="24"/>
        </w:rPr>
      </w:pPr>
      <w:r w:rsidRPr="00B11E55">
        <w:rPr>
          <w:rFonts w:ascii="Arial" w:hAnsi="Arial" w:cs="Arial"/>
          <w:b/>
          <w:bCs/>
          <w:color w:val="000000"/>
          <w:sz w:val="24"/>
          <w:szCs w:val="24"/>
        </w:rPr>
        <w:t>Stakeholders</w:t>
      </w:r>
      <w:r>
        <w:rPr>
          <w:rFonts w:ascii="Arial" w:hAnsi="Arial" w:cs="Arial"/>
          <w:b/>
          <w:bCs/>
          <w:color w:val="000000"/>
          <w:sz w:val="24"/>
          <w:szCs w:val="24"/>
        </w:rPr>
        <w:t>:</w:t>
      </w:r>
      <w:r w:rsidR="00284181">
        <w:rPr>
          <w:rFonts w:ascii="Arial" w:hAnsi="Arial" w:cs="Arial"/>
          <w:color w:val="000000"/>
          <w:sz w:val="24"/>
          <w:szCs w:val="24"/>
        </w:rPr>
        <w:t xml:space="preserve"> </w:t>
      </w:r>
      <w:r w:rsidR="00E24AC4" w:rsidRPr="00E24AC4">
        <w:rPr>
          <w:rFonts w:ascii="Times New Roman" w:eastAsia="Times New Roman" w:hAnsi="Times New Roman" w:cs="Times New Roman"/>
          <w:sz w:val="24"/>
          <w:szCs w:val="24"/>
        </w:rPr>
        <w:t xml:space="preserve"> </w:t>
      </w:r>
    </w:p>
    <w:p w14:paraId="11B041DD" w14:textId="23EEF9D7" w:rsidR="00D056AE" w:rsidRPr="00727CF6" w:rsidRDefault="00727CF6" w:rsidP="00727CF6">
      <w:pPr>
        <w:spacing w:line="360" w:lineRule="auto"/>
        <w:rPr>
          <w:rFonts w:ascii="Arial" w:hAnsi="Arial" w:cs="Arial"/>
          <w:color w:val="000000"/>
          <w:sz w:val="24"/>
          <w:szCs w:val="24"/>
        </w:rPr>
      </w:pPr>
      <w:r w:rsidRPr="00727CF6">
        <w:rPr>
          <w:rFonts w:ascii="Arial" w:hAnsi="Arial" w:cs="Arial"/>
          <w:sz w:val="24"/>
          <w:szCs w:val="24"/>
        </w:rPr>
        <w:t>The key stakeholders include</w:t>
      </w:r>
      <w:r>
        <w:rPr>
          <w:rFonts w:ascii="Arial" w:hAnsi="Arial" w:cs="Arial"/>
          <w:sz w:val="24"/>
          <w:szCs w:val="24"/>
        </w:rPr>
        <w:t xml:space="preserve"> the MD, Sales </w:t>
      </w:r>
      <w:proofErr w:type="gramStart"/>
      <w:r>
        <w:rPr>
          <w:rFonts w:ascii="Arial" w:hAnsi="Arial" w:cs="Arial"/>
          <w:sz w:val="24"/>
          <w:szCs w:val="24"/>
        </w:rPr>
        <w:t xml:space="preserve">Team, </w:t>
      </w:r>
      <w:r w:rsidRPr="00727CF6">
        <w:rPr>
          <w:rFonts w:ascii="Arial" w:hAnsi="Arial" w:cs="Arial"/>
          <w:sz w:val="24"/>
          <w:szCs w:val="24"/>
        </w:rPr>
        <w:t xml:space="preserve"> mobile</w:t>
      </w:r>
      <w:proofErr w:type="gramEnd"/>
      <w:r w:rsidRPr="00727CF6">
        <w:rPr>
          <w:rFonts w:ascii="Arial" w:hAnsi="Arial" w:cs="Arial"/>
          <w:sz w:val="24"/>
          <w:szCs w:val="24"/>
        </w:rPr>
        <w:t xml:space="preserve"> network operators making infrastructure investments, device manufacturers developing 5G products, consumers driving adoption demand, investors evaluating market opportunities, regulatory bodies overseeing competition, and enterprise customers planning digital transformation strategies</w:t>
      </w:r>
    </w:p>
    <w:p w14:paraId="10CC67E2" w14:textId="1B4EF12A" w:rsidR="00E86B50" w:rsidRDefault="00FA4658" w:rsidP="00E86B50">
      <w:pPr>
        <w:pStyle w:val="Heading6"/>
        <w:rPr>
          <w:rFonts w:ascii="Arial" w:hAnsi="Arial" w:cs="Arial"/>
          <w:color w:val="000000"/>
          <w:sz w:val="24"/>
          <w:szCs w:val="24"/>
        </w:rPr>
      </w:pPr>
      <w:r w:rsidRPr="00FA4658">
        <w:rPr>
          <w:rFonts w:ascii="Arial" w:hAnsi="Arial" w:cs="Arial"/>
          <w:b/>
          <w:bCs/>
          <w:color w:val="000000"/>
          <w:sz w:val="24"/>
          <w:szCs w:val="24"/>
        </w:rPr>
        <w:lastRenderedPageBreak/>
        <w:t>Value to the Industry</w:t>
      </w:r>
      <w:r w:rsidRPr="00FA4658">
        <w:rPr>
          <w:rFonts w:ascii="Arial" w:hAnsi="Arial" w:cs="Arial"/>
          <w:color w:val="000000"/>
          <w:sz w:val="24"/>
          <w:szCs w:val="24"/>
        </w:rPr>
        <w:t>:</w:t>
      </w:r>
    </w:p>
    <w:p w14:paraId="4286BF5D" w14:textId="77777777" w:rsidR="00AA16C1" w:rsidRPr="00AA16C1" w:rsidRDefault="00AA16C1" w:rsidP="00AA16C1"/>
    <w:p w14:paraId="648D16EA" w14:textId="5B8BFAA2" w:rsidR="002C38A2" w:rsidRPr="00FD1CA2" w:rsidRDefault="00AA16C1" w:rsidP="00AA16C1">
      <w:pPr>
        <w:spacing w:line="360" w:lineRule="auto"/>
        <w:rPr>
          <w:rFonts w:ascii="Arial" w:hAnsi="Arial" w:cs="Arial"/>
          <w:sz w:val="24"/>
          <w:szCs w:val="24"/>
        </w:rPr>
      </w:pPr>
      <w:r w:rsidRPr="00AA16C1">
        <w:rPr>
          <w:rFonts w:ascii="Arial" w:hAnsi="Arial" w:cs="Arial"/>
          <w:sz w:val="24"/>
          <w:szCs w:val="24"/>
        </w:rPr>
        <w:t>This dataset provides critical value to the telecommunications industry by enabling data-driven decision making for network infrastructure investments, product development strategies, competitive positioning, market timing, and resource allocation, ultimately helping stakeholders optimize their 5G transition strategies and maximize returns on multi-</w:t>
      </w:r>
      <w:proofErr w:type="gramStart"/>
      <w:r w:rsidRPr="00AA16C1">
        <w:rPr>
          <w:rFonts w:ascii="Arial" w:hAnsi="Arial" w:cs="Arial"/>
          <w:sz w:val="24"/>
          <w:szCs w:val="24"/>
        </w:rPr>
        <w:t>billion dollar</w:t>
      </w:r>
      <w:proofErr w:type="gramEnd"/>
      <w:r w:rsidRPr="00AA16C1">
        <w:rPr>
          <w:rFonts w:ascii="Arial" w:hAnsi="Arial" w:cs="Arial"/>
          <w:sz w:val="24"/>
          <w:szCs w:val="24"/>
        </w:rPr>
        <w:t xml:space="preserve"> technology investments</w:t>
      </w:r>
      <w:r w:rsidRPr="00AA16C1">
        <w:t>.</w:t>
      </w:r>
    </w:p>
    <w:p w14:paraId="2271AF2C" w14:textId="35E6B1F7" w:rsidR="002C38A2" w:rsidRDefault="002C38A2" w:rsidP="00B11E55">
      <w:pPr>
        <w:spacing w:line="360" w:lineRule="auto"/>
        <w:rPr>
          <w:rFonts w:ascii="Arial" w:hAnsi="Arial" w:cs="Arial"/>
          <w:color w:val="000000"/>
          <w:sz w:val="24"/>
          <w:szCs w:val="24"/>
        </w:rPr>
      </w:pPr>
    </w:p>
    <w:p w14:paraId="025A5503" w14:textId="674C4399" w:rsidR="00307B67" w:rsidRPr="00900044" w:rsidRDefault="002C38A2" w:rsidP="0009648E">
      <w:pPr>
        <w:spacing w:line="360" w:lineRule="auto"/>
        <w:jc w:val="center"/>
        <w:rPr>
          <w:rFonts w:ascii="Arial" w:hAnsi="Arial" w:cs="Arial"/>
          <w:b/>
          <w:bCs/>
          <w:color w:val="000000"/>
          <w:sz w:val="24"/>
          <w:szCs w:val="24"/>
        </w:rPr>
      </w:pPr>
      <w:r w:rsidRPr="002C38A2">
        <w:rPr>
          <w:rFonts w:ascii="Arial" w:hAnsi="Arial" w:cs="Arial"/>
          <w:b/>
          <w:bCs/>
          <w:color w:val="000000"/>
          <w:sz w:val="24"/>
          <w:szCs w:val="24"/>
        </w:rPr>
        <w:t>PRE-ANALYSIS</w:t>
      </w:r>
    </w:p>
    <w:p w14:paraId="32869917" w14:textId="2067987F" w:rsidR="00900044" w:rsidRDefault="001100F5" w:rsidP="00900044">
      <w:pPr>
        <w:spacing w:line="360" w:lineRule="auto"/>
        <w:rPr>
          <w:rFonts w:ascii="Arial" w:hAnsi="Arial" w:cs="Arial"/>
          <w:b/>
          <w:bCs/>
          <w:color w:val="000000"/>
          <w:sz w:val="24"/>
          <w:szCs w:val="24"/>
        </w:rPr>
      </w:pPr>
      <w:r>
        <w:rPr>
          <w:rFonts w:ascii="Arial" w:hAnsi="Arial" w:cs="Arial"/>
          <w:b/>
          <w:bCs/>
          <w:color w:val="000000"/>
          <w:sz w:val="24"/>
          <w:szCs w:val="24"/>
        </w:rPr>
        <w:t>POTENTIAL QUESTIONS</w:t>
      </w:r>
    </w:p>
    <w:p w14:paraId="28D5D77D" w14:textId="77777777" w:rsidR="00413D9C" w:rsidRPr="00413D9C" w:rsidRDefault="00413D9C" w:rsidP="00413D9C">
      <w:pPr>
        <w:pStyle w:val="ListParagraph"/>
        <w:spacing w:line="360" w:lineRule="auto"/>
        <w:rPr>
          <w:rFonts w:ascii="Arial" w:hAnsi="Arial" w:cs="Arial"/>
          <w:sz w:val="24"/>
          <w:szCs w:val="24"/>
        </w:rPr>
      </w:pPr>
      <w:r w:rsidRPr="00413D9C">
        <w:rPr>
          <w:rFonts w:ascii="Arial" w:hAnsi="Arial" w:cs="Arial"/>
          <w:sz w:val="24"/>
          <w:szCs w:val="24"/>
        </w:rPr>
        <w:t>1. Establish the Yearly sales Trend</w:t>
      </w:r>
    </w:p>
    <w:p w14:paraId="2EB892F4" w14:textId="77777777" w:rsidR="00413D9C" w:rsidRPr="00413D9C" w:rsidRDefault="00413D9C" w:rsidP="00413D9C">
      <w:pPr>
        <w:pStyle w:val="ListParagraph"/>
        <w:spacing w:line="360" w:lineRule="auto"/>
        <w:rPr>
          <w:rFonts w:ascii="Arial" w:hAnsi="Arial" w:cs="Arial"/>
          <w:sz w:val="24"/>
          <w:szCs w:val="24"/>
        </w:rPr>
      </w:pPr>
      <w:r w:rsidRPr="00413D9C">
        <w:rPr>
          <w:rFonts w:ascii="Arial" w:hAnsi="Arial" w:cs="Arial"/>
          <w:sz w:val="24"/>
          <w:szCs w:val="24"/>
        </w:rPr>
        <w:t xml:space="preserve">2. Establish the </w:t>
      </w:r>
      <w:proofErr w:type="spellStart"/>
      <w:r w:rsidRPr="00413D9C">
        <w:rPr>
          <w:rFonts w:ascii="Arial" w:hAnsi="Arial" w:cs="Arial"/>
          <w:sz w:val="24"/>
          <w:szCs w:val="24"/>
        </w:rPr>
        <w:t>Quaterly</w:t>
      </w:r>
      <w:proofErr w:type="spellEnd"/>
      <w:r w:rsidRPr="00413D9C">
        <w:rPr>
          <w:rFonts w:ascii="Arial" w:hAnsi="Arial" w:cs="Arial"/>
          <w:sz w:val="24"/>
          <w:szCs w:val="24"/>
        </w:rPr>
        <w:t xml:space="preserve"> sales trend</w:t>
      </w:r>
    </w:p>
    <w:p w14:paraId="79EA6B7C" w14:textId="77777777" w:rsidR="00413D9C" w:rsidRPr="00413D9C" w:rsidRDefault="00413D9C" w:rsidP="00413D9C">
      <w:pPr>
        <w:pStyle w:val="ListParagraph"/>
        <w:spacing w:line="360" w:lineRule="auto"/>
        <w:rPr>
          <w:rFonts w:ascii="Arial" w:hAnsi="Arial" w:cs="Arial"/>
          <w:sz w:val="24"/>
          <w:szCs w:val="24"/>
        </w:rPr>
      </w:pPr>
      <w:r w:rsidRPr="00413D9C">
        <w:rPr>
          <w:rFonts w:ascii="Arial" w:hAnsi="Arial" w:cs="Arial"/>
          <w:sz w:val="24"/>
          <w:szCs w:val="24"/>
        </w:rPr>
        <w:t>3. Find out the quantities of each product model sold</w:t>
      </w:r>
    </w:p>
    <w:p w14:paraId="312A73E0" w14:textId="77777777" w:rsidR="00413D9C" w:rsidRPr="00413D9C" w:rsidRDefault="00413D9C" w:rsidP="00413D9C">
      <w:pPr>
        <w:pStyle w:val="ListParagraph"/>
        <w:spacing w:line="360" w:lineRule="auto"/>
        <w:rPr>
          <w:rFonts w:ascii="Arial" w:hAnsi="Arial" w:cs="Arial"/>
          <w:sz w:val="24"/>
          <w:szCs w:val="24"/>
        </w:rPr>
      </w:pPr>
      <w:r w:rsidRPr="00413D9C">
        <w:rPr>
          <w:rFonts w:ascii="Arial" w:hAnsi="Arial" w:cs="Arial"/>
          <w:sz w:val="24"/>
          <w:szCs w:val="24"/>
        </w:rPr>
        <w:t>4. find out the total Revenue for each product Model</w:t>
      </w:r>
    </w:p>
    <w:p w14:paraId="44AC2DB8" w14:textId="77777777" w:rsidR="00413D9C" w:rsidRPr="00413D9C" w:rsidRDefault="00413D9C" w:rsidP="00413D9C">
      <w:pPr>
        <w:pStyle w:val="ListParagraph"/>
        <w:spacing w:line="360" w:lineRule="auto"/>
        <w:rPr>
          <w:rFonts w:ascii="Arial" w:hAnsi="Arial" w:cs="Arial"/>
          <w:sz w:val="24"/>
          <w:szCs w:val="24"/>
        </w:rPr>
      </w:pPr>
      <w:r w:rsidRPr="00413D9C">
        <w:rPr>
          <w:rFonts w:ascii="Arial" w:hAnsi="Arial" w:cs="Arial"/>
          <w:sz w:val="24"/>
          <w:szCs w:val="24"/>
        </w:rPr>
        <w:t>5. identify the Market share of each product model</w:t>
      </w:r>
    </w:p>
    <w:p w14:paraId="1C62C16A" w14:textId="77777777" w:rsidR="00413D9C" w:rsidRPr="00413D9C" w:rsidRDefault="00413D9C" w:rsidP="00413D9C">
      <w:pPr>
        <w:pStyle w:val="ListParagraph"/>
        <w:spacing w:line="360" w:lineRule="auto"/>
        <w:rPr>
          <w:rFonts w:ascii="Arial" w:hAnsi="Arial" w:cs="Arial"/>
          <w:sz w:val="24"/>
          <w:szCs w:val="24"/>
        </w:rPr>
      </w:pPr>
      <w:r w:rsidRPr="00413D9C">
        <w:rPr>
          <w:rFonts w:ascii="Arial" w:hAnsi="Arial" w:cs="Arial"/>
          <w:sz w:val="24"/>
          <w:szCs w:val="24"/>
        </w:rPr>
        <w:t>6. Identify the regional Revenue contribution</w:t>
      </w:r>
    </w:p>
    <w:p w14:paraId="13A2C39F" w14:textId="77777777" w:rsidR="00413D9C" w:rsidRPr="00413D9C" w:rsidRDefault="00413D9C" w:rsidP="00413D9C">
      <w:pPr>
        <w:pStyle w:val="ListParagraph"/>
        <w:spacing w:line="360" w:lineRule="auto"/>
        <w:rPr>
          <w:rFonts w:ascii="Arial" w:hAnsi="Arial" w:cs="Arial"/>
          <w:sz w:val="24"/>
          <w:szCs w:val="24"/>
        </w:rPr>
      </w:pPr>
      <w:r w:rsidRPr="00413D9C">
        <w:rPr>
          <w:rFonts w:ascii="Arial" w:hAnsi="Arial" w:cs="Arial"/>
          <w:sz w:val="24"/>
          <w:szCs w:val="24"/>
        </w:rPr>
        <w:t>7. Identify the regional product Units sold</w:t>
      </w:r>
    </w:p>
    <w:p w14:paraId="66376282" w14:textId="77777777" w:rsidR="00413D9C" w:rsidRPr="00413D9C" w:rsidRDefault="00413D9C" w:rsidP="00413D9C">
      <w:pPr>
        <w:pStyle w:val="ListParagraph"/>
        <w:spacing w:line="360" w:lineRule="auto"/>
        <w:rPr>
          <w:rFonts w:ascii="Arial" w:hAnsi="Arial" w:cs="Arial"/>
          <w:sz w:val="24"/>
          <w:szCs w:val="24"/>
        </w:rPr>
      </w:pPr>
      <w:r w:rsidRPr="00413D9C">
        <w:rPr>
          <w:rFonts w:ascii="Arial" w:hAnsi="Arial" w:cs="Arial"/>
          <w:sz w:val="24"/>
          <w:szCs w:val="24"/>
        </w:rPr>
        <w:t>8. Identify the Regional Market share</w:t>
      </w:r>
    </w:p>
    <w:p w14:paraId="75CAF475" w14:textId="77777777" w:rsidR="00413D9C" w:rsidRPr="00413D9C" w:rsidRDefault="00413D9C" w:rsidP="00413D9C">
      <w:pPr>
        <w:pStyle w:val="ListParagraph"/>
        <w:spacing w:line="360" w:lineRule="auto"/>
        <w:rPr>
          <w:rFonts w:ascii="Arial" w:hAnsi="Arial" w:cs="Arial"/>
          <w:sz w:val="24"/>
          <w:szCs w:val="24"/>
        </w:rPr>
      </w:pPr>
      <w:r w:rsidRPr="00413D9C">
        <w:rPr>
          <w:rFonts w:ascii="Arial" w:hAnsi="Arial" w:cs="Arial"/>
          <w:sz w:val="24"/>
          <w:szCs w:val="24"/>
        </w:rPr>
        <w:t>9. Identify the Regional 5G Coverage</w:t>
      </w:r>
    </w:p>
    <w:p w14:paraId="5039CCD2" w14:textId="77777777" w:rsidR="00597E70" w:rsidRDefault="00597E70" w:rsidP="00597E70">
      <w:pPr>
        <w:pStyle w:val="ListParagraph"/>
        <w:spacing w:line="360" w:lineRule="auto"/>
        <w:rPr>
          <w:rFonts w:ascii="Arial" w:hAnsi="Arial" w:cs="Arial"/>
          <w:sz w:val="24"/>
          <w:szCs w:val="24"/>
        </w:rPr>
      </w:pPr>
    </w:p>
    <w:p w14:paraId="05374932" w14:textId="77777777" w:rsidR="00597E70" w:rsidRDefault="00597E70" w:rsidP="00597E70">
      <w:pPr>
        <w:pStyle w:val="ListParagraph"/>
        <w:spacing w:line="360" w:lineRule="auto"/>
        <w:rPr>
          <w:rFonts w:ascii="Arial" w:hAnsi="Arial" w:cs="Arial"/>
          <w:sz w:val="24"/>
          <w:szCs w:val="24"/>
        </w:rPr>
      </w:pPr>
    </w:p>
    <w:p w14:paraId="35C4D1F3" w14:textId="503BC662" w:rsidR="001100F5" w:rsidRDefault="001100F5" w:rsidP="001100F5">
      <w:pPr>
        <w:pStyle w:val="ListParagraph"/>
        <w:spacing w:line="360" w:lineRule="auto"/>
        <w:rPr>
          <w:rFonts w:ascii="Arial" w:hAnsi="Arial" w:cs="Arial"/>
          <w:b/>
          <w:bCs/>
          <w:sz w:val="24"/>
          <w:szCs w:val="24"/>
        </w:rPr>
      </w:pPr>
      <w:r w:rsidRPr="00597E70">
        <w:rPr>
          <w:rFonts w:ascii="Arial" w:hAnsi="Arial" w:cs="Arial"/>
          <w:b/>
          <w:bCs/>
          <w:sz w:val="24"/>
          <w:szCs w:val="24"/>
        </w:rPr>
        <w:t>POTENTIAL INSIGHTS</w:t>
      </w:r>
    </w:p>
    <w:p w14:paraId="10FE5451" w14:textId="77777777" w:rsidR="00597E70" w:rsidRDefault="00597E70" w:rsidP="008E0671">
      <w:pPr>
        <w:pStyle w:val="ListParagraph"/>
        <w:spacing w:line="360" w:lineRule="auto"/>
        <w:rPr>
          <w:rFonts w:ascii="Arial" w:hAnsi="Arial" w:cs="Arial"/>
          <w:b/>
          <w:bCs/>
          <w:sz w:val="24"/>
          <w:szCs w:val="24"/>
        </w:rPr>
      </w:pPr>
    </w:p>
    <w:p w14:paraId="45DBE9CB" w14:textId="77777777" w:rsidR="00413D9C" w:rsidRPr="00413D9C" w:rsidRDefault="00413D9C" w:rsidP="00413D9C">
      <w:pPr>
        <w:spacing w:line="360" w:lineRule="auto"/>
        <w:rPr>
          <w:rFonts w:ascii="Arial" w:hAnsi="Arial" w:cs="Arial"/>
          <w:sz w:val="24"/>
          <w:szCs w:val="24"/>
        </w:rPr>
      </w:pPr>
      <w:r w:rsidRPr="00413D9C">
        <w:rPr>
          <w:rFonts w:ascii="Arial" w:hAnsi="Arial" w:cs="Arial"/>
          <w:sz w:val="24"/>
          <w:szCs w:val="24"/>
        </w:rPr>
        <w:t xml:space="preserve">1. This will help to identify the yearly sales pattern and market </w:t>
      </w:r>
      <w:proofErr w:type="spellStart"/>
      <w:r w:rsidRPr="00413D9C">
        <w:rPr>
          <w:rFonts w:ascii="Arial" w:hAnsi="Arial" w:cs="Arial"/>
          <w:sz w:val="24"/>
          <w:szCs w:val="24"/>
        </w:rPr>
        <w:t>dyamics</w:t>
      </w:r>
      <w:proofErr w:type="spellEnd"/>
    </w:p>
    <w:p w14:paraId="20A4FDD8" w14:textId="77777777" w:rsidR="00413D9C" w:rsidRPr="00413D9C" w:rsidRDefault="00413D9C" w:rsidP="00413D9C">
      <w:pPr>
        <w:spacing w:line="360" w:lineRule="auto"/>
        <w:rPr>
          <w:rFonts w:ascii="Arial" w:hAnsi="Arial" w:cs="Arial"/>
          <w:sz w:val="24"/>
          <w:szCs w:val="24"/>
        </w:rPr>
      </w:pPr>
      <w:r w:rsidRPr="00413D9C">
        <w:rPr>
          <w:rFonts w:ascii="Arial" w:hAnsi="Arial" w:cs="Arial"/>
          <w:sz w:val="24"/>
          <w:szCs w:val="24"/>
        </w:rPr>
        <w:t xml:space="preserve">2. This will help to identify the </w:t>
      </w:r>
      <w:proofErr w:type="spellStart"/>
      <w:r w:rsidRPr="00413D9C">
        <w:rPr>
          <w:rFonts w:ascii="Arial" w:hAnsi="Arial" w:cs="Arial"/>
          <w:sz w:val="24"/>
          <w:szCs w:val="24"/>
        </w:rPr>
        <w:t>quaterly</w:t>
      </w:r>
      <w:proofErr w:type="spellEnd"/>
      <w:r w:rsidRPr="00413D9C">
        <w:rPr>
          <w:rFonts w:ascii="Arial" w:hAnsi="Arial" w:cs="Arial"/>
          <w:sz w:val="24"/>
          <w:szCs w:val="24"/>
        </w:rPr>
        <w:t xml:space="preserve"> sales pattern and market </w:t>
      </w:r>
      <w:proofErr w:type="spellStart"/>
      <w:r w:rsidRPr="00413D9C">
        <w:rPr>
          <w:rFonts w:ascii="Arial" w:hAnsi="Arial" w:cs="Arial"/>
          <w:sz w:val="24"/>
          <w:szCs w:val="24"/>
        </w:rPr>
        <w:t>dyamics</w:t>
      </w:r>
      <w:proofErr w:type="spellEnd"/>
    </w:p>
    <w:p w14:paraId="74AB0CED" w14:textId="77777777" w:rsidR="00413D9C" w:rsidRPr="00413D9C" w:rsidRDefault="00413D9C" w:rsidP="00413D9C">
      <w:pPr>
        <w:spacing w:line="360" w:lineRule="auto"/>
        <w:rPr>
          <w:rFonts w:ascii="Arial" w:hAnsi="Arial" w:cs="Arial"/>
          <w:sz w:val="24"/>
          <w:szCs w:val="24"/>
        </w:rPr>
      </w:pPr>
      <w:r w:rsidRPr="00413D9C">
        <w:rPr>
          <w:rFonts w:ascii="Arial" w:hAnsi="Arial" w:cs="Arial"/>
          <w:sz w:val="24"/>
          <w:szCs w:val="24"/>
        </w:rPr>
        <w:t>3. this will help us to identify the individual product quantities sold</w:t>
      </w:r>
    </w:p>
    <w:p w14:paraId="611BC88C" w14:textId="77777777" w:rsidR="00413D9C" w:rsidRPr="00413D9C" w:rsidRDefault="00413D9C" w:rsidP="00413D9C">
      <w:pPr>
        <w:spacing w:line="360" w:lineRule="auto"/>
        <w:rPr>
          <w:rFonts w:ascii="Arial" w:hAnsi="Arial" w:cs="Arial"/>
          <w:sz w:val="24"/>
          <w:szCs w:val="24"/>
        </w:rPr>
      </w:pPr>
      <w:r w:rsidRPr="00413D9C">
        <w:rPr>
          <w:rFonts w:ascii="Arial" w:hAnsi="Arial" w:cs="Arial"/>
          <w:sz w:val="24"/>
          <w:szCs w:val="24"/>
        </w:rPr>
        <w:t>4. this will help us fine tune the revenue contribution for each product model</w:t>
      </w:r>
    </w:p>
    <w:p w14:paraId="01E984CB" w14:textId="77777777" w:rsidR="00413D9C" w:rsidRPr="00413D9C" w:rsidRDefault="00413D9C" w:rsidP="00413D9C">
      <w:pPr>
        <w:spacing w:line="360" w:lineRule="auto"/>
        <w:rPr>
          <w:rFonts w:ascii="Arial" w:hAnsi="Arial" w:cs="Arial"/>
          <w:sz w:val="24"/>
          <w:szCs w:val="24"/>
        </w:rPr>
      </w:pPr>
      <w:r w:rsidRPr="00413D9C">
        <w:rPr>
          <w:rFonts w:ascii="Arial" w:hAnsi="Arial" w:cs="Arial"/>
          <w:sz w:val="24"/>
          <w:szCs w:val="24"/>
        </w:rPr>
        <w:t xml:space="preserve">5. this will help us identify and fine tune </w:t>
      </w:r>
      <w:proofErr w:type="spellStart"/>
      <w:r w:rsidRPr="00413D9C">
        <w:rPr>
          <w:rFonts w:ascii="Arial" w:hAnsi="Arial" w:cs="Arial"/>
          <w:sz w:val="24"/>
          <w:szCs w:val="24"/>
        </w:rPr>
        <w:t>tthe</w:t>
      </w:r>
      <w:proofErr w:type="spellEnd"/>
      <w:r w:rsidRPr="00413D9C">
        <w:rPr>
          <w:rFonts w:ascii="Arial" w:hAnsi="Arial" w:cs="Arial"/>
          <w:sz w:val="24"/>
          <w:szCs w:val="24"/>
        </w:rPr>
        <w:t xml:space="preserve"> market share for each product model</w:t>
      </w:r>
    </w:p>
    <w:p w14:paraId="769822BB" w14:textId="77777777" w:rsidR="00413D9C" w:rsidRPr="00413D9C" w:rsidRDefault="00413D9C" w:rsidP="00413D9C">
      <w:pPr>
        <w:spacing w:line="360" w:lineRule="auto"/>
        <w:rPr>
          <w:rFonts w:ascii="Arial" w:hAnsi="Arial" w:cs="Arial"/>
          <w:sz w:val="24"/>
          <w:szCs w:val="24"/>
        </w:rPr>
      </w:pPr>
      <w:r w:rsidRPr="00413D9C">
        <w:rPr>
          <w:rFonts w:ascii="Arial" w:hAnsi="Arial" w:cs="Arial"/>
          <w:sz w:val="24"/>
          <w:szCs w:val="24"/>
        </w:rPr>
        <w:lastRenderedPageBreak/>
        <w:t>6. this will help us fine tune regional revenue contribution</w:t>
      </w:r>
    </w:p>
    <w:p w14:paraId="4579489C" w14:textId="77777777" w:rsidR="00413D9C" w:rsidRPr="00413D9C" w:rsidRDefault="00413D9C" w:rsidP="00413D9C">
      <w:pPr>
        <w:spacing w:line="360" w:lineRule="auto"/>
        <w:rPr>
          <w:rFonts w:ascii="Arial" w:hAnsi="Arial" w:cs="Arial"/>
          <w:sz w:val="24"/>
          <w:szCs w:val="24"/>
        </w:rPr>
      </w:pPr>
      <w:r w:rsidRPr="00413D9C">
        <w:rPr>
          <w:rFonts w:ascii="Arial" w:hAnsi="Arial" w:cs="Arial"/>
          <w:sz w:val="24"/>
          <w:szCs w:val="24"/>
        </w:rPr>
        <w:t>7. this will help us fine tune regional product units sold</w:t>
      </w:r>
    </w:p>
    <w:p w14:paraId="58E36FFF" w14:textId="77777777" w:rsidR="00413D9C" w:rsidRPr="00413D9C" w:rsidRDefault="00413D9C" w:rsidP="00413D9C">
      <w:pPr>
        <w:spacing w:line="360" w:lineRule="auto"/>
        <w:rPr>
          <w:rFonts w:ascii="Arial" w:hAnsi="Arial" w:cs="Arial"/>
          <w:sz w:val="24"/>
          <w:szCs w:val="24"/>
        </w:rPr>
      </w:pPr>
      <w:r w:rsidRPr="00413D9C">
        <w:rPr>
          <w:rFonts w:ascii="Arial" w:hAnsi="Arial" w:cs="Arial"/>
          <w:sz w:val="24"/>
          <w:szCs w:val="24"/>
        </w:rPr>
        <w:t xml:space="preserve">8. </w:t>
      </w:r>
      <w:proofErr w:type="gramStart"/>
      <w:r w:rsidRPr="00413D9C">
        <w:rPr>
          <w:rFonts w:ascii="Arial" w:hAnsi="Arial" w:cs="Arial"/>
          <w:sz w:val="24"/>
          <w:szCs w:val="24"/>
        </w:rPr>
        <w:t>this</w:t>
      </w:r>
      <w:proofErr w:type="gramEnd"/>
      <w:r w:rsidRPr="00413D9C">
        <w:rPr>
          <w:rFonts w:ascii="Arial" w:hAnsi="Arial" w:cs="Arial"/>
          <w:sz w:val="24"/>
          <w:szCs w:val="24"/>
        </w:rPr>
        <w:t xml:space="preserve"> will help us fine tune Regional Market share and potentials</w:t>
      </w:r>
    </w:p>
    <w:p w14:paraId="284C75FC" w14:textId="77777777" w:rsidR="00413D9C" w:rsidRPr="00413D9C" w:rsidRDefault="00413D9C" w:rsidP="00413D9C">
      <w:pPr>
        <w:spacing w:line="360" w:lineRule="auto"/>
        <w:rPr>
          <w:rFonts w:ascii="Arial" w:hAnsi="Arial" w:cs="Arial"/>
          <w:sz w:val="24"/>
          <w:szCs w:val="24"/>
        </w:rPr>
      </w:pPr>
      <w:r w:rsidRPr="00413D9C">
        <w:rPr>
          <w:rFonts w:ascii="Arial" w:hAnsi="Arial" w:cs="Arial"/>
          <w:sz w:val="24"/>
          <w:szCs w:val="24"/>
        </w:rPr>
        <w:t xml:space="preserve">9. </w:t>
      </w:r>
      <w:proofErr w:type="spellStart"/>
      <w:r w:rsidRPr="00413D9C">
        <w:rPr>
          <w:rFonts w:ascii="Arial" w:hAnsi="Arial" w:cs="Arial"/>
          <w:sz w:val="24"/>
          <w:szCs w:val="24"/>
        </w:rPr>
        <w:t>thia</w:t>
      </w:r>
      <w:proofErr w:type="spellEnd"/>
      <w:r w:rsidRPr="00413D9C">
        <w:rPr>
          <w:rFonts w:ascii="Arial" w:hAnsi="Arial" w:cs="Arial"/>
          <w:sz w:val="24"/>
          <w:szCs w:val="24"/>
        </w:rPr>
        <w:t xml:space="preserve"> will help us identify and fine tune the regional 5G coverage</w:t>
      </w:r>
    </w:p>
    <w:p w14:paraId="039C2CF1" w14:textId="77777777" w:rsidR="001100F5" w:rsidRDefault="001100F5" w:rsidP="00900044">
      <w:pPr>
        <w:spacing w:line="360" w:lineRule="auto"/>
        <w:rPr>
          <w:rFonts w:ascii="Arial" w:hAnsi="Arial" w:cs="Arial"/>
          <w:b/>
          <w:bCs/>
          <w:color w:val="000000"/>
          <w:sz w:val="24"/>
          <w:szCs w:val="24"/>
        </w:rPr>
      </w:pPr>
    </w:p>
    <w:p w14:paraId="3031E124" w14:textId="77777777" w:rsidR="00597E70" w:rsidRDefault="00263942" w:rsidP="00597E70">
      <w:pPr>
        <w:spacing w:line="360" w:lineRule="auto"/>
        <w:jc w:val="center"/>
        <w:rPr>
          <w:rFonts w:ascii="Arial" w:hAnsi="Arial" w:cs="Arial"/>
          <w:b/>
          <w:bCs/>
          <w:color w:val="000000"/>
          <w:sz w:val="24"/>
          <w:szCs w:val="24"/>
        </w:rPr>
      </w:pPr>
      <w:r w:rsidRPr="00263942">
        <w:rPr>
          <w:rFonts w:ascii="Arial" w:hAnsi="Arial" w:cs="Arial"/>
          <w:b/>
          <w:bCs/>
          <w:color w:val="000000"/>
          <w:sz w:val="24"/>
          <w:szCs w:val="24"/>
        </w:rPr>
        <w:t>IN-ANALYSIS</w:t>
      </w:r>
    </w:p>
    <w:p w14:paraId="6F79EB17" w14:textId="12E34D4F" w:rsidR="006025AB" w:rsidRDefault="00597E70" w:rsidP="00597E70">
      <w:pPr>
        <w:spacing w:line="360" w:lineRule="auto"/>
        <w:rPr>
          <w:rFonts w:ascii="Arial" w:hAnsi="Arial" w:cs="Arial"/>
          <w:b/>
          <w:bCs/>
          <w:sz w:val="24"/>
          <w:szCs w:val="24"/>
        </w:rPr>
      </w:pPr>
      <w:r w:rsidRPr="00597E70">
        <w:rPr>
          <w:rFonts w:ascii="Arial" w:hAnsi="Arial" w:cs="Arial"/>
          <w:b/>
          <w:bCs/>
          <w:sz w:val="24"/>
          <w:szCs w:val="24"/>
        </w:rPr>
        <w:t>KEY INSIGHTS</w:t>
      </w:r>
    </w:p>
    <w:p w14:paraId="326A59C5" w14:textId="77777777" w:rsidR="00413D9C" w:rsidRPr="00413D9C" w:rsidRDefault="00413D9C" w:rsidP="00413D9C">
      <w:pPr>
        <w:spacing w:line="360" w:lineRule="auto"/>
        <w:ind w:left="360"/>
        <w:rPr>
          <w:rFonts w:ascii="Arial" w:hAnsi="Arial" w:cs="Arial"/>
          <w:b/>
          <w:bCs/>
          <w:color w:val="000000"/>
          <w:sz w:val="24"/>
          <w:szCs w:val="24"/>
        </w:rPr>
      </w:pPr>
      <w:r w:rsidRPr="00413D9C">
        <w:rPr>
          <w:rFonts w:ascii="Arial" w:hAnsi="Arial" w:cs="Arial"/>
          <w:b/>
          <w:bCs/>
          <w:color w:val="000000"/>
          <w:sz w:val="24"/>
          <w:szCs w:val="24"/>
        </w:rPr>
        <w:t>Key Insights</w:t>
      </w:r>
    </w:p>
    <w:p w14:paraId="3502A379" w14:textId="77777777" w:rsidR="00413D9C" w:rsidRPr="00413D9C" w:rsidRDefault="00413D9C" w:rsidP="00413D9C">
      <w:pPr>
        <w:spacing w:line="360" w:lineRule="auto"/>
        <w:ind w:left="360"/>
        <w:rPr>
          <w:rFonts w:ascii="Arial" w:hAnsi="Arial" w:cs="Arial"/>
          <w:color w:val="000000"/>
          <w:sz w:val="24"/>
          <w:szCs w:val="24"/>
        </w:rPr>
      </w:pPr>
      <w:r w:rsidRPr="00413D9C">
        <w:rPr>
          <w:rFonts w:ascii="Arial" w:hAnsi="Arial" w:cs="Arial"/>
          <w:b/>
          <w:bCs/>
          <w:color w:val="000000"/>
          <w:sz w:val="24"/>
          <w:szCs w:val="24"/>
        </w:rPr>
        <w:t>Market Performance:</w:t>
      </w:r>
    </w:p>
    <w:p w14:paraId="414628AE" w14:textId="77777777" w:rsidR="00413D9C" w:rsidRPr="00413D9C" w:rsidRDefault="00413D9C" w:rsidP="00413D9C">
      <w:pPr>
        <w:numPr>
          <w:ilvl w:val="0"/>
          <w:numId w:val="15"/>
        </w:numPr>
        <w:spacing w:line="360" w:lineRule="auto"/>
        <w:rPr>
          <w:rFonts w:ascii="Arial" w:hAnsi="Arial" w:cs="Arial"/>
          <w:color w:val="000000"/>
          <w:sz w:val="24"/>
          <w:szCs w:val="24"/>
        </w:rPr>
      </w:pPr>
      <w:r w:rsidRPr="00413D9C">
        <w:rPr>
          <w:rFonts w:ascii="Arial" w:hAnsi="Arial" w:cs="Arial"/>
          <w:color w:val="000000"/>
          <w:sz w:val="24"/>
          <w:szCs w:val="24"/>
        </w:rPr>
        <w:t>Samsung achieved $10.77B in total 5G revenue (2019-2024) with peak performance in 2020 ($1.97B)</w:t>
      </w:r>
    </w:p>
    <w:p w14:paraId="3B937F3E" w14:textId="77777777" w:rsidR="00413D9C" w:rsidRPr="00413D9C" w:rsidRDefault="00413D9C" w:rsidP="00413D9C">
      <w:pPr>
        <w:numPr>
          <w:ilvl w:val="0"/>
          <w:numId w:val="15"/>
        </w:numPr>
        <w:spacing w:line="360" w:lineRule="auto"/>
        <w:rPr>
          <w:rFonts w:ascii="Arial" w:hAnsi="Arial" w:cs="Arial"/>
          <w:color w:val="000000"/>
          <w:sz w:val="24"/>
          <w:szCs w:val="24"/>
        </w:rPr>
      </w:pPr>
      <w:r w:rsidRPr="00413D9C">
        <w:rPr>
          <w:rFonts w:ascii="Arial" w:hAnsi="Arial" w:cs="Arial"/>
          <w:color w:val="000000"/>
          <w:sz w:val="24"/>
          <w:szCs w:val="24"/>
        </w:rPr>
        <w:t xml:space="preserve">Revenue declined 32% from </w:t>
      </w:r>
      <w:proofErr w:type="gramStart"/>
      <w:r w:rsidRPr="00413D9C">
        <w:rPr>
          <w:rFonts w:ascii="Arial" w:hAnsi="Arial" w:cs="Arial"/>
          <w:color w:val="000000"/>
          <w:sz w:val="24"/>
          <w:szCs w:val="24"/>
        </w:rPr>
        <w:t>2020</w:t>
      </w:r>
      <w:proofErr w:type="gramEnd"/>
      <w:r w:rsidRPr="00413D9C">
        <w:rPr>
          <w:rFonts w:ascii="Arial" w:hAnsi="Arial" w:cs="Arial"/>
          <w:color w:val="000000"/>
          <w:sz w:val="24"/>
          <w:szCs w:val="24"/>
        </w:rPr>
        <w:t xml:space="preserve"> peak to 2024 ($1.33B), indicating market maturation and increased competition</w:t>
      </w:r>
    </w:p>
    <w:p w14:paraId="248533CF" w14:textId="77777777" w:rsidR="00413D9C" w:rsidRPr="00413D9C" w:rsidRDefault="00413D9C" w:rsidP="00413D9C">
      <w:pPr>
        <w:numPr>
          <w:ilvl w:val="0"/>
          <w:numId w:val="15"/>
        </w:numPr>
        <w:spacing w:line="360" w:lineRule="auto"/>
        <w:rPr>
          <w:rFonts w:ascii="Arial" w:hAnsi="Arial" w:cs="Arial"/>
          <w:color w:val="000000"/>
          <w:sz w:val="24"/>
          <w:szCs w:val="24"/>
        </w:rPr>
      </w:pPr>
      <w:r w:rsidRPr="00413D9C">
        <w:rPr>
          <w:rFonts w:ascii="Arial" w:hAnsi="Arial" w:cs="Arial"/>
          <w:color w:val="000000"/>
          <w:sz w:val="24"/>
          <w:szCs w:val="24"/>
        </w:rPr>
        <w:t>Q1 consistently shows strongest quarterly performance ($2.97B), suggesting seasonal buying patterns</w:t>
      </w:r>
    </w:p>
    <w:p w14:paraId="25214E37" w14:textId="77777777" w:rsidR="00413D9C" w:rsidRPr="00413D9C" w:rsidRDefault="00413D9C" w:rsidP="00413D9C">
      <w:pPr>
        <w:spacing w:line="360" w:lineRule="auto"/>
        <w:ind w:left="360"/>
        <w:rPr>
          <w:rFonts w:ascii="Arial" w:hAnsi="Arial" w:cs="Arial"/>
          <w:color w:val="000000"/>
          <w:sz w:val="24"/>
          <w:szCs w:val="24"/>
        </w:rPr>
      </w:pPr>
      <w:r w:rsidRPr="00413D9C">
        <w:rPr>
          <w:rFonts w:ascii="Arial" w:hAnsi="Arial" w:cs="Arial"/>
          <w:b/>
          <w:bCs/>
          <w:color w:val="000000"/>
          <w:sz w:val="24"/>
          <w:szCs w:val="24"/>
        </w:rPr>
        <w:t>Regional Dynamics:</w:t>
      </w:r>
    </w:p>
    <w:p w14:paraId="09C2486F" w14:textId="77777777" w:rsidR="00413D9C" w:rsidRPr="00413D9C" w:rsidRDefault="00413D9C" w:rsidP="00413D9C">
      <w:pPr>
        <w:numPr>
          <w:ilvl w:val="0"/>
          <w:numId w:val="16"/>
        </w:numPr>
        <w:spacing w:line="360" w:lineRule="auto"/>
        <w:rPr>
          <w:rFonts w:ascii="Arial" w:hAnsi="Arial" w:cs="Arial"/>
          <w:color w:val="000000"/>
          <w:sz w:val="24"/>
          <w:szCs w:val="24"/>
        </w:rPr>
      </w:pPr>
      <w:r w:rsidRPr="00413D9C">
        <w:rPr>
          <w:rFonts w:ascii="Arial" w:hAnsi="Arial" w:cs="Arial"/>
          <w:color w:val="000000"/>
          <w:sz w:val="24"/>
          <w:szCs w:val="24"/>
        </w:rPr>
        <w:t>Asia-Pacific dominates with 37.57% revenue share, followed by Europe (23.38%) and North America (19.30%)</w:t>
      </w:r>
    </w:p>
    <w:p w14:paraId="7D61837E" w14:textId="77777777" w:rsidR="00413D9C" w:rsidRPr="00413D9C" w:rsidRDefault="00413D9C" w:rsidP="00413D9C">
      <w:pPr>
        <w:numPr>
          <w:ilvl w:val="0"/>
          <w:numId w:val="16"/>
        </w:numPr>
        <w:spacing w:line="360" w:lineRule="auto"/>
        <w:rPr>
          <w:rFonts w:ascii="Arial" w:hAnsi="Arial" w:cs="Arial"/>
          <w:color w:val="000000"/>
          <w:sz w:val="24"/>
          <w:szCs w:val="24"/>
        </w:rPr>
      </w:pPr>
      <w:r w:rsidRPr="00413D9C">
        <w:rPr>
          <w:rFonts w:ascii="Arial" w:hAnsi="Arial" w:cs="Arial"/>
          <w:color w:val="000000"/>
          <w:sz w:val="24"/>
          <w:szCs w:val="24"/>
        </w:rPr>
        <w:t>Latin America leads in 5G coverage (68.68%) but contributes only 19.30% of revenue, indicating untapped monetization potential</w:t>
      </w:r>
    </w:p>
    <w:p w14:paraId="20FE6951" w14:textId="77777777" w:rsidR="00413D9C" w:rsidRPr="00413D9C" w:rsidRDefault="00413D9C" w:rsidP="00413D9C">
      <w:pPr>
        <w:numPr>
          <w:ilvl w:val="0"/>
          <w:numId w:val="16"/>
        </w:numPr>
        <w:spacing w:line="360" w:lineRule="auto"/>
        <w:rPr>
          <w:rFonts w:ascii="Arial" w:hAnsi="Arial" w:cs="Arial"/>
          <w:color w:val="000000"/>
          <w:sz w:val="24"/>
          <w:szCs w:val="24"/>
        </w:rPr>
      </w:pPr>
      <w:r w:rsidRPr="00413D9C">
        <w:rPr>
          <w:rFonts w:ascii="Arial" w:hAnsi="Arial" w:cs="Arial"/>
          <w:color w:val="000000"/>
          <w:sz w:val="24"/>
          <w:szCs w:val="24"/>
        </w:rPr>
        <w:t xml:space="preserve">North America shows </w:t>
      </w:r>
      <w:proofErr w:type="gramStart"/>
      <w:r w:rsidRPr="00413D9C">
        <w:rPr>
          <w:rFonts w:ascii="Arial" w:hAnsi="Arial" w:cs="Arial"/>
          <w:color w:val="000000"/>
          <w:sz w:val="24"/>
          <w:szCs w:val="24"/>
        </w:rPr>
        <w:t>lowest</w:t>
      </w:r>
      <w:proofErr w:type="gramEnd"/>
      <w:r w:rsidRPr="00413D9C">
        <w:rPr>
          <w:rFonts w:ascii="Arial" w:hAnsi="Arial" w:cs="Arial"/>
          <w:color w:val="000000"/>
          <w:sz w:val="24"/>
          <w:szCs w:val="24"/>
        </w:rPr>
        <w:t xml:space="preserve"> coverage (62.99%) despite being a major revenue contributor</w:t>
      </w:r>
    </w:p>
    <w:p w14:paraId="5B1B1BAB" w14:textId="77777777" w:rsidR="00413D9C" w:rsidRPr="00413D9C" w:rsidRDefault="00413D9C" w:rsidP="00413D9C">
      <w:pPr>
        <w:spacing w:line="360" w:lineRule="auto"/>
        <w:ind w:left="360"/>
        <w:rPr>
          <w:rFonts w:ascii="Arial" w:hAnsi="Arial" w:cs="Arial"/>
          <w:color w:val="000000"/>
          <w:sz w:val="24"/>
          <w:szCs w:val="24"/>
        </w:rPr>
      </w:pPr>
      <w:r w:rsidRPr="00413D9C">
        <w:rPr>
          <w:rFonts w:ascii="Arial" w:hAnsi="Arial" w:cs="Arial"/>
          <w:b/>
          <w:bCs/>
          <w:color w:val="000000"/>
          <w:sz w:val="24"/>
          <w:szCs w:val="24"/>
        </w:rPr>
        <w:t>Product Portfolio:</w:t>
      </w:r>
    </w:p>
    <w:p w14:paraId="3A0167C2" w14:textId="77777777" w:rsidR="00413D9C" w:rsidRPr="00413D9C" w:rsidRDefault="00413D9C" w:rsidP="00413D9C">
      <w:pPr>
        <w:numPr>
          <w:ilvl w:val="0"/>
          <w:numId w:val="17"/>
        </w:numPr>
        <w:spacing w:line="360" w:lineRule="auto"/>
        <w:rPr>
          <w:rFonts w:ascii="Arial" w:hAnsi="Arial" w:cs="Arial"/>
          <w:color w:val="000000"/>
          <w:sz w:val="24"/>
          <w:szCs w:val="24"/>
        </w:rPr>
      </w:pPr>
      <w:r w:rsidRPr="00413D9C">
        <w:rPr>
          <w:rFonts w:ascii="Arial" w:hAnsi="Arial" w:cs="Arial"/>
          <w:color w:val="000000"/>
          <w:sz w:val="24"/>
          <w:szCs w:val="24"/>
        </w:rPr>
        <w:lastRenderedPageBreak/>
        <w:t>Galaxy Z Fold2 5G is the revenue leader but Galaxy A14 5G drives volume (912K units)</w:t>
      </w:r>
    </w:p>
    <w:p w14:paraId="62F641E2" w14:textId="77777777" w:rsidR="00413D9C" w:rsidRPr="00413D9C" w:rsidRDefault="00413D9C" w:rsidP="00413D9C">
      <w:pPr>
        <w:numPr>
          <w:ilvl w:val="0"/>
          <w:numId w:val="17"/>
        </w:numPr>
        <w:spacing w:line="360" w:lineRule="auto"/>
        <w:rPr>
          <w:rFonts w:ascii="Arial" w:hAnsi="Arial" w:cs="Arial"/>
          <w:color w:val="000000"/>
          <w:sz w:val="24"/>
          <w:szCs w:val="24"/>
        </w:rPr>
      </w:pPr>
      <w:r w:rsidRPr="00413D9C">
        <w:rPr>
          <w:rFonts w:ascii="Arial" w:hAnsi="Arial" w:cs="Arial"/>
          <w:color w:val="000000"/>
          <w:sz w:val="24"/>
          <w:szCs w:val="24"/>
        </w:rPr>
        <w:t>High consumer preference for flagship models (Galaxy A14 5G: 77.21% preference) vs. mid-tier performance</w:t>
      </w:r>
    </w:p>
    <w:p w14:paraId="1C4A7516" w14:textId="77777777" w:rsidR="00413D9C" w:rsidRPr="00413D9C" w:rsidRDefault="00413D9C" w:rsidP="00413D9C">
      <w:pPr>
        <w:numPr>
          <w:ilvl w:val="0"/>
          <w:numId w:val="17"/>
        </w:numPr>
        <w:spacing w:line="360" w:lineRule="auto"/>
        <w:rPr>
          <w:rFonts w:ascii="Arial" w:hAnsi="Arial" w:cs="Arial"/>
          <w:color w:val="000000"/>
          <w:sz w:val="24"/>
          <w:szCs w:val="24"/>
        </w:rPr>
      </w:pPr>
      <w:r w:rsidRPr="00413D9C">
        <w:rPr>
          <w:rFonts w:ascii="Arial" w:hAnsi="Arial" w:cs="Arial"/>
          <w:color w:val="000000"/>
          <w:sz w:val="24"/>
          <w:szCs w:val="24"/>
        </w:rPr>
        <w:t>Clear segmentation between premium revenue generators and volume drivers</w:t>
      </w:r>
    </w:p>
    <w:p w14:paraId="6F7A9BBD" w14:textId="77777777" w:rsidR="00413D9C" w:rsidRPr="00413D9C" w:rsidRDefault="00413D9C" w:rsidP="00413D9C">
      <w:pPr>
        <w:spacing w:line="360" w:lineRule="auto"/>
        <w:ind w:left="360"/>
        <w:rPr>
          <w:rFonts w:ascii="Arial" w:hAnsi="Arial" w:cs="Arial"/>
          <w:b/>
          <w:bCs/>
          <w:color w:val="000000"/>
          <w:sz w:val="24"/>
          <w:szCs w:val="24"/>
        </w:rPr>
      </w:pPr>
      <w:r w:rsidRPr="00413D9C">
        <w:rPr>
          <w:rFonts w:ascii="Arial" w:hAnsi="Arial" w:cs="Arial"/>
          <w:b/>
          <w:bCs/>
          <w:color w:val="000000"/>
          <w:sz w:val="24"/>
          <w:szCs w:val="24"/>
        </w:rPr>
        <w:t>Strategic Recommendations</w:t>
      </w:r>
    </w:p>
    <w:p w14:paraId="4DB59E31" w14:textId="77777777" w:rsidR="00413D9C" w:rsidRPr="00413D9C" w:rsidRDefault="00413D9C" w:rsidP="00413D9C">
      <w:pPr>
        <w:spacing w:line="360" w:lineRule="auto"/>
        <w:ind w:left="360"/>
        <w:rPr>
          <w:rFonts w:ascii="Arial" w:hAnsi="Arial" w:cs="Arial"/>
          <w:color w:val="000000"/>
          <w:sz w:val="24"/>
          <w:szCs w:val="24"/>
        </w:rPr>
      </w:pPr>
      <w:r w:rsidRPr="00413D9C">
        <w:rPr>
          <w:rFonts w:ascii="Arial" w:hAnsi="Arial" w:cs="Arial"/>
          <w:b/>
          <w:bCs/>
          <w:color w:val="000000"/>
          <w:sz w:val="24"/>
          <w:szCs w:val="24"/>
        </w:rPr>
        <w:t>Immediate Actions:</w:t>
      </w:r>
    </w:p>
    <w:p w14:paraId="4B829372" w14:textId="77777777" w:rsidR="00413D9C" w:rsidRPr="00413D9C" w:rsidRDefault="00413D9C" w:rsidP="00413D9C">
      <w:pPr>
        <w:numPr>
          <w:ilvl w:val="0"/>
          <w:numId w:val="18"/>
        </w:numPr>
        <w:spacing w:line="360" w:lineRule="auto"/>
        <w:rPr>
          <w:rFonts w:ascii="Arial" w:hAnsi="Arial" w:cs="Arial"/>
          <w:color w:val="000000"/>
          <w:sz w:val="24"/>
          <w:szCs w:val="24"/>
        </w:rPr>
      </w:pPr>
      <w:r w:rsidRPr="00413D9C">
        <w:rPr>
          <w:rFonts w:ascii="Arial" w:hAnsi="Arial" w:cs="Arial"/>
          <w:b/>
          <w:bCs/>
          <w:color w:val="000000"/>
          <w:sz w:val="24"/>
          <w:szCs w:val="24"/>
        </w:rPr>
        <w:t>Accelerate North American 5G coverage</w:t>
      </w:r>
      <w:r w:rsidRPr="00413D9C">
        <w:rPr>
          <w:rFonts w:ascii="Arial" w:hAnsi="Arial" w:cs="Arial"/>
          <w:color w:val="000000"/>
          <w:sz w:val="24"/>
          <w:szCs w:val="24"/>
        </w:rPr>
        <w:t xml:space="preserve"> - high revenue region with coverage gap presents quick win opportunity</w:t>
      </w:r>
    </w:p>
    <w:p w14:paraId="6B5F477D" w14:textId="77777777" w:rsidR="00413D9C" w:rsidRPr="00413D9C" w:rsidRDefault="00413D9C" w:rsidP="00413D9C">
      <w:pPr>
        <w:numPr>
          <w:ilvl w:val="0"/>
          <w:numId w:val="18"/>
        </w:numPr>
        <w:spacing w:line="360" w:lineRule="auto"/>
        <w:rPr>
          <w:rFonts w:ascii="Arial" w:hAnsi="Arial" w:cs="Arial"/>
          <w:color w:val="000000"/>
          <w:sz w:val="24"/>
          <w:szCs w:val="24"/>
        </w:rPr>
      </w:pPr>
      <w:r w:rsidRPr="00413D9C">
        <w:rPr>
          <w:rFonts w:ascii="Arial" w:hAnsi="Arial" w:cs="Arial"/>
          <w:b/>
          <w:bCs/>
          <w:color w:val="000000"/>
          <w:sz w:val="24"/>
          <w:szCs w:val="24"/>
        </w:rPr>
        <w:t>Expand mid-tier 5G portfolio</w:t>
      </w:r>
      <w:r w:rsidRPr="00413D9C">
        <w:rPr>
          <w:rFonts w:ascii="Arial" w:hAnsi="Arial" w:cs="Arial"/>
          <w:color w:val="000000"/>
          <w:sz w:val="24"/>
          <w:szCs w:val="24"/>
        </w:rPr>
        <w:t xml:space="preserve"> - Galaxy A-series shows strong preference ratings, leverage for volume growth</w:t>
      </w:r>
    </w:p>
    <w:p w14:paraId="414686C3" w14:textId="77777777" w:rsidR="00413D9C" w:rsidRPr="00413D9C" w:rsidRDefault="00413D9C" w:rsidP="00413D9C">
      <w:pPr>
        <w:numPr>
          <w:ilvl w:val="0"/>
          <w:numId w:val="18"/>
        </w:numPr>
        <w:spacing w:line="360" w:lineRule="auto"/>
        <w:rPr>
          <w:rFonts w:ascii="Arial" w:hAnsi="Arial" w:cs="Arial"/>
          <w:color w:val="000000"/>
          <w:sz w:val="24"/>
          <w:szCs w:val="24"/>
        </w:rPr>
      </w:pPr>
      <w:r w:rsidRPr="00413D9C">
        <w:rPr>
          <w:rFonts w:ascii="Arial" w:hAnsi="Arial" w:cs="Arial"/>
          <w:b/>
          <w:bCs/>
          <w:color w:val="000000"/>
          <w:sz w:val="24"/>
          <w:szCs w:val="24"/>
        </w:rPr>
        <w:t>Address Q2-Q4 seasonal decline</w:t>
      </w:r>
      <w:r w:rsidRPr="00413D9C">
        <w:rPr>
          <w:rFonts w:ascii="Arial" w:hAnsi="Arial" w:cs="Arial"/>
          <w:color w:val="000000"/>
          <w:sz w:val="24"/>
          <w:szCs w:val="24"/>
        </w:rPr>
        <w:t xml:space="preserve"> - develop targeted campaigns to smooth quarterly revenue fluctuations</w:t>
      </w:r>
    </w:p>
    <w:p w14:paraId="49ACC686" w14:textId="77777777" w:rsidR="00413D9C" w:rsidRPr="00413D9C" w:rsidRDefault="00413D9C" w:rsidP="00413D9C">
      <w:pPr>
        <w:spacing w:line="360" w:lineRule="auto"/>
        <w:ind w:left="360"/>
        <w:rPr>
          <w:rFonts w:ascii="Arial" w:hAnsi="Arial" w:cs="Arial"/>
          <w:color w:val="000000"/>
          <w:sz w:val="24"/>
          <w:szCs w:val="24"/>
        </w:rPr>
      </w:pPr>
      <w:r w:rsidRPr="00413D9C">
        <w:rPr>
          <w:rFonts w:ascii="Arial" w:hAnsi="Arial" w:cs="Arial"/>
          <w:b/>
          <w:bCs/>
          <w:color w:val="000000"/>
          <w:sz w:val="24"/>
          <w:szCs w:val="24"/>
        </w:rPr>
        <w:t>Medium-term Strategy:</w:t>
      </w:r>
    </w:p>
    <w:p w14:paraId="0448DACD" w14:textId="77777777" w:rsidR="00413D9C" w:rsidRPr="00413D9C" w:rsidRDefault="00413D9C" w:rsidP="00413D9C">
      <w:pPr>
        <w:numPr>
          <w:ilvl w:val="0"/>
          <w:numId w:val="19"/>
        </w:numPr>
        <w:spacing w:line="360" w:lineRule="auto"/>
        <w:rPr>
          <w:rFonts w:ascii="Arial" w:hAnsi="Arial" w:cs="Arial"/>
          <w:color w:val="000000"/>
          <w:sz w:val="24"/>
          <w:szCs w:val="24"/>
        </w:rPr>
      </w:pPr>
      <w:r w:rsidRPr="00413D9C">
        <w:rPr>
          <w:rFonts w:ascii="Arial" w:hAnsi="Arial" w:cs="Arial"/>
          <w:b/>
          <w:bCs/>
          <w:color w:val="000000"/>
          <w:sz w:val="24"/>
          <w:szCs w:val="24"/>
        </w:rPr>
        <w:t>Latin America monetization focus</w:t>
      </w:r>
      <w:r w:rsidRPr="00413D9C">
        <w:rPr>
          <w:rFonts w:ascii="Arial" w:hAnsi="Arial" w:cs="Arial"/>
          <w:color w:val="000000"/>
          <w:sz w:val="24"/>
          <w:szCs w:val="24"/>
        </w:rPr>
        <w:t xml:space="preserve"> - highest coverage but lowest revenue per user suggests pricing optimization opportunity</w:t>
      </w:r>
    </w:p>
    <w:p w14:paraId="79FE8EF6" w14:textId="77777777" w:rsidR="00413D9C" w:rsidRPr="00413D9C" w:rsidRDefault="00413D9C" w:rsidP="00413D9C">
      <w:pPr>
        <w:numPr>
          <w:ilvl w:val="0"/>
          <w:numId w:val="19"/>
        </w:numPr>
        <w:spacing w:line="360" w:lineRule="auto"/>
        <w:rPr>
          <w:rFonts w:ascii="Arial" w:hAnsi="Arial" w:cs="Arial"/>
          <w:color w:val="000000"/>
          <w:sz w:val="24"/>
          <w:szCs w:val="24"/>
        </w:rPr>
      </w:pPr>
      <w:r w:rsidRPr="00413D9C">
        <w:rPr>
          <w:rFonts w:ascii="Arial" w:hAnsi="Arial" w:cs="Arial"/>
          <w:b/>
          <w:bCs/>
          <w:color w:val="000000"/>
          <w:sz w:val="24"/>
          <w:szCs w:val="24"/>
        </w:rPr>
        <w:t>Portfolio rebalancing</w:t>
      </w:r>
      <w:r w:rsidRPr="00413D9C">
        <w:rPr>
          <w:rFonts w:ascii="Arial" w:hAnsi="Arial" w:cs="Arial"/>
          <w:color w:val="000000"/>
          <w:sz w:val="24"/>
          <w:szCs w:val="24"/>
        </w:rPr>
        <w:t xml:space="preserve"> - reduce dependency on premium models by strengthening mid-tier 5G value proposition</w:t>
      </w:r>
    </w:p>
    <w:p w14:paraId="35BF5ED1" w14:textId="77777777" w:rsidR="00413D9C" w:rsidRPr="00413D9C" w:rsidRDefault="00413D9C" w:rsidP="00413D9C">
      <w:pPr>
        <w:numPr>
          <w:ilvl w:val="0"/>
          <w:numId w:val="19"/>
        </w:numPr>
        <w:spacing w:line="360" w:lineRule="auto"/>
        <w:rPr>
          <w:rFonts w:ascii="Arial" w:hAnsi="Arial" w:cs="Arial"/>
          <w:color w:val="000000"/>
          <w:sz w:val="24"/>
          <w:szCs w:val="24"/>
        </w:rPr>
      </w:pPr>
      <w:r w:rsidRPr="00413D9C">
        <w:rPr>
          <w:rFonts w:ascii="Arial" w:hAnsi="Arial" w:cs="Arial"/>
          <w:b/>
          <w:bCs/>
          <w:color w:val="000000"/>
          <w:sz w:val="24"/>
          <w:szCs w:val="24"/>
        </w:rPr>
        <w:t>Competitive response</w:t>
      </w:r>
      <w:r w:rsidRPr="00413D9C">
        <w:rPr>
          <w:rFonts w:ascii="Arial" w:hAnsi="Arial" w:cs="Arial"/>
          <w:color w:val="000000"/>
          <w:sz w:val="24"/>
          <w:szCs w:val="24"/>
        </w:rPr>
        <w:t xml:space="preserve"> - revenue decline trend requires aggressive market share defense strategy</w:t>
      </w:r>
    </w:p>
    <w:p w14:paraId="09A53DB0" w14:textId="77777777" w:rsidR="00413D9C" w:rsidRDefault="00413D9C" w:rsidP="00413D9C">
      <w:pPr>
        <w:spacing w:line="360" w:lineRule="auto"/>
        <w:ind w:left="360"/>
        <w:rPr>
          <w:rFonts w:ascii="Arial" w:hAnsi="Arial" w:cs="Arial"/>
          <w:color w:val="000000"/>
          <w:sz w:val="24"/>
          <w:szCs w:val="24"/>
        </w:rPr>
      </w:pPr>
      <w:r w:rsidRPr="00413D9C">
        <w:rPr>
          <w:rFonts w:ascii="Arial" w:hAnsi="Arial" w:cs="Arial"/>
          <w:b/>
          <w:bCs/>
          <w:color w:val="000000"/>
          <w:sz w:val="24"/>
          <w:szCs w:val="24"/>
        </w:rPr>
        <w:t>Innovation Priority:</w:t>
      </w:r>
      <w:r w:rsidRPr="00413D9C">
        <w:rPr>
          <w:rFonts w:ascii="Arial" w:hAnsi="Arial" w:cs="Arial"/>
          <w:color w:val="000000"/>
          <w:sz w:val="24"/>
          <w:szCs w:val="24"/>
        </w:rPr>
        <w:t xml:space="preserve"> Invest in differentiated 5G features for mid-tier devices to capture the high-preference, high-volume market segment while maintaining premium positioning for foldable series.</w:t>
      </w:r>
    </w:p>
    <w:p w14:paraId="13CDDC29" w14:textId="77777777" w:rsidR="00413D9C" w:rsidRPr="00413D9C" w:rsidRDefault="00413D9C" w:rsidP="00413D9C">
      <w:pPr>
        <w:spacing w:line="360" w:lineRule="auto"/>
        <w:ind w:left="360"/>
        <w:rPr>
          <w:rFonts w:ascii="Arial" w:hAnsi="Arial" w:cs="Arial"/>
          <w:color w:val="000000"/>
          <w:sz w:val="24"/>
          <w:szCs w:val="24"/>
        </w:rPr>
      </w:pPr>
    </w:p>
    <w:p w14:paraId="69F04C9B" w14:textId="77777777" w:rsidR="00942696" w:rsidRDefault="00942696" w:rsidP="00A91891">
      <w:pPr>
        <w:spacing w:line="360" w:lineRule="auto"/>
        <w:ind w:left="360"/>
        <w:rPr>
          <w:rFonts w:ascii="Arial" w:hAnsi="Arial" w:cs="Arial"/>
          <w:color w:val="000000"/>
          <w:sz w:val="24"/>
          <w:szCs w:val="24"/>
        </w:rPr>
      </w:pPr>
    </w:p>
    <w:p w14:paraId="081B3D06" w14:textId="23F45CD6" w:rsidR="00C16699" w:rsidRDefault="00C16699" w:rsidP="00C16699">
      <w:pPr>
        <w:spacing w:line="360" w:lineRule="auto"/>
        <w:ind w:left="360"/>
        <w:jc w:val="center"/>
        <w:rPr>
          <w:rFonts w:ascii="Arial" w:hAnsi="Arial" w:cs="Arial"/>
          <w:b/>
          <w:bCs/>
          <w:color w:val="000000"/>
          <w:sz w:val="24"/>
          <w:szCs w:val="24"/>
        </w:rPr>
      </w:pPr>
      <w:r w:rsidRPr="00C16699">
        <w:rPr>
          <w:rFonts w:ascii="Arial" w:hAnsi="Arial" w:cs="Arial"/>
          <w:b/>
          <w:bCs/>
          <w:color w:val="000000"/>
          <w:sz w:val="24"/>
          <w:szCs w:val="24"/>
        </w:rPr>
        <w:lastRenderedPageBreak/>
        <w:t>POST-ANALYSIS AND INSIGHTS</w:t>
      </w:r>
    </w:p>
    <w:p w14:paraId="0952B83F" w14:textId="77777777" w:rsidR="00413D9C" w:rsidRPr="00413D9C" w:rsidRDefault="00413D9C" w:rsidP="00413D9C">
      <w:pPr>
        <w:spacing w:line="360" w:lineRule="auto"/>
        <w:rPr>
          <w:rFonts w:ascii="Arial" w:hAnsi="Arial" w:cs="Arial"/>
          <w:b/>
          <w:bCs/>
          <w:sz w:val="24"/>
          <w:szCs w:val="24"/>
        </w:rPr>
      </w:pPr>
      <w:r w:rsidRPr="00413D9C">
        <w:rPr>
          <w:rFonts w:ascii="Arial" w:hAnsi="Arial" w:cs="Arial"/>
          <w:b/>
          <w:bCs/>
          <w:sz w:val="24"/>
          <w:szCs w:val="24"/>
        </w:rPr>
        <w:t>Market Position Reality Check:</w:t>
      </w:r>
    </w:p>
    <w:p w14:paraId="45730893" w14:textId="77777777" w:rsidR="00413D9C" w:rsidRPr="00413D9C" w:rsidRDefault="00413D9C" w:rsidP="00413D9C">
      <w:pPr>
        <w:spacing w:line="360" w:lineRule="auto"/>
        <w:rPr>
          <w:rFonts w:ascii="Arial" w:hAnsi="Arial" w:cs="Arial"/>
          <w:sz w:val="24"/>
          <w:szCs w:val="24"/>
        </w:rPr>
      </w:pPr>
      <w:r w:rsidRPr="00413D9C">
        <w:rPr>
          <w:rFonts w:ascii="Arial" w:hAnsi="Arial" w:cs="Arial"/>
          <w:sz w:val="24"/>
          <w:szCs w:val="24"/>
        </w:rPr>
        <w:t>Samsung's 5G revenue peaked early (2020) and is now in decline, suggesting they may have lost first-</w:t>
      </w:r>
      <w:proofErr w:type="gramStart"/>
      <w:r w:rsidRPr="00413D9C">
        <w:rPr>
          <w:rFonts w:ascii="Arial" w:hAnsi="Arial" w:cs="Arial"/>
          <w:sz w:val="24"/>
          <w:szCs w:val="24"/>
        </w:rPr>
        <w:t>mover</w:t>
      </w:r>
      <w:proofErr w:type="gramEnd"/>
      <w:r w:rsidRPr="00413D9C">
        <w:rPr>
          <w:rFonts w:ascii="Arial" w:hAnsi="Arial" w:cs="Arial"/>
          <w:sz w:val="24"/>
          <w:szCs w:val="24"/>
        </w:rPr>
        <w:t xml:space="preserve"> advantage to competitors</w:t>
      </w:r>
    </w:p>
    <w:p w14:paraId="691CD860" w14:textId="77777777" w:rsidR="00413D9C" w:rsidRPr="00413D9C" w:rsidRDefault="00413D9C" w:rsidP="00413D9C">
      <w:pPr>
        <w:spacing w:line="360" w:lineRule="auto"/>
        <w:rPr>
          <w:rFonts w:ascii="Arial" w:hAnsi="Arial" w:cs="Arial"/>
          <w:sz w:val="24"/>
          <w:szCs w:val="24"/>
        </w:rPr>
      </w:pPr>
      <w:r w:rsidRPr="00413D9C">
        <w:rPr>
          <w:rFonts w:ascii="Arial" w:hAnsi="Arial" w:cs="Arial"/>
          <w:sz w:val="24"/>
          <w:szCs w:val="24"/>
        </w:rPr>
        <w:t>The 32% revenue drop from peak indicates market share erosion rather than just market maturation</w:t>
      </w:r>
    </w:p>
    <w:p w14:paraId="12A5C713" w14:textId="77777777" w:rsidR="00413D9C" w:rsidRPr="00413D9C" w:rsidRDefault="00413D9C" w:rsidP="00413D9C">
      <w:pPr>
        <w:spacing w:line="360" w:lineRule="auto"/>
        <w:rPr>
          <w:rFonts w:ascii="Arial" w:hAnsi="Arial" w:cs="Arial"/>
          <w:sz w:val="24"/>
          <w:szCs w:val="24"/>
        </w:rPr>
      </w:pPr>
      <w:r w:rsidRPr="00413D9C">
        <w:rPr>
          <w:rFonts w:ascii="Arial" w:hAnsi="Arial" w:cs="Arial"/>
          <w:sz w:val="24"/>
          <w:szCs w:val="24"/>
        </w:rPr>
        <w:t>Strong preference ratings (71-77%) not translating to sustained revenue growth signals execution gaps</w:t>
      </w:r>
    </w:p>
    <w:p w14:paraId="7CD2E277" w14:textId="77777777" w:rsidR="00413D9C" w:rsidRPr="00413D9C" w:rsidRDefault="00413D9C" w:rsidP="00413D9C">
      <w:pPr>
        <w:spacing w:line="360" w:lineRule="auto"/>
        <w:rPr>
          <w:rFonts w:ascii="Arial" w:hAnsi="Arial" w:cs="Arial"/>
          <w:b/>
          <w:bCs/>
          <w:sz w:val="24"/>
          <w:szCs w:val="24"/>
        </w:rPr>
      </w:pPr>
      <w:r w:rsidRPr="00413D9C">
        <w:rPr>
          <w:rFonts w:ascii="Arial" w:hAnsi="Arial" w:cs="Arial"/>
          <w:b/>
          <w:bCs/>
          <w:sz w:val="24"/>
          <w:szCs w:val="24"/>
        </w:rPr>
        <w:t>Hidden Market Opportunities:</w:t>
      </w:r>
    </w:p>
    <w:p w14:paraId="4146E2C5" w14:textId="77777777" w:rsidR="00413D9C" w:rsidRPr="00413D9C" w:rsidRDefault="00413D9C" w:rsidP="00413D9C">
      <w:pPr>
        <w:spacing w:line="360" w:lineRule="auto"/>
        <w:rPr>
          <w:rFonts w:ascii="Arial" w:hAnsi="Arial" w:cs="Arial"/>
          <w:sz w:val="24"/>
          <w:szCs w:val="24"/>
        </w:rPr>
      </w:pPr>
      <w:r w:rsidRPr="00413D9C">
        <w:rPr>
          <w:rFonts w:ascii="Arial" w:hAnsi="Arial" w:cs="Arial"/>
          <w:sz w:val="24"/>
          <w:szCs w:val="24"/>
        </w:rPr>
        <w:t>Latin America Paradox: Highest 5G coverage (68.68%) but lowest revenue contribution reveals massive untapped monetization potential worth $2B+ if brought to global average</w:t>
      </w:r>
    </w:p>
    <w:p w14:paraId="57767D00" w14:textId="77777777" w:rsidR="00413D9C" w:rsidRPr="00413D9C" w:rsidRDefault="00413D9C" w:rsidP="00413D9C">
      <w:pPr>
        <w:spacing w:line="360" w:lineRule="auto"/>
        <w:rPr>
          <w:rFonts w:ascii="Arial" w:hAnsi="Arial" w:cs="Arial"/>
          <w:sz w:val="24"/>
          <w:szCs w:val="24"/>
        </w:rPr>
      </w:pPr>
      <w:r w:rsidRPr="00413D9C">
        <w:rPr>
          <w:rFonts w:ascii="Arial" w:hAnsi="Arial" w:cs="Arial"/>
          <w:sz w:val="24"/>
          <w:szCs w:val="24"/>
        </w:rPr>
        <w:t xml:space="preserve">Volume-Value Disconnect: Galaxy A14 5G has </w:t>
      </w:r>
      <w:proofErr w:type="gramStart"/>
      <w:r w:rsidRPr="00413D9C">
        <w:rPr>
          <w:rFonts w:ascii="Arial" w:hAnsi="Arial" w:cs="Arial"/>
          <w:sz w:val="24"/>
          <w:szCs w:val="24"/>
        </w:rPr>
        <w:t>highest</w:t>
      </w:r>
      <w:proofErr w:type="gramEnd"/>
      <w:r w:rsidRPr="00413D9C">
        <w:rPr>
          <w:rFonts w:ascii="Arial" w:hAnsi="Arial" w:cs="Arial"/>
          <w:sz w:val="24"/>
          <w:szCs w:val="24"/>
        </w:rPr>
        <w:t xml:space="preserve"> units sold (912K) and preference (77.21%) but likely low margins - opportunity for strategic price positioning</w:t>
      </w:r>
    </w:p>
    <w:p w14:paraId="77A6563E" w14:textId="77777777" w:rsidR="00413D9C" w:rsidRPr="00413D9C" w:rsidRDefault="00413D9C" w:rsidP="00413D9C">
      <w:pPr>
        <w:spacing w:line="360" w:lineRule="auto"/>
        <w:rPr>
          <w:rFonts w:ascii="Arial" w:hAnsi="Arial" w:cs="Arial"/>
          <w:b/>
          <w:bCs/>
          <w:sz w:val="24"/>
          <w:szCs w:val="24"/>
        </w:rPr>
      </w:pPr>
      <w:r w:rsidRPr="00413D9C">
        <w:rPr>
          <w:rFonts w:ascii="Arial" w:hAnsi="Arial" w:cs="Arial"/>
          <w:b/>
          <w:bCs/>
          <w:sz w:val="24"/>
          <w:szCs w:val="24"/>
        </w:rPr>
        <w:t>Competitive Vulnerabilities Exposed:</w:t>
      </w:r>
    </w:p>
    <w:p w14:paraId="43478248" w14:textId="77777777" w:rsidR="00413D9C" w:rsidRPr="00413D9C" w:rsidRDefault="00413D9C" w:rsidP="00413D9C">
      <w:pPr>
        <w:spacing w:line="360" w:lineRule="auto"/>
        <w:rPr>
          <w:rFonts w:ascii="Arial" w:hAnsi="Arial" w:cs="Arial"/>
          <w:sz w:val="24"/>
          <w:szCs w:val="24"/>
        </w:rPr>
      </w:pPr>
      <w:r w:rsidRPr="00413D9C">
        <w:rPr>
          <w:rFonts w:ascii="Arial" w:hAnsi="Arial" w:cs="Arial"/>
          <w:sz w:val="24"/>
          <w:szCs w:val="24"/>
        </w:rPr>
        <w:t>Q1 dependency (28% of annual revenue) creates predictable cash flow weakness competitors can exploit</w:t>
      </w:r>
    </w:p>
    <w:p w14:paraId="295DE471" w14:textId="77777777" w:rsidR="00413D9C" w:rsidRPr="00413D9C" w:rsidRDefault="00413D9C" w:rsidP="00413D9C">
      <w:pPr>
        <w:spacing w:line="360" w:lineRule="auto"/>
        <w:rPr>
          <w:rFonts w:ascii="Arial" w:hAnsi="Arial" w:cs="Arial"/>
          <w:sz w:val="24"/>
          <w:szCs w:val="24"/>
        </w:rPr>
      </w:pPr>
      <w:r w:rsidRPr="00413D9C">
        <w:rPr>
          <w:rFonts w:ascii="Arial" w:hAnsi="Arial" w:cs="Arial"/>
          <w:sz w:val="24"/>
          <w:szCs w:val="24"/>
        </w:rPr>
        <w:t>Asia-Pacific dominance (37.57%) may mask weakness in other regions where competitors are gaining ground</w:t>
      </w:r>
    </w:p>
    <w:p w14:paraId="12118631" w14:textId="77777777" w:rsidR="00413D9C" w:rsidRPr="00413D9C" w:rsidRDefault="00413D9C" w:rsidP="00413D9C">
      <w:pPr>
        <w:spacing w:line="360" w:lineRule="auto"/>
        <w:rPr>
          <w:rFonts w:ascii="Arial" w:hAnsi="Arial" w:cs="Arial"/>
          <w:sz w:val="24"/>
          <w:szCs w:val="24"/>
        </w:rPr>
      </w:pPr>
      <w:r w:rsidRPr="00413D9C">
        <w:rPr>
          <w:rFonts w:ascii="Arial" w:hAnsi="Arial" w:cs="Arial"/>
          <w:sz w:val="24"/>
          <w:szCs w:val="24"/>
        </w:rPr>
        <w:t>Premium model focus (Z Fold2 revenue leadership) in a commoditizing market suggests strategy misalignment</w:t>
      </w:r>
    </w:p>
    <w:p w14:paraId="4555AFB0" w14:textId="77777777" w:rsidR="00413D9C" w:rsidRPr="00413D9C" w:rsidRDefault="00413D9C" w:rsidP="00413D9C">
      <w:pPr>
        <w:spacing w:line="360" w:lineRule="auto"/>
        <w:rPr>
          <w:rFonts w:ascii="Arial" w:hAnsi="Arial" w:cs="Arial"/>
          <w:sz w:val="24"/>
          <w:szCs w:val="24"/>
        </w:rPr>
      </w:pPr>
      <w:r w:rsidRPr="00413D9C">
        <w:rPr>
          <w:rFonts w:ascii="Arial" w:hAnsi="Arial" w:cs="Arial"/>
          <w:sz w:val="24"/>
          <w:szCs w:val="24"/>
        </w:rPr>
        <w:t>Critical Success Pattern: The inverse relationship between coverage and revenue (Latin America high coverage/low revenue vs North America low coverage/high revenue) reveals that infrastructure availability doesn't automatically drive profitability - customer willingness to pay premium is the real driver.</w:t>
      </w:r>
    </w:p>
    <w:p w14:paraId="0F1C1186" w14:textId="77777777" w:rsidR="00413D9C" w:rsidRDefault="00413D9C" w:rsidP="00C16699">
      <w:pPr>
        <w:spacing w:line="360" w:lineRule="auto"/>
        <w:ind w:left="360"/>
        <w:jc w:val="center"/>
        <w:rPr>
          <w:rFonts w:ascii="Arial" w:hAnsi="Arial" w:cs="Arial"/>
          <w:b/>
          <w:bCs/>
          <w:color w:val="000000"/>
          <w:sz w:val="24"/>
          <w:szCs w:val="24"/>
        </w:rPr>
      </w:pPr>
    </w:p>
    <w:p w14:paraId="25BC7339" w14:textId="4C44A404" w:rsidR="0061694C" w:rsidRPr="0061694C" w:rsidRDefault="0061694C" w:rsidP="0061694C">
      <w:pPr>
        <w:spacing w:line="360" w:lineRule="auto"/>
        <w:rPr>
          <w:rFonts w:ascii="Arial" w:hAnsi="Arial" w:cs="Arial"/>
          <w:sz w:val="24"/>
          <w:szCs w:val="24"/>
        </w:rPr>
      </w:pPr>
      <w:r w:rsidRPr="0061694C">
        <w:rPr>
          <w:rFonts w:ascii="Arial" w:hAnsi="Arial" w:cs="Arial"/>
          <w:sz w:val="24"/>
          <w:szCs w:val="24"/>
        </w:rPr>
        <w:lastRenderedPageBreak/>
        <w:t>A detailed analysis confirmed that certain categories are highly price-sensitive, and that dynamic pricing or bundling can be used effectively to influence buying behavior.</w:t>
      </w:r>
    </w:p>
    <w:p w14:paraId="499D16DE" w14:textId="77777777" w:rsidR="0061694C" w:rsidRPr="0061694C" w:rsidRDefault="0061694C" w:rsidP="0061694C">
      <w:pPr>
        <w:spacing w:line="360" w:lineRule="auto"/>
        <w:rPr>
          <w:rFonts w:ascii="Arial" w:hAnsi="Arial" w:cs="Arial"/>
          <w:sz w:val="24"/>
          <w:szCs w:val="24"/>
        </w:rPr>
      </w:pPr>
      <w:r w:rsidRPr="0061694C">
        <w:rPr>
          <w:rStyle w:val="Strong"/>
          <w:rFonts w:ascii="Arial" w:hAnsi="Arial" w:cs="Arial"/>
          <w:sz w:val="24"/>
          <w:szCs w:val="24"/>
        </w:rPr>
        <w:t>Customer Segmentation Opportunities</w:t>
      </w:r>
      <w:r w:rsidRPr="0061694C">
        <w:rPr>
          <w:rFonts w:ascii="Arial" w:hAnsi="Arial" w:cs="Arial"/>
          <w:sz w:val="24"/>
          <w:szCs w:val="24"/>
        </w:rPr>
        <w:br/>
        <w:t>Early analysis suggested customers show varied behaviors.</w:t>
      </w:r>
      <w:r w:rsidRPr="0061694C">
        <w:rPr>
          <w:rFonts w:ascii="Arial" w:hAnsi="Arial" w:cs="Arial"/>
          <w:sz w:val="24"/>
          <w:szCs w:val="24"/>
        </w:rPr>
        <w:br/>
        <w:t>Clustering and pattern recognition confirmed distinct segments such as bulk buyers, seasonal shoppers, and discount seekers—each requiring personalized marketing strategies.</w:t>
      </w:r>
    </w:p>
    <w:p w14:paraId="2A830F3A" w14:textId="77777777" w:rsidR="0061694C" w:rsidRPr="0061694C" w:rsidRDefault="0061694C" w:rsidP="0061694C">
      <w:pPr>
        <w:spacing w:line="360" w:lineRule="auto"/>
        <w:rPr>
          <w:rFonts w:ascii="Arial" w:hAnsi="Arial" w:cs="Arial"/>
          <w:sz w:val="24"/>
          <w:szCs w:val="24"/>
        </w:rPr>
      </w:pPr>
      <w:r w:rsidRPr="0061694C">
        <w:rPr>
          <w:rStyle w:val="Strong"/>
          <w:rFonts w:ascii="Arial" w:hAnsi="Arial" w:cs="Arial"/>
          <w:sz w:val="24"/>
          <w:szCs w:val="24"/>
        </w:rPr>
        <w:t>Operational Efficiency Indicators</w:t>
      </w:r>
      <w:r w:rsidRPr="0061694C">
        <w:rPr>
          <w:rFonts w:ascii="Arial" w:hAnsi="Arial" w:cs="Arial"/>
          <w:sz w:val="24"/>
          <w:szCs w:val="24"/>
        </w:rPr>
        <w:br/>
        <w:t>Initially, anomalies in transaction data were noted as potential issues or opportunities.</w:t>
      </w:r>
      <w:r w:rsidRPr="0061694C">
        <w:rPr>
          <w:rFonts w:ascii="Arial" w:hAnsi="Arial" w:cs="Arial"/>
          <w:sz w:val="24"/>
          <w:szCs w:val="24"/>
        </w:rPr>
        <w:br/>
        <w:t>Deeper analysis revealed that these outliers could signal fraud, system errors, or even emerging market trends, indicating the importance of real-time anomaly detection.</w:t>
      </w:r>
    </w:p>
    <w:p w14:paraId="2953786A" w14:textId="6F7C28E3" w:rsidR="00FE3E4B" w:rsidRPr="00C27A28" w:rsidRDefault="0061694C" w:rsidP="00C61134">
      <w:pPr>
        <w:spacing w:line="360" w:lineRule="auto"/>
        <w:rPr>
          <w:rFonts w:ascii="Arial" w:hAnsi="Arial" w:cs="Arial"/>
          <w:sz w:val="24"/>
          <w:szCs w:val="24"/>
        </w:rPr>
      </w:pPr>
      <w:r w:rsidRPr="0061694C">
        <w:rPr>
          <w:rStyle w:val="Strong"/>
          <w:rFonts w:ascii="Arial" w:hAnsi="Arial" w:cs="Arial"/>
          <w:sz w:val="24"/>
          <w:szCs w:val="24"/>
        </w:rPr>
        <w:t>Strategic Data Use</w:t>
      </w:r>
      <w:r w:rsidRPr="0061694C">
        <w:rPr>
          <w:rFonts w:ascii="Arial" w:hAnsi="Arial" w:cs="Arial"/>
          <w:sz w:val="24"/>
          <w:szCs w:val="24"/>
        </w:rPr>
        <w:br/>
        <w:t>The early insight was that data could support marketing and sales decisions.</w:t>
      </w:r>
      <w:r w:rsidRPr="0061694C">
        <w:rPr>
          <w:rFonts w:ascii="Arial" w:hAnsi="Arial" w:cs="Arial"/>
          <w:sz w:val="24"/>
          <w:szCs w:val="24"/>
        </w:rPr>
        <w:br/>
      </w:r>
      <w:proofErr w:type="gramStart"/>
      <w:r w:rsidRPr="0061694C">
        <w:rPr>
          <w:rFonts w:ascii="Arial" w:hAnsi="Arial" w:cs="Arial"/>
          <w:sz w:val="24"/>
          <w:szCs w:val="24"/>
        </w:rPr>
        <w:t>Post-analysis</w:t>
      </w:r>
      <w:proofErr w:type="gramEnd"/>
      <w:r w:rsidRPr="0061694C">
        <w:rPr>
          <w:rFonts w:ascii="Arial" w:hAnsi="Arial" w:cs="Arial"/>
          <w:sz w:val="24"/>
          <w:szCs w:val="24"/>
        </w:rPr>
        <w:t xml:space="preserve"> elevated this to a broader conclusion: integrating data across departments is essential for agile, evidence-based decision-making at all levels of the business.</w:t>
      </w:r>
    </w:p>
    <w:p w14:paraId="59EB9041" w14:textId="09398FF8" w:rsidR="00B335EF" w:rsidRDefault="00CB3738" w:rsidP="00C27A28">
      <w:pPr>
        <w:spacing w:line="360" w:lineRule="auto"/>
        <w:jc w:val="center"/>
        <w:rPr>
          <w:rFonts w:ascii="Arial" w:hAnsi="Arial" w:cs="Arial"/>
          <w:b/>
          <w:bCs/>
          <w:color w:val="000000"/>
          <w:sz w:val="24"/>
          <w:szCs w:val="24"/>
        </w:rPr>
      </w:pPr>
      <w:r w:rsidRPr="00CB3738">
        <w:rPr>
          <w:rFonts w:ascii="Arial" w:hAnsi="Arial" w:cs="Arial"/>
          <w:b/>
          <w:bCs/>
          <w:color w:val="000000"/>
          <w:sz w:val="24"/>
          <w:szCs w:val="24"/>
        </w:rPr>
        <w:t>DATA VISUALIZATIONS &amp; CHARTS</w:t>
      </w:r>
    </w:p>
    <w:p w14:paraId="1BC6170F" w14:textId="77777777" w:rsidR="008541A0" w:rsidRDefault="008541A0" w:rsidP="00C27A28">
      <w:pPr>
        <w:spacing w:line="360" w:lineRule="auto"/>
        <w:jc w:val="center"/>
        <w:rPr>
          <w:rFonts w:ascii="Arial" w:hAnsi="Arial" w:cs="Arial"/>
          <w:b/>
          <w:bCs/>
          <w:color w:val="000000"/>
          <w:sz w:val="24"/>
          <w:szCs w:val="24"/>
        </w:rPr>
      </w:pPr>
    </w:p>
    <w:p w14:paraId="260FC08D" w14:textId="5CD44F4B" w:rsidR="00B335EF" w:rsidRDefault="008541A0" w:rsidP="00B335EF">
      <w:pPr>
        <w:spacing w:line="360" w:lineRule="auto"/>
        <w:jc w:val="center"/>
        <w:rPr>
          <w:rFonts w:ascii="Arial" w:hAnsi="Arial" w:cs="Arial"/>
          <w:b/>
          <w:bCs/>
          <w:color w:val="000000"/>
          <w:sz w:val="24"/>
          <w:szCs w:val="24"/>
        </w:rPr>
      </w:pPr>
      <w:r>
        <w:rPr>
          <w:rFonts w:ascii="Arial" w:hAnsi="Arial" w:cs="Arial"/>
          <w:b/>
          <w:bCs/>
          <w:color w:val="000000"/>
          <w:sz w:val="24"/>
          <w:szCs w:val="24"/>
        </w:rPr>
        <w:t>YEARLY REVENUE GROWTH</w:t>
      </w:r>
    </w:p>
    <w:p w14:paraId="5B2AA137" w14:textId="4634C439" w:rsidR="008541A0" w:rsidRPr="00B335EF" w:rsidRDefault="008541A0" w:rsidP="00B335EF">
      <w:pPr>
        <w:spacing w:line="360" w:lineRule="auto"/>
        <w:jc w:val="center"/>
        <w:rPr>
          <w:rFonts w:ascii="Arial" w:hAnsi="Arial" w:cs="Arial"/>
          <w:b/>
          <w:bCs/>
          <w:color w:val="000000"/>
          <w:sz w:val="24"/>
          <w:szCs w:val="24"/>
        </w:rPr>
      </w:pPr>
      <w:r>
        <w:rPr>
          <w:noProof/>
        </w:rPr>
        <w:drawing>
          <wp:inline distT="0" distB="0" distL="0" distR="0" wp14:anchorId="71589E3D" wp14:editId="6D744FE3">
            <wp:extent cx="5943600" cy="2343150"/>
            <wp:effectExtent l="0" t="0" r="0" b="0"/>
            <wp:docPr id="632378930" name="Chart 1">
              <a:extLst xmlns:a="http://schemas.openxmlformats.org/drawingml/2006/main">
                <a:ext uri="{FF2B5EF4-FFF2-40B4-BE49-F238E27FC236}">
                  <a16:creationId xmlns:a16="http://schemas.microsoft.com/office/drawing/2014/main" id="{0589D03A-E98C-466E-8C09-2F64FDFDAC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5ED9096" w14:textId="789AC27A" w:rsidR="00E931E6" w:rsidRDefault="00E931E6" w:rsidP="00DE03E1">
      <w:pPr>
        <w:spacing w:line="360" w:lineRule="auto"/>
        <w:rPr>
          <w:rFonts w:ascii="Arial" w:hAnsi="Arial" w:cs="Arial"/>
          <w:color w:val="000000"/>
        </w:rPr>
      </w:pPr>
    </w:p>
    <w:p w14:paraId="6FF43610" w14:textId="56DD180A" w:rsidR="00114228" w:rsidRDefault="008541A0" w:rsidP="00117B54">
      <w:pPr>
        <w:spacing w:line="360" w:lineRule="auto"/>
        <w:jc w:val="center"/>
        <w:rPr>
          <w:rFonts w:ascii="Arial" w:hAnsi="Arial" w:cs="Arial"/>
          <w:sz w:val="24"/>
          <w:szCs w:val="24"/>
        </w:rPr>
      </w:pPr>
      <w:r w:rsidRPr="008541A0">
        <w:rPr>
          <w:rFonts w:ascii="Arial" w:hAnsi="Arial" w:cs="Arial"/>
          <w:sz w:val="24"/>
          <w:szCs w:val="24"/>
        </w:rPr>
        <w:t>Samsung's 5G phone revenue demonstrated extreme volatility from 2019-2024, surging 46% to peak at $1.96 billion in 2020 during early 5G adoption, then declining $430 million through 2023 due to market maturation and intensified competition from Chinese manufacturers and Apple, before recovering strongly with a 27% rebound to $1.95 billion in 2024, indicating successful strategic adaptation and positioning Samsung for sustainable growth despite the high market volatility that requires continuous strategic pivots and long-term investment perspectives in the rapidly evolving 5G segment</w:t>
      </w:r>
      <w:r>
        <w:rPr>
          <w:rFonts w:ascii="Arial" w:hAnsi="Arial" w:cs="Arial"/>
          <w:sz w:val="24"/>
          <w:szCs w:val="24"/>
        </w:rPr>
        <w:t xml:space="preserve">. </w:t>
      </w:r>
    </w:p>
    <w:p w14:paraId="6908C78A" w14:textId="77777777" w:rsidR="008541A0" w:rsidRDefault="008541A0" w:rsidP="00117B54">
      <w:pPr>
        <w:spacing w:line="360" w:lineRule="auto"/>
        <w:jc w:val="center"/>
        <w:rPr>
          <w:rFonts w:ascii="Arial" w:hAnsi="Arial" w:cs="Arial"/>
          <w:b/>
          <w:bCs/>
          <w:color w:val="000000"/>
          <w:sz w:val="24"/>
          <w:szCs w:val="24"/>
        </w:rPr>
      </w:pPr>
    </w:p>
    <w:p w14:paraId="7FCF5C1B" w14:textId="1FB6CA74" w:rsidR="0036100C" w:rsidRDefault="008541A0" w:rsidP="00117B54">
      <w:pPr>
        <w:spacing w:line="360" w:lineRule="auto"/>
        <w:jc w:val="center"/>
        <w:rPr>
          <w:rFonts w:ascii="Arial" w:hAnsi="Arial" w:cs="Arial"/>
          <w:b/>
          <w:bCs/>
          <w:color w:val="000000"/>
          <w:sz w:val="24"/>
          <w:szCs w:val="24"/>
        </w:rPr>
      </w:pPr>
      <w:r>
        <w:rPr>
          <w:rFonts w:ascii="Arial" w:hAnsi="Arial" w:cs="Arial"/>
          <w:b/>
          <w:bCs/>
          <w:color w:val="000000"/>
          <w:sz w:val="24"/>
          <w:szCs w:val="24"/>
        </w:rPr>
        <w:t>REGIONAL REVENUE CONTRIBUTION</w:t>
      </w:r>
    </w:p>
    <w:p w14:paraId="5D136B1E" w14:textId="6253EB98" w:rsidR="00117B54" w:rsidRDefault="008541A0" w:rsidP="00DE03E1">
      <w:pPr>
        <w:spacing w:line="360" w:lineRule="auto"/>
        <w:rPr>
          <w:rFonts w:ascii="Arial" w:hAnsi="Arial" w:cs="Arial"/>
          <w:b/>
          <w:bCs/>
          <w:color w:val="000000"/>
          <w:sz w:val="24"/>
          <w:szCs w:val="24"/>
        </w:rPr>
      </w:pPr>
      <w:r>
        <w:rPr>
          <w:noProof/>
        </w:rPr>
        <w:drawing>
          <wp:inline distT="0" distB="0" distL="0" distR="0" wp14:anchorId="4882096C" wp14:editId="53339CBD">
            <wp:extent cx="6057900" cy="2543175"/>
            <wp:effectExtent l="0" t="0" r="0" b="9525"/>
            <wp:docPr id="776510565" name="Chart 1">
              <a:extLst xmlns:a="http://schemas.openxmlformats.org/drawingml/2006/main">
                <a:ext uri="{FF2B5EF4-FFF2-40B4-BE49-F238E27FC236}">
                  <a16:creationId xmlns:a16="http://schemas.microsoft.com/office/drawing/2014/main" id="{8EB06A2A-B62C-4772-9974-451631D7EE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0EED371" w14:textId="77777777" w:rsidR="008541A0" w:rsidRDefault="008541A0" w:rsidP="00AC566B">
      <w:pPr>
        <w:spacing w:line="360" w:lineRule="auto"/>
        <w:jc w:val="center"/>
        <w:rPr>
          <w:rFonts w:ascii="Arial" w:hAnsi="Arial" w:cs="Arial"/>
          <w:sz w:val="24"/>
          <w:szCs w:val="24"/>
        </w:rPr>
      </w:pPr>
      <w:r w:rsidRPr="008541A0">
        <w:rPr>
          <w:rFonts w:ascii="Arial" w:hAnsi="Arial" w:cs="Arial"/>
          <w:sz w:val="24"/>
          <w:szCs w:val="24"/>
        </w:rPr>
        <w:t>Samsung's 5G revenue distribution reveals a strategically diversified but opportunity-rich global portfolio with Asia-Pacific dominating at $2.32 billion (37.57%), followed by Europe's $2.04 billion (23.38%) and North America's $2.44 billion (19.30%), creating</w:t>
      </w:r>
      <w:r>
        <w:rPr>
          <w:rFonts w:ascii="Arial" w:hAnsi="Arial" w:cs="Arial"/>
          <w:sz w:val="24"/>
          <w:szCs w:val="24"/>
        </w:rPr>
        <w:t xml:space="preserve"> </w:t>
      </w:r>
      <w:r w:rsidRPr="008541A0">
        <w:rPr>
          <w:rFonts w:ascii="Arial" w:hAnsi="Arial" w:cs="Arial"/>
          <w:sz w:val="24"/>
          <w:szCs w:val="24"/>
        </w:rPr>
        <w:t>balanced geographic risk management across developed markets, while Latin America's negligible $2.09 million (00.10%) contribution represents a massive untapped growth opportunity that contrasts sharply with the region's high 5G infrastructure coverage, indicating Samsung must prioritize market penetration strategies and localized pricing models in Latin America while maintaining premium positioning and retention strategies in its three established revenue-generating regions.</w:t>
      </w:r>
    </w:p>
    <w:p w14:paraId="78A2CA5A" w14:textId="787C20F8" w:rsidR="00AC566B" w:rsidRPr="00AC566B" w:rsidRDefault="008541A0" w:rsidP="00AC566B">
      <w:pPr>
        <w:spacing w:line="360" w:lineRule="auto"/>
        <w:jc w:val="center"/>
        <w:rPr>
          <w:rFonts w:ascii="Arial" w:hAnsi="Arial" w:cs="Arial"/>
          <w:b/>
          <w:bCs/>
          <w:sz w:val="24"/>
          <w:szCs w:val="24"/>
        </w:rPr>
      </w:pPr>
      <w:r>
        <w:rPr>
          <w:rFonts w:ascii="Arial" w:hAnsi="Arial" w:cs="Arial"/>
          <w:b/>
          <w:bCs/>
          <w:sz w:val="24"/>
          <w:szCs w:val="24"/>
        </w:rPr>
        <w:lastRenderedPageBreak/>
        <w:t>AVERAGE REGIONAL COVERAGE</w:t>
      </w:r>
    </w:p>
    <w:p w14:paraId="626665C4" w14:textId="77ED33C1" w:rsidR="00AC566B" w:rsidRPr="00743289" w:rsidRDefault="008541A0" w:rsidP="00743289">
      <w:pPr>
        <w:spacing w:line="360" w:lineRule="auto"/>
        <w:rPr>
          <w:rFonts w:ascii="Arial" w:hAnsi="Arial" w:cs="Arial"/>
          <w:sz w:val="24"/>
          <w:szCs w:val="24"/>
        </w:rPr>
      </w:pPr>
      <w:r>
        <w:rPr>
          <w:rFonts w:ascii="Arial" w:hAnsi="Arial" w:cs="Arial"/>
          <w:noProof/>
          <w:sz w:val="24"/>
          <w:szCs w:val="24"/>
        </w:rPr>
        <w:drawing>
          <wp:inline distT="0" distB="0" distL="0" distR="0" wp14:anchorId="55416D7B" wp14:editId="20C43FBE">
            <wp:extent cx="5876925" cy="3343275"/>
            <wp:effectExtent l="0" t="0" r="9525" b="9525"/>
            <wp:docPr id="1891577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6925" cy="3343275"/>
                    </a:xfrm>
                    <a:prstGeom prst="rect">
                      <a:avLst/>
                    </a:prstGeom>
                    <a:noFill/>
                  </pic:spPr>
                </pic:pic>
              </a:graphicData>
            </a:graphic>
          </wp:inline>
        </w:drawing>
      </w:r>
    </w:p>
    <w:p w14:paraId="3C4B6449" w14:textId="3FCF0D5A" w:rsidR="00516139" w:rsidRDefault="008541A0" w:rsidP="00AC566B">
      <w:pPr>
        <w:spacing w:line="360" w:lineRule="auto"/>
        <w:rPr>
          <w:rFonts w:ascii="Arial" w:hAnsi="Arial" w:cs="Arial"/>
          <w:sz w:val="24"/>
          <w:szCs w:val="24"/>
        </w:rPr>
      </w:pPr>
      <w:r w:rsidRPr="008541A0">
        <w:rPr>
          <w:rFonts w:ascii="Arial" w:hAnsi="Arial" w:cs="Arial"/>
          <w:sz w:val="24"/>
          <w:szCs w:val="24"/>
        </w:rPr>
        <w:t>Samsung faces a strategic paradox where Latin America leads global 5G infrastructure coverage at 69.86% but generates only 00.10% revenue while Asia-Pacific has the lowest coverage at 62.99% yet dominates revenue at 37.57%, with Europe (68.68% coverage, 23.38% revenue) and North America (67.72% coverage, 19.30% revenue) showing more balanced infrastructure-to-revenue ratios, indicating that while all regions demonstrate adequate 5G readiness above 62%, Samsung must address the coverage-revenue disconnect through targeted pricing strategies in Latin America and capitalize on Asia-Pacific's infrastructure expansion potential to maximize growth in its strongest market, proving that network infrastructure alone doesn't guarantee commercial success without proper market positioning and economic accessibility</w:t>
      </w:r>
    </w:p>
    <w:p w14:paraId="13DDC255" w14:textId="77777777" w:rsidR="00516139" w:rsidRDefault="00516139" w:rsidP="00AC566B">
      <w:pPr>
        <w:spacing w:line="360" w:lineRule="auto"/>
        <w:rPr>
          <w:rFonts w:ascii="Arial" w:hAnsi="Arial" w:cs="Arial"/>
          <w:sz w:val="24"/>
          <w:szCs w:val="24"/>
        </w:rPr>
      </w:pPr>
    </w:p>
    <w:p w14:paraId="4CBC2F49" w14:textId="77777777" w:rsidR="00516139" w:rsidRDefault="00516139" w:rsidP="00AC566B">
      <w:pPr>
        <w:spacing w:line="360" w:lineRule="auto"/>
        <w:rPr>
          <w:rFonts w:ascii="Arial" w:hAnsi="Arial" w:cs="Arial"/>
          <w:sz w:val="24"/>
          <w:szCs w:val="24"/>
        </w:rPr>
      </w:pPr>
    </w:p>
    <w:p w14:paraId="3B797539" w14:textId="77777777" w:rsidR="00516139" w:rsidRDefault="00516139" w:rsidP="00AC566B">
      <w:pPr>
        <w:spacing w:line="360" w:lineRule="auto"/>
        <w:rPr>
          <w:rFonts w:ascii="Arial" w:hAnsi="Arial" w:cs="Arial"/>
          <w:sz w:val="24"/>
          <w:szCs w:val="24"/>
        </w:rPr>
      </w:pPr>
    </w:p>
    <w:p w14:paraId="456375B7" w14:textId="77777777" w:rsidR="00516139" w:rsidRDefault="00516139" w:rsidP="00AC566B">
      <w:pPr>
        <w:spacing w:line="360" w:lineRule="auto"/>
        <w:rPr>
          <w:rFonts w:ascii="Arial" w:hAnsi="Arial" w:cs="Arial"/>
          <w:sz w:val="24"/>
          <w:szCs w:val="24"/>
        </w:rPr>
      </w:pPr>
    </w:p>
    <w:p w14:paraId="2706816B" w14:textId="77777777" w:rsidR="00516139" w:rsidRDefault="00516139" w:rsidP="00AC566B">
      <w:pPr>
        <w:spacing w:line="360" w:lineRule="auto"/>
        <w:rPr>
          <w:rFonts w:ascii="Arial" w:hAnsi="Arial" w:cs="Arial"/>
          <w:sz w:val="24"/>
          <w:szCs w:val="24"/>
        </w:rPr>
      </w:pPr>
    </w:p>
    <w:p w14:paraId="195FE56C" w14:textId="64C3B745" w:rsidR="00516139" w:rsidRPr="008541A0" w:rsidRDefault="008541A0" w:rsidP="008541A0">
      <w:pPr>
        <w:spacing w:line="360" w:lineRule="auto"/>
        <w:ind w:left="2160" w:firstLine="720"/>
        <w:rPr>
          <w:rFonts w:ascii="Arial" w:hAnsi="Arial" w:cs="Arial"/>
          <w:b/>
          <w:bCs/>
          <w:sz w:val="24"/>
          <w:szCs w:val="24"/>
        </w:rPr>
      </w:pPr>
      <w:r w:rsidRPr="008541A0">
        <w:rPr>
          <w:rFonts w:ascii="Arial" w:hAnsi="Arial" w:cs="Arial"/>
          <w:b/>
          <w:bCs/>
          <w:sz w:val="24"/>
          <w:szCs w:val="24"/>
        </w:rPr>
        <w:lastRenderedPageBreak/>
        <w:t xml:space="preserve">QUATERLY REVENUE GROWTH </w:t>
      </w:r>
    </w:p>
    <w:p w14:paraId="54F0BF90" w14:textId="68412393" w:rsidR="00516139" w:rsidRPr="00516139" w:rsidRDefault="008541A0" w:rsidP="00516139">
      <w:pPr>
        <w:spacing w:line="360" w:lineRule="auto"/>
        <w:jc w:val="center"/>
        <w:rPr>
          <w:rFonts w:ascii="Arial" w:hAnsi="Arial" w:cs="Arial"/>
          <w:b/>
          <w:bCs/>
          <w:sz w:val="24"/>
          <w:szCs w:val="24"/>
        </w:rPr>
      </w:pPr>
      <w:r>
        <w:rPr>
          <w:noProof/>
        </w:rPr>
        <w:drawing>
          <wp:inline distT="0" distB="0" distL="0" distR="0" wp14:anchorId="4B878238" wp14:editId="4A02CB61">
            <wp:extent cx="5505450" cy="2198370"/>
            <wp:effectExtent l="0" t="0" r="0" b="11430"/>
            <wp:docPr id="2132567658" name="Chart 1">
              <a:extLst xmlns:a="http://schemas.openxmlformats.org/drawingml/2006/main">
                <a:ext uri="{FF2B5EF4-FFF2-40B4-BE49-F238E27FC236}">
                  <a16:creationId xmlns:a16="http://schemas.microsoft.com/office/drawing/2014/main" id="{C5409F95-A884-4926-B238-51A90CBCB1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3D1D647" w14:textId="6DAECC0C" w:rsidR="00516139" w:rsidRPr="00AC566B" w:rsidRDefault="00516139" w:rsidP="00AC566B">
      <w:pPr>
        <w:spacing w:line="360" w:lineRule="auto"/>
        <w:rPr>
          <w:rFonts w:ascii="Arial" w:hAnsi="Arial" w:cs="Arial"/>
          <w:sz w:val="24"/>
          <w:szCs w:val="24"/>
        </w:rPr>
      </w:pPr>
    </w:p>
    <w:p w14:paraId="485BAF8B" w14:textId="2A62FCCE" w:rsidR="00516139" w:rsidRDefault="008541A0" w:rsidP="00516139">
      <w:pPr>
        <w:spacing w:line="360" w:lineRule="auto"/>
        <w:rPr>
          <w:rFonts w:ascii="Arial" w:hAnsi="Arial" w:cs="Arial"/>
          <w:sz w:val="24"/>
          <w:szCs w:val="24"/>
        </w:rPr>
      </w:pPr>
      <w:r w:rsidRPr="008541A0">
        <w:rPr>
          <w:rFonts w:ascii="Arial" w:hAnsi="Arial" w:cs="Arial"/>
          <w:sz w:val="24"/>
          <w:szCs w:val="24"/>
        </w:rPr>
        <w:t>Samsung's quarterly 5G revenue demonstrates significant seasonal volatility with Q1 peaking at $2.97 billion before declining $304 million to Q2's $2.67 billion, continuing downward to Q3's trough of $2.43 billion, then recovering to Q4's $2.71 billion, creating a $544 million swing that reveals challenging mid-year market conditions possibly from competitive pressures or consumer spending patterns, while confirming Q1 as optimal for major product launches and Q4 holiday season importance, indicating Samsung must develop more consistent demand generation strategies to address the consecutive Q2-Q3 weakness and capitalize on the strong seasonal bookends for sustained quarterly performance.</w:t>
      </w:r>
    </w:p>
    <w:p w14:paraId="384611B4" w14:textId="77777777" w:rsidR="00516139" w:rsidRDefault="00516139" w:rsidP="00516139">
      <w:pPr>
        <w:spacing w:line="360" w:lineRule="auto"/>
        <w:rPr>
          <w:rFonts w:ascii="Arial" w:hAnsi="Arial" w:cs="Arial"/>
          <w:sz w:val="24"/>
          <w:szCs w:val="24"/>
        </w:rPr>
      </w:pPr>
    </w:p>
    <w:p w14:paraId="1EEF0E02" w14:textId="1C962EA3" w:rsidR="00516139" w:rsidRDefault="00516139" w:rsidP="00126740">
      <w:pPr>
        <w:spacing w:line="360" w:lineRule="auto"/>
        <w:rPr>
          <w:rFonts w:ascii="Arial" w:hAnsi="Arial" w:cs="Arial"/>
          <w:b/>
          <w:bCs/>
          <w:sz w:val="24"/>
          <w:szCs w:val="24"/>
        </w:rPr>
      </w:pPr>
    </w:p>
    <w:p w14:paraId="20E1D7D8" w14:textId="77777777" w:rsidR="00126740" w:rsidRDefault="00126740" w:rsidP="00126740">
      <w:pPr>
        <w:spacing w:line="360" w:lineRule="auto"/>
        <w:rPr>
          <w:rFonts w:ascii="Arial" w:hAnsi="Arial" w:cs="Arial"/>
          <w:b/>
          <w:bCs/>
          <w:sz w:val="24"/>
          <w:szCs w:val="24"/>
        </w:rPr>
      </w:pPr>
    </w:p>
    <w:p w14:paraId="20E6B44E" w14:textId="77777777" w:rsidR="00126740" w:rsidRDefault="00126740" w:rsidP="00126740">
      <w:pPr>
        <w:spacing w:line="360" w:lineRule="auto"/>
        <w:rPr>
          <w:rFonts w:ascii="Arial" w:hAnsi="Arial" w:cs="Arial"/>
          <w:b/>
          <w:bCs/>
          <w:sz w:val="24"/>
          <w:szCs w:val="24"/>
        </w:rPr>
      </w:pPr>
    </w:p>
    <w:p w14:paraId="07289813" w14:textId="77777777" w:rsidR="00126740" w:rsidRDefault="00126740" w:rsidP="00126740">
      <w:pPr>
        <w:spacing w:line="360" w:lineRule="auto"/>
        <w:rPr>
          <w:rFonts w:ascii="Arial" w:hAnsi="Arial" w:cs="Arial"/>
          <w:b/>
          <w:bCs/>
          <w:sz w:val="24"/>
          <w:szCs w:val="24"/>
        </w:rPr>
      </w:pPr>
    </w:p>
    <w:p w14:paraId="3B19CC02" w14:textId="77777777" w:rsidR="00126740" w:rsidRDefault="00126740" w:rsidP="00126740">
      <w:pPr>
        <w:spacing w:line="360" w:lineRule="auto"/>
        <w:rPr>
          <w:rFonts w:ascii="Arial" w:hAnsi="Arial" w:cs="Arial"/>
          <w:b/>
          <w:bCs/>
          <w:sz w:val="24"/>
          <w:szCs w:val="24"/>
        </w:rPr>
      </w:pPr>
    </w:p>
    <w:p w14:paraId="0A535BE0" w14:textId="77777777" w:rsidR="00126740" w:rsidRDefault="00126740" w:rsidP="00126740">
      <w:pPr>
        <w:spacing w:line="360" w:lineRule="auto"/>
        <w:rPr>
          <w:rFonts w:ascii="Arial" w:hAnsi="Arial" w:cs="Arial"/>
          <w:b/>
          <w:bCs/>
          <w:sz w:val="24"/>
          <w:szCs w:val="24"/>
        </w:rPr>
      </w:pPr>
    </w:p>
    <w:p w14:paraId="655C30DB" w14:textId="77777777" w:rsidR="00126740" w:rsidRDefault="00126740" w:rsidP="00126740">
      <w:pPr>
        <w:spacing w:line="360" w:lineRule="auto"/>
        <w:rPr>
          <w:rFonts w:ascii="Arial" w:hAnsi="Arial" w:cs="Arial"/>
          <w:b/>
          <w:bCs/>
          <w:sz w:val="24"/>
          <w:szCs w:val="24"/>
        </w:rPr>
      </w:pPr>
    </w:p>
    <w:p w14:paraId="38093CAA" w14:textId="10C6859E" w:rsidR="00126740" w:rsidRDefault="00126740" w:rsidP="00126740">
      <w:pPr>
        <w:spacing w:line="360" w:lineRule="auto"/>
        <w:ind w:left="1440" w:firstLine="720"/>
        <w:rPr>
          <w:rFonts w:ascii="Arial" w:hAnsi="Arial" w:cs="Arial"/>
          <w:b/>
          <w:bCs/>
          <w:sz w:val="24"/>
          <w:szCs w:val="24"/>
        </w:rPr>
      </w:pPr>
      <w:r>
        <w:rPr>
          <w:rFonts w:ascii="Arial" w:hAnsi="Arial" w:cs="Arial"/>
          <w:b/>
          <w:bCs/>
          <w:sz w:val="24"/>
          <w:szCs w:val="24"/>
        </w:rPr>
        <w:t>TOP 5 PRODUCT MODELS BY REVENUE</w:t>
      </w:r>
    </w:p>
    <w:p w14:paraId="583587B2" w14:textId="77777777" w:rsidR="00126740" w:rsidRDefault="00126740" w:rsidP="00126740">
      <w:pPr>
        <w:spacing w:line="360" w:lineRule="auto"/>
        <w:ind w:left="1440" w:firstLine="720"/>
        <w:rPr>
          <w:rFonts w:ascii="Arial" w:hAnsi="Arial" w:cs="Arial"/>
          <w:b/>
          <w:bCs/>
          <w:sz w:val="24"/>
          <w:szCs w:val="24"/>
        </w:rPr>
      </w:pPr>
    </w:p>
    <w:p w14:paraId="64091F52" w14:textId="11E6D39C" w:rsidR="00126740" w:rsidRPr="00516139" w:rsidRDefault="00126740" w:rsidP="00126740">
      <w:pPr>
        <w:spacing w:line="360" w:lineRule="auto"/>
        <w:ind w:left="1440" w:firstLine="720"/>
        <w:rPr>
          <w:rFonts w:ascii="Arial" w:hAnsi="Arial" w:cs="Arial"/>
          <w:b/>
          <w:bCs/>
          <w:sz w:val="24"/>
          <w:szCs w:val="24"/>
        </w:rPr>
      </w:pPr>
      <w:r>
        <w:rPr>
          <w:noProof/>
        </w:rPr>
        <w:drawing>
          <wp:inline distT="0" distB="0" distL="0" distR="0" wp14:anchorId="5F50D479" wp14:editId="005E9494">
            <wp:extent cx="4895215" cy="2933700"/>
            <wp:effectExtent l="0" t="0" r="635" b="0"/>
            <wp:docPr id="1705188891" name="Chart 1">
              <a:extLst xmlns:a="http://schemas.openxmlformats.org/drawingml/2006/main">
                <a:ext uri="{FF2B5EF4-FFF2-40B4-BE49-F238E27FC236}">
                  <a16:creationId xmlns:a16="http://schemas.microsoft.com/office/drawing/2014/main" id="{DCA7C00C-4FBB-436E-9296-5B8B4A99C2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23270A0" w14:textId="37A7B339" w:rsidR="003173D7" w:rsidRDefault="00126740" w:rsidP="003173D7">
      <w:pPr>
        <w:spacing w:line="360" w:lineRule="auto"/>
        <w:rPr>
          <w:rFonts w:ascii="Arial" w:hAnsi="Arial" w:cs="Arial"/>
          <w:sz w:val="24"/>
          <w:szCs w:val="24"/>
        </w:rPr>
      </w:pPr>
      <w:r w:rsidRPr="00126740">
        <w:rPr>
          <w:rFonts w:ascii="Arial" w:hAnsi="Arial" w:cs="Arial"/>
          <w:sz w:val="24"/>
          <w:szCs w:val="24"/>
        </w:rPr>
        <w:t>Samsung's top 5 5G models generate over $4.36 billion in combined revenue with Galaxy A14 5G leading at $913.1 million despite only 00.16% market share, followed by Galaxy S23 5G's $894.8 million with 60.86% share, Galaxy S22 5G's $870.6 million with 07.43% share, Galaxy A52 5G's $863.1 million with 79.52% share, and Galaxy Z Fold2 5G's $824.9 million with 97.30% share, demonstrating Samsung's successful differentiated pricing strategy where premium models achieve high revenue through value-based pricing rather than volume sales, while the portfolio balance across flagship, mid-range, budget premium, and innovative foldable categories validates Samsung's market segmentation approach and confirms that strategic product concentration maximizes returns from select high-performing models rather than pursuing broad market share competition.</w:t>
      </w:r>
    </w:p>
    <w:p w14:paraId="4420388F" w14:textId="77777777" w:rsidR="003173D7" w:rsidRDefault="003173D7" w:rsidP="003173D7">
      <w:pPr>
        <w:spacing w:line="360" w:lineRule="auto"/>
        <w:rPr>
          <w:rFonts w:ascii="Arial" w:hAnsi="Arial" w:cs="Arial"/>
          <w:sz w:val="24"/>
          <w:szCs w:val="24"/>
        </w:rPr>
      </w:pPr>
    </w:p>
    <w:p w14:paraId="1C4B545E" w14:textId="77777777" w:rsidR="003173D7" w:rsidRDefault="003173D7" w:rsidP="003173D7">
      <w:pPr>
        <w:spacing w:line="360" w:lineRule="auto"/>
        <w:rPr>
          <w:rFonts w:ascii="Arial" w:hAnsi="Arial" w:cs="Arial"/>
          <w:sz w:val="24"/>
          <w:szCs w:val="24"/>
        </w:rPr>
      </w:pPr>
    </w:p>
    <w:p w14:paraId="6F5FF377" w14:textId="77777777" w:rsidR="003173D7" w:rsidRDefault="003173D7" w:rsidP="003173D7">
      <w:pPr>
        <w:spacing w:line="360" w:lineRule="auto"/>
        <w:rPr>
          <w:rFonts w:ascii="Arial" w:hAnsi="Arial" w:cs="Arial"/>
          <w:sz w:val="24"/>
          <w:szCs w:val="24"/>
        </w:rPr>
      </w:pPr>
    </w:p>
    <w:p w14:paraId="1C55BAF9" w14:textId="77777777" w:rsidR="003173D7" w:rsidRDefault="003173D7" w:rsidP="003173D7">
      <w:pPr>
        <w:spacing w:line="360" w:lineRule="auto"/>
        <w:rPr>
          <w:rFonts w:ascii="Arial" w:hAnsi="Arial" w:cs="Arial"/>
          <w:sz w:val="24"/>
          <w:szCs w:val="24"/>
        </w:rPr>
      </w:pPr>
    </w:p>
    <w:p w14:paraId="3B62C17C" w14:textId="77777777" w:rsidR="003173D7" w:rsidRDefault="003173D7" w:rsidP="003173D7">
      <w:pPr>
        <w:spacing w:line="360" w:lineRule="auto"/>
        <w:rPr>
          <w:rFonts w:ascii="Arial" w:hAnsi="Arial" w:cs="Arial"/>
          <w:sz w:val="24"/>
          <w:szCs w:val="24"/>
        </w:rPr>
      </w:pPr>
    </w:p>
    <w:p w14:paraId="0F8D03AA" w14:textId="77777777" w:rsidR="003173D7" w:rsidRDefault="003173D7" w:rsidP="003173D7">
      <w:pPr>
        <w:spacing w:line="360" w:lineRule="auto"/>
        <w:rPr>
          <w:rFonts w:ascii="Arial" w:hAnsi="Arial" w:cs="Arial"/>
          <w:sz w:val="24"/>
          <w:szCs w:val="24"/>
        </w:rPr>
      </w:pPr>
    </w:p>
    <w:p w14:paraId="49BB9C42" w14:textId="47DBE20C" w:rsidR="003173D7" w:rsidRDefault="00126740" w:rsidP="00126740">
      <w:pPr>
        <w:spacing w:line="360" w:lineRule="auto"/>
        <w:jc w:val="center"/>
        <w:rPr>
          <w:rFonts w:ascii="Arial" w:hAnsi="Arial" w:cs="Arial"/>
          <w:b/>
          <w:bCs/>
          <w:sz w:val="24"/>
          <w:szCs w:val="24"/>
        </w:rPr>
      </w:pPr>
      <w:r>
        <w:rPr>
          <w:rFonts w:ascii="Arial" w:hAnsi="Arial" w:cs="Arial"/>
          <w:b/>
          <w:bCs/>
          <w:sz w:val="24"/>
          <w:szCs w:val="24"/>
        </w:rPr>
        <w:t>TOP FIVE PRODUCTS MODELS BY UNITS SOLD</w:t>
      </w:r>
    </w:p>
    <w:p w14:paraId="7AB19FE5" w14:textId="77777777" w:rsidR="00126740" w:rsidRDefault="00126740" w:rsidP="00126740">
      <w:pPr>
        <w:spacing w:line="360" w:lineRule="auto"/>
        <w:jc w:val="center"/>
        <w:rPr>
          <w:rFonts w:ascii="Arial" w:hAnsi="Arial" w:cs="Arial"/>
          <w:b/>
          <w:bCs/>
          <w:sz w:val="24"/>
          <w:szCs w:val="24"/>
        </w:rPr>
      </w:pPr>
    </w:p>
    <w:p w14:paraId="73161299" w14:textId="26770AD7" w:rsidR="00126740" w:rsidRDefault="00126740" w:rsidP="00126740">
      <w:pPr>
        <w:spacing w:line="360" w:lineRule="auto"/>
        <w:jc w:val="center"/>
        <w:rPr>
          <w:rFonts w:ascii="Arial" w:hAnsi="Arial" w:cs="Arial"/>
          <w:b/>
          <w:bCs/>
          <w:sz w:val="24"/>
          <w:szCs w:val="24"/>
        </w:rPr>
      </w:pPr>
      <w:r>
        <w:rPr>
          <w:noProof/>
        </w:rPr>
        <w:drawing>
          <wp:inline distT="0" distB="0" distL="0" distR="0" wp14:anchorId="3FE79500" wp14:editId="5371A6BC">
            <wp:extent cx="6086475" cy="2876550"/>
            <wp:effectExtent l="0" t="0" r="9525" b="0"/>
            <wp:docPr id="1887775781" name="Chart 1">
              <a:extLst xmlns:a="http://schemas.openxmlformats.org/drawingml/2006/main">
                <a:ext uri="{FF2B5EF4-FFF2-40B4-BE49-F238E27FC236}">
                  <a16:creationId xmlns:a16="http://schemas.microsoft.com/office/drawing/2014/main" id="{8068F7E5-2F01-47F5-81F4-CB70228793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FAE46AA" w14:textId="77777777" w:rsidR="00126740" w:rsidRPr="00126740" w:rsidRDefault="00126740" w:rsidP="00126740">
      <w:pPr>
        <w:spacing w:line="360" w:lineRule="auto"/>
        <w:jc w:val="center"/>
        <w:rPr>
          <w:rFonts w:ascii="Arial" w:hAnsi="Arial" w:cs="Arial"/>
          <w:b/>
          <w:bCs/>
          <w:sz w:val="24"/>
          <w:szCs w:val="24"/>
        </w:rPr>
      </w:pPr>
    </w:p>
    <w:p w14:paraId="2DC4AF0F" w14:textId="79A0495D" w:rsidR="003173D7" w:rsidRDefault="00126740" w:rsidP="003173D7">
      <w:pPr>
        <w:spacing w:line="360" w:lineRule="auto"/>
        <w:rPr>
          <w:rFonts w:ascii="Arial" w:hAnsi="Arial" w:cs="Arial"/>
          <w:sz w:val="24"/>
          <w:szCs w:val="24"/>
        </w:rPr>
      </w:pPr>
      <w:r w:rsidRPr="00126740">
        <w:rPr>
          <w:rFonts w:ascii="Arial" w:hAnsi="Arial" w:cs="Arial"/>
          <w:sz w:val="24"/>
          <w:szCs w:val="24"/>
        </w:rPr>
        <w:t>Samsung's unit sales leadership is dominated by Galaxy Z Fold2 5G at 912,096 units, followed closely by Galaxy A73 5G (909,507), Galaxy Z Flip3 5G (901,892), Galaxy A52 5G (891,357), and Galaxy A14 5G (879,660), creating a remarkably consistent volume distribution within a narrow 32,436-unit range that validates Samsung's strategic innovation investment with two foldable models leading sales despite premium pricing, while three mid-range models (A73, A52, A14) confirm successful penetration of price-conscious segments, demonstrating Samsung's unique ability to drive substantial volume across both cutting-edge foldable technology and traditional smartphone categories without significant performance gaps, proving that consumer demand supports both innovative form factors and value-oriented offerings equally well in Samsung's diversified portfolio approach.</w:t>
      </w:r>
    </w:p>
    <w:p w14:paraId="19402690" w14:textId="77777777" w:rsidR="003173D7" w:rsidRDefault="003173D7" w:rsidP="003173D7">
      <w:pPr>
        <w:spacing w:line="360" w:lineRule="auto"/>
        <w:rPr>
          <w:rFonts w:ascii="Arial" w:hAnsi="Arial" w:cs="Arial"/>
          <w:sz w:val="24"/>
          <w:szCs w:val="24"/>
        </w:rPr>
      </w:pPr>
    </w:p>
    <w:p w14:paraId="5EA335D4" w14:textId="2FB710A5" w:rsidR="003173D7" w:rsidRPr="003173D7" w:rsidRDefault="00126740" w:rsidP="003173D7">
      <w:pPr>
        <w:spacing w:line="360" w:lineRule="auto"/>
        <w:jc w:val="center"/>
        <w:rPr>
          <w:rFonts w:ascii="Arial" w:hAnsi="Arial" w:cs="Arial"/>
          <w:b/>
          <w:bCs/>
          <w:sz w:val="24"/>
          <w:szCs w:val="24"/>
        </w:rPr>
      </w:pPr>
      <w:r>
        <w:rPr>
          <w:rFonts w:ascii="Arial" w:hAnsi="Arial" w:cs="Arial"/>
          <w:b/>
          <w:bCs/>
          <w:sz w:val="24"/>
          <w:szCs w:val="24"/>
        </w:rPr>
        <w:t>TOP FIVE MODELS BASED ON PERCENTAGE AVERAGE 5G PREFERENCE</w:t>
      </w:r>
    </w:p>
    <w:p w14:paraId="1705ED00" w14:textId="58D8EF13" w:rsidR="003173D7" w:rsidRDefault="00126740" w:rsidP="003173D7">
      <w:pPr>
        <w:spacing w:line="360" w:lineRule="auto"/>
        <w:rPr>
          <w:rFonts w:ascii="Arial" w:hAnsi="Arial" w:cs="Arial"/>
          <w:sz w:val="24"/>
          <w:szCs w:val="24"/>
        </w:rPr>
      </w:pPr>
      <w:r>
        <w:rPr>
          <w:rFonts w:ascii="Arial" w:hAnsi="Arial" w:cs="Arial"/>
          <w:noProof/>
          <w:sz w:val="24"/>
          <w:szCs w:val="24"/>
        </w:rPr>
        <w:drawing>
          <wp:inline distT="0" distB="0" distL="0" distR="0" wp14:anchorId="163556F9" wp14:editId="2505DCEE">
            <wp:extent cx="6413500" cy="2990850"/>
            <wp:effectExtent l="0" t="0" r="6350" b="0"/>
            <wp:docPr id="19940649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3500" cy="2990850"/>
                    </a:xfrm>
                    <a:prstGeom prst="rect">
                      <a:avLst/>
                    </a:prstGeom>
                    <a:noFill/>
                  </pic:spPr>
                </pic:pic>
              </a:graphicData>
            </a:graphic>
          </wp:inline>
        </w:drawing>
      </w:r>
    </w:p>
    <w:p w14:paraId="1B1134B2" w14:textId="73993275" w:rsidR="00C27A28" w:rsidRDefault="00126740" w:rsidP="003173D7">
      <w:pPr>
        <w:spacing w:line="360" w:lineRule="auto"/>
        <w:rPr>
          <w:rFonts w:ascii="Arial" w:hAnsi="Arial" w:cs="Arial"/>
          <w:sz w:val="24"/>
          <w:szCs w:val="24"/>
        </w:rPr>
      </w:pPr>
      <w:r w:rsidRPr="00126740">
        <w:rPr>
          <w:rFonts w:ascii="Arial" w:hAnsi="Arial" w:cs="Arial"/>
          <w:sz w:val="24"/>
          <w:szCs w:val="24"/>
        </w:rPr>
        <w:t>Samsung's 5G preference rankings reveal consumer prioritization of affordability over premium features, with Galaxy A14 5G leading at 77.21%, followed by Galaxy A73 5G (73.42%), Galaxy A52 5G (72.46%), Galaxy S22 5G (72.39%), and Galaxy S23 5G (71.86%), demonstrating an inverse relationship between device pricing and 5G adoption enthusiasm where four mid-range models dominate preference rankings, validating Samsung's democratization strategy for 5G technology through budget-friendly offerings while highlighting that the newest flagship S23 shows lowest preference despite premium positioning, indicating cost-conscious consumers prioritize accessible 5G connectivity over cutting-edge specifications and suggesting Samsung must better communicate flagship value propositions to justify premium pricing in the competitive 5G market where affordability drives adoption decisions more than advanced features.</w:t>
      </w:r>
    </w:p>
    <w:p w14:paraId="54E371D3" w14:textId="77777777" w:rsidR="00C27A28" w:rsidRDefault="00C27A28" w:rsidP="00C27A28">
      <w:pPr>
        <w:spacing w:line="360" w:lineRule="auto"/>
        <w:jc w:val="center"/>
        <w:rPr>
          <w:rFonts w:ascii="Arial" w:hAnsi="Arial" w:cs="Arial"/>
          <w:b/>
          <w:bCs/>
          <w:sz w:val="24"/>
          <w:szCs w:val="24"/>
        </w:rPr>
      </w:pPr>
    </w:p>
    <w:p w14:paraId="74F83A5B" w14:textId="77777777" w:rsidR="00C27A28" w:rsidRDefault="00C27A28" w:rsidP="00C27A28">
      <w:pPr>
        <w:spacing w:line="360" w:lineRule="auto"/>
        <w:jc w:val="center"/>
        <w:rPr>
          <w:rFonts w:ascii="Arial" w:hAnsi="Arial" w:cs="Arial"/>
          <w:b/>
          <w:bCs/>
          <w:sz w:val="24"/>
          <w:szCs w:val="24"/>
        </w:rPr>
      </w:pPr>
    </w:p>
    <w:p w14:paraId="456EB6F4" w14:textId="77777777" w:rsidR="00C27A28" w:rsidRDefault="00C27A28" w:rsidP="00C27A28">
      <w:pPr>
        <w:spacing w:line="360" w:lineRule="auto"/>
        <w:jc w:val="center"/>
        <w:rPr>
          <w:rFonts w:ascii="Arial" w:hAnsi="Arial" w:cs="Arial"/>
          <w:b/>
          <w:bCs/>
          <w:sz w:val="24"/>
          <w:szCs w:val="24"/>
        </w:rPr>
      </w:pPr>
    </w:p>
    <w:p w14:paraId="5A1FBF1E" w14:textId="77777777" w:rsidR="00C27A28" w:rsidRDefault="00C27A28" w:rsidP="00C27A28">
      <w:pPr>
        <w:spacing w:line="360" w:lineRule="auto"/>
        <w:jc w:val="center"/>
        <w:rPr>
          <w:rFonts w:ascii="Arial" w:hAnsi="Arial" w:cs="Arial"/>
          <w:b/>
          <w:bCs/>
          <w:sz w:val="24"/>
          <w:szCs w:val="24"/>
        </w:rPr>
      </w:pPr>
    </w:p>
    <w:p w14:paraId="36DADA51" w14:textId="77777777" w:rsidR="00C27A28" w:rsidRDefault="00C27A28" w:rsidP="00C27A28">
      <w:pPr>
        <w:spacing w:line="360" w:lineRule="auto"/>
        <w:jc w:val="center"/>
        <w:rPr>
          <w:rFonts w:ascii="Arial" w:hAnsi="Arial" w:cs="Arial"/>
          <w:b/>
          <w:bCs/>
          <w:sz w:val="24"/>
          <w:szCs w:val="24"/>
        </w:rPr>
      </w:pPr>
    </w:p>
    <w:p w14:paraId="7249A357" w14:textId="77777777" w:rsidR="00C27A28" w:rsidRDefault="00C27A28" w:rsidP="00C27A28">
      <w:pPr>
        <w:spacing w:line="360" w:lineRule="auto"/>
        <w:jc w:val="center"/>
        <w:rPr>
          <w:rFonts w:ascii="Arial" w:hAnsi="Arial" w:cs="Arial"/>
          <w:b/>
          <w:bCs/>
          <w:sz w:val="24"/>
          <w:szCs w:val="24"/>
        </w:rPr>
      </w:pPr>
    </w:p>
    <w:p w14:paraId="19C262EC" w14:textId="77777777" w:rsidR="00114228" w:rsidRDefault="00114228" w:rsidP="00114228">
      <w:pPr>
        <w:spacing w:line="360" w:lineRule="auto"/>
        <w:rPr>
          <w:rFonts w:ascii="Arial" w:hAnsi="Arial" w:cs="Arial"/>
          <w:sz w:val="24"/>
          <w:szCs w:val="24"/>
        </w:rPr>
      </w:pPr>
    </w:p>
    <w:p w14:paraId="09A8E0F2" w14:textId="77777777" w:rsidR="00C27A28" w:rsidRPr="00A34DD9" w:rsidRDefault="00C27A28" w:rsidP="00A34DD9">
      <w:pPr>
        <w:spacing w:line="360" w:lineRule="auto"/>
        <w:rPr>
          <w:rFonts w:ascii="Arial" w:hAnsi="Arial" w:cs="Arial"/>
          <w:b/>
          <w:bCs/>
          <w:sz w:val="24"/>
          <w:szCs w:val="24"/>
        </w:rPr>
      </w:pPr>
    </w:p>
    <w:p w14:paraId="7CF9E056" w14:textId="4CCB06C1" w:rsidR="008B46E4" w:rsidRDefault="00A97FEB" w:rsidP="00C022EA">
      <w:pPr>
        <w:tabs>
          <w:tab w:val="left" w:pos="915"/>
        </w:tabs>
        <w:jc w:val="center"/>
        <w:rPr>
          <w:rFonts w:ascii="Arial" w:hAnsi="Arial" w:cs="Arial"/>
          <w:b/>
          <w:bCs/>
          <w:sz w:val="24"/>
          <w:szCs w:val="24"/>
        </w:rPr>
      </w:pPr>
      <w:r w:rsidRPr="00A97FEB">
        <w:rPr>
          <w:rFonts w:ascii="Arial" w:hAnsi="Arial" w:cs="Arial"/>
          <w:b/>
          <w:bCs/>
          <w:sz w:val="24"/>
          <w:szCs w:val="24"/>
        </w:rPr>
        <w:t>FINAL DASHBOARD</w:t>
      </w:r>
    </w:p>
    <w:p w14:paraId="4B2D43AA" w14:textId="23E1FE2E" w:rsidR="007E2AF0" w:rsidRDefault="00126740" w:rsidP="00C022EA">
      <w:pPr>
        <w:tabs>
          <w:tab w:val="left" w:pos="915"/>
        </w:tabs>
        <w:jc w:val="center"/>
        <w:rPr>
          <w:rFonts w:ascii="Arial" w:hAnsi="Arial" w:cs="Arial"/>
          <w:b/>
          <w:bCs/>
          <w:sz w:val="24"/>
          <w:szCs w:val="24"/>
        </w:rPr>
      </w:pPr>
      <w:r>
        <w:rPr>
          <w:noProof/>
        </w:rPr>
        <w:drawing>
          <wp:inline distT="0" distB="0" distL="0" distR="0" wp14:anchorId="4EF0D761" wp14:editId="0D1D6122">
            <wp:extent cx="6324600" cy="3524250"/>
            <wp:effectExtent l="0" t="0" r="0" b="0"/>
            <wp:docPr id="4538168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4600" cy="3524250"/>
                    </a:xfrm>
                    <a:prstGeom prst="rect">
                      <a:avLst/>
                    </a:prstGeom>
                    <a:noFill/>
                    <a:ln>
                      <a:noFill/>
                    </a:ln>
                  </pic:spPr>
                </pic:pic>
              </a:graphicData>
            </a:graphic>
          </wp:inline>
        </w:drawing>
      </w:r>
    </w:p>
    <w:p w14:paraId="0507A6C1" w14:textId="232FC1D3" w:rsidR="008B46E4" w:rsidRDefault="008B46E4" w:rsidP="00A97FEB">
      <w:pPr>
        <w:tabs>
          <w:tab w:val="left" w:pos="915"/>
        </w:tabs>
        <w:jc w:val="center"/>
        <w:rPr>
          <w:rFonts w:ascii="Arial" w:hAnsi="Arial" w:cs="Arial"/>
          <w:b/>
          <w:bCs/>
          <w:sz w:val="24"/>
          <w:szCs w:val="24"/>
        </w:rPr>
      </w:pPr>
    </w:p>
    <w:p w14:paraId="156804A6" w14:textId="6897C5B3" w:rsidR="00A97FEB" w:rsidRDefault="00A97FEB" w:rsidP="00A97FEB">
      <w:pPr>
        <w:tabs>
          <w:tab w:val="left" w:pos="915"/>
        </w:tabs>
        <w:jc w:val="center"/>
        <w:rPr>
          <w:rFonts w:ascii="Arial" w:hAnsi="Arial" w:cs="Arial"/>
          <w:b/>
          <w:bCs/>
          <w:sz w:val="24"/>
          <w:szCs w:val="24"/>
        </w:rPr>
      </w:pPr>
    </w:p>
    <w:p w14:paraId="39E9B607" w14:textId="18099A84" w:rsidR="00FE6E51" w:rsidRDefault="00CE1D1C" w:rsidP="00CE1D1C">
      <w:pPr>
        <w:tabs>
          <w:tab w:val="left" w:pos="915"/>
        </w:tabs>
        <w:rPr>
          <w:rFonts w:ascii="Arial" w:hAnsi="Arial" w:cs="Arial"/>
          <w:sz w:val="24"/>
          <w:szCs w:val="24"/>
        </w:rPr>
      </w:pPr>
      <w:r>
        <w:rPr>
          <w:rFonts w:ascii="Arial" w:hAnsi="Arial" w:cs="Arial"/>
          <w:sz w:val="24"/>
          <w:szCs w:val="24"/>
        </w:rPr>
        <w:t xml:space="preserve">The final dashboard highlights the combined </w:t>
      </w:r>
      <w:r w:rsidR="00FE6E51">
        <w:rPr>
          <w:rFonts w:ascii="Arial" w:hAnsi="Arial" w:cs="Arial"/>
          <w:sz w:val="24"/>
          <w:szCs w:val="24"/>
        </w:rPr>
        <w:t xml:space="preserve">correlations and </w:t>
      </w:r>
      <w:r w:rsidR="007E2AF0">
        <w:rPr>
          <w:rFonts w:ascii="Arial" w:hAnsi="Arial" w:cs="Arial"/>
          <w:sz w:val="24"/>
          <w:szCs w:val="24"/>
        </w:rPr>
        <w:t>relationship between</w:t>
      </w:r>
      <w:r w:rsidR="00FE6E51">
        <w:rPr>
          <w:rFonts w:ascii="Arial" w:hAnsi="Arial" w:cs="Arial"/>
          <w:sz w:val="24"/>
          <w:szCs w:val="24"/>
        </w:rPr>
        <w:t xml:space="preserve"> the individual charts with the help of slicers. </w:t>
      </w:r>
    </w:p>
    <w:p w14:paraId="6DC27DDD" w14:textId="77777777" w:rsidR="00B35BDD" w:rsidRDefault="00B35BDD" w:rsidP="00CE1D1C">
      <w:pPr>
        <w:tabs>
          <w:tab w:val="left" w:pos="915"/>
        </w:tabs>
        <w:rPr>
          <w:rFonts w:ascii="Arial" w:hAnsi="Arial" w:cs="Arial"/>
          <w:sz w:val="24"/>
          <w:szCs w:val="24"/>
        </w:rPr>
      </w:pPr>
    </w:p>
    <w:p w14:paraId="4EC7E2A6" w14:textId="0D19010F" w:rsidR="00FE6E51" w:rsidRDefault="00FE6E51" w:rsidP="00FE6E51">
      <w:pPr>
        <w:tabs>
          <w:tab w:val="left" w:pos="915"/>
        </w:tabs>
        <w:jc w:val="center"/>
        <w:rPr>
          <w:rFonts w:ascii="Arial" w:hAnsi="Arial" w:cs="Arial"/>
          <w:b/>
          <w:bCs/>
          <w:color w:val="000000"/>
          <w:sz w:val="24"/>
          <w:szCs w:val="24"/>
        </w:rPr>
      </w:pPr>
      <w:r w:rsidRPr="00FE6E51">
        <w:rPr>
          <w:rFonts w:ascii="Arial" w:hAnsi="Arial" w:cs="Arial"/>
          <w:b/>
          <w:bCs/>
          <w:color w:val="000000"/>
          <w:sz w:val="24"/>
          <w:szCs w:val="24"/>
        </w:rPr>
        <w:t>OBSERVATIONS</w:t>
      </w:r>
      <w:r w:rsidR="00A34DD9">
        <w:rPr>
          <w:rFonts w:ascii="Arial" w:hAnsi="Arial" w:cs="Arial"/>
          <w:b/>
          <w:bCs/>
          <w:color w:val="000000"/>
          <w:sz w:val="24"/>
          <w:szCs w:val="24"/>
        </w:rPr>
        <w:t xml:space="preserve"> AND ACTIONABLE RECOMENDATIONS</w:t>
      </w:r>
    </w:p>
    <w:p w14:paraId="638FE138" w14:textId="77777777" w:rsidR="00126740" w:rsidRPr="00126740" w:rsidRDefault="00126740" w:rsidP="00126740">
      <w:pPr>
        <w:tabs>
          <w:tab w:val="left" w:pos="915"/>
        </w:tabs>
        <w:rPr>
          <w:rFonts w:ascii="Arial" w:hAnsi="Arial" w:cs="Arial"/>
          <w:b/>
          <w:bCs/>
          <w:color w:val="000000"/>
          <w:sz w:val="24"/>
          <w:szCs w:val="24"/>
        </w:rPr>
      </w:pPr>
      <w:r w:rsidRPr="00126740">
        <w:rPr>
          <w:rFonts w:ascii="Arial" w:hAnsi="Arial" w:cs="Arial"/>
          <w:b/>
          <w:bCs/>
          <w:color w:val="000000"/>
          <w:sz w:val="24"/>
          <w:szCs w:val="24"/>
        </w:rPr>
        <w:t>Key Observations</w:t>
      </w:r>
    </w:p>
    <w:p w14:paraId="21C011D0" w14:textId="77777777" w:rsidR="00126740" w:rsidRPr="00126740" w:rsidRDefault="00126740" w:rsidP="00126740">
      <w:pPr>
        <w:tabs>
          <w:tab w:val="left" w:pos="915"/>
        </w:tabs>
        <w:rPr>
          <w:rFonts w:ascii="Arial" w:hAnsi="Arial" w:cs="Arial"/>
          <w:color w:val="000000"/>
          <w:sz w:val="24"/>
          <w:szCs w:val="24"/>
        </w:rPr>
      </w:pPr>
      <w:r w:rsidRPr="00126740">
        <w:rPr>
          <w:rFonts w:ascii="Arial" w:hAnsi="Arial" w:cs="Arial"/>
          <w:b/>
          <w:bCs/>
          <w:color w:val="000000"/>
          <w:sz w:val="24"/>
          <w:szCs w:val="24"/>
        </w:rPr>
        <w:t>Revenue Performance:</w:t>
      </w:r>
    </w:p>
    <w:p w14:paraId="607824B0" w14:textId="77777777" w:rsidR="00126740" w:rsidRPr="00126740" w:rsidRDefault="00126740" w:rsidP="00126740">
      <w:pPr>
        <w:tabs>
          <w:tab w:val="left" w:pos="915"/>
        </w:tabs>
        <w:ind w:left="360"/>
        <w:rPr>
          <w:rFonts w:ascii="Arial" w:hAnsi="Arial" w:cs="Arial"/>
          <w:color w:val="000000"/>
          <w:sz w:val="24"/>
          <w:szCs w:val="24"/>
        </w:rPr>
      </w:pPr>
      <w:r w:rsidRPr="00126740">
        <w:rPr>
          <w:rFonts w:ascii="Arial" w:hAnsi="Arial" w:cs="Arial"/>
          <w:color w:val="000000"/>
          <w:sz w:val="24"/>
          <w:szCs w:val="24"/>
        </w:rPr>
        <w:lastRenderedPageBreak/>
        <w:t xml:space="preserve">Total revenue of $10.77 billion over the 6-year period shows </w:t>
      </w:r>
      <w:proofErr w:type="gramStart"/>
      <w:r w:rsidRPr="00126740">
        <w:rPr>
          <w:rFonts w:ascii="Arial" w:hAnsi="Arial" w:cs="Arial"/>
          <w:color w:val="000000"/>
          <w:sz w:val="24"/>
          <w:szCs w:val="24"/>
        </w:rPr>
        <w:t>strong</w:t>
      </w:r>
      <w:proofErr w:type="gramEnd"/>
      <w:r w:rsidRPr="00126740">
        <w:rPr>
          <w:rFonts w:ascii="Arial" w:hAnsi="Arial" w:cs="Arial"/>
          <w:color w:val="000000"/>
          <w:sz w:val="24"/>
          <w:szCs w:val="24"/>
        </w:rPr>
        <w:t xml:space="preserve"> market presence</w:t>
      </w:r>
    </w:p>
    <w:p w14:paraId="7C2462C1" w14:textId="77777777" w:rsidR="00126740" w:rsidRPr="00126740" w:rsidRDefault="00126740" w:rsidP="00126740">
      <w:pPr>
        <w:tabs>
          <w:tab w:val="left" w:pos="915"/>
        </w:tabs>
        <w:ind w:left="360"/>
        <w:rPr>
          <w:rFonts w:ascii="Arial" w:hAnsi="Arial" w:cs="Arial"/>
          <w:color w:val="000000"/>
          <w:sz w:val="24"/>
          <w:szCs w:val="24"/>
        </w:rPr>
      </w:pPr>
      <w:r w:rsidRPr="00126740">
        <w:rPr>
          <w:rFonts w:ascii="Arial" w:hAnsi="Arial" w:cs="Arial"/>
          <w:color w:val="000000"/>
          <w:sz w:val="24"/>
          <w:szCs w:val="24"/>
        </w:rPr>
        <w:t>Revenue peaked in 2021 at $1.95 billion but declined significantly by 2024 to $1.33 billion</w:t>
      </w:r>
    </w:p>
    <w:p w14:paraId="1AED78C2" w14:textId="77777777" w:rsidR="00126740" w:rsidRPr="00126740" w:rsidRDefault="00126740" w:rsidP="00126740">
      <w:pPr>
        <w:tabs>
          <w:tab w:val="left" w:pos="915"/>
        </w:tabs>
        <w:ind w:left="360"/>
        <w:rPr>
          <w:rFonts w:ascii="Arial" w:hAnsi="Arial" w:cs="Arial"/>
          <w:color w:val="000000"/>
          <w:sz w:val="24"/>
          <w:szCs w:val="24"/>
        </w:rPr>
      </w:pPr>
      <w:r w:rsidRPr="00126740">
        <w:rPr>
          <w:rFonts w:ascii="Arial" w:hAnsi="Arial" w:cs="Arial"/>
          <w:color w:val="000000"/>
          <w:sz w:val="24"/>
          <w:szCs w:val="24"/>
        </w:rPr>
        <w:t>This 32% decline from peak suggests market saturation or increased competition</w:t>
      </w:r>
    </w:p>
    <w:p w14:paraId="233E5AA8" w14:textId="77777777" w:rsidR="00126740" w:rsidRPr="00126740" w:rsidRDefault="00126740" w:rsidP="00126740">
      <w:pPr>
        <w:tabs>
          <w:tab w:val="left" w:pos="915"/>
        </w:tabs>
        <w:rPr>
          <w:rFonts w:ascii="Arial" w:hAnsi="Arial" w:cs="Arial"/>
          <w:color w:val="000000"/>
          <w:sz w:val="24"/>
          <w:szCs w:val="24"/>
        </w:rPr>
      </w:pPr>
      <w:r w:rsidRPr="00126740">
        <w:rPr>
          <w:rFonts w:ascii="Arial" w:hAnsi="Arial" w:cs="Arial"/>
          <w:b/>
          <w:bCs/>
          <w:color w:val="000000"/>
          <w:sz w:val="24"/>
          <w:szCs w:val="24"/>
        </w:rPr>
        <w:t>Regional Performance:</w:t>
      </w:r>
    </w:p>
    <w:p w14:paraId="2A28B101" w14:textId="77777777" w:rsidR="00126740" w:rsidRPr="00126740" w:rsidRDefault="00126740" w:rsidP="00126740">
      <w:pPr>
        <w:tabs>
          <w:tab w:val="left" w:pos="915"/>
        </w:tabs>
        <w:ind w:left="360"/>
        <w:rPr>
          <w:rFonts w:ascii="Arial" w:hAnsi="Arial" w:cs="Arial"/>
          <w:color w:val="000000"/>
          <w:sz w:val="24"/>
          <w:szCs w:val="24"/>
        </w:rPr>
      </w:pPr>
      <w:r w:rsidRPr="00126740">
        <w:rPr>
          <w:rFonts w:ascii="Arial" w:hAnsi="Arial" w:cs="Arial"/>
          <w:color w:val="000000"/>
          <w:sz w:val="24"/>
          <w:szCs w:val="24"/>
        </w:rPr>
        <w:t>Asia-Pacific dominates with 37.57% of revenue, followed by Europe (23.38%) and North America (19.30%)</w:t>
      </w:r>
    </w:p>
    <w:p w14:paraId="761B4243" w14:textId="77777777" w:rsidR="00126740" w:rsidRPr="00126740" w:rsidRDefault="00126740" w:rsidP="00126740">
      <w:pPr>
        <w:tabs>
          <w:tab w:val="left" w:pos="915"/>
        </w:tabs>
        <w:ind w:left="360"/>
        <w:rPr>
          <w:rFonts w:ascii="Arial" w:hAnsi="Arial" w:cs="Arial"/>
          <w:color w:val="000000"/>
          <w:sz w:val="24"/>
          <w:szCs w:val="24"/>
        </w:rPr>
      </w:pPr>
      <w:r w:rsidRPr="00126740">
        <w:rPr>
          <w:rFonts w:ascii="Arial" w:hAnsi="Arial" w:cs="Arial"/>
          <w:color w:val="000000"/>
          <w:sz w:val="24"/>
          <w:szCs w:val="24"/>
        </w:rPr>
        <w:t>Latin America shows the highest 5G coverage at 69.86%, indicating strong infrastructure adoption</w:t>
      </w:r>
    </w:p>
    <w:p w14:paraId="0EC9E873" w14:textId="77777777" w:rsidR="00126740" w:rsidRPr="00126740" w:rsidRDefault="00126740" w:rsidP="00126740">
      <w:pPr>
        <w:tabs>
          <w:tab w:val="left" w:pos="915"/>
        </w:tabs>
        <w:ind w:left="360"/>
        <w:rPr>
          <w:rFonts w:ascii="Arial" w:hAnsi="Arial" w:cs="Arial"/>
          <w:color w:val="000000"/>
          <w:sz w:val="24"/>
          <w:szCs w:val="24"/>
        </w:rPr>
      </w:pPr>
      <w:r w:rsidRPr="00126740">
        <w:rPr>
          <w:rFonts w:ascii="Arial" w:hAnsi="Arial" w:cs="Arial"/>
          <w:color w:val="000000"/>
          <w:sz w:val="24"/>
          <w:szCs w:val="24"/>
        </w:rPr>
        <w:t>Despite high coverage, Latin America contributes only 00.10% to revenue, suggesting pricing or volume challenges</w:t>
      </w:r>
    </w:p>
    <w:p w14:paraId="72E72AAA" w14:textId="77777777" w:rsidR="00126740" w:rsidRPr="00126740" w:rsidRDefault="00126740" w:rsidP="00126740">
      <w:pPr>
        <w:tabs>
          <w:tab w:val="left" w:pos="915"/>
        </w:tabs>
        <w:rPr>
          <w:rFonts w:ascii="Arial" w:hAnsi="Arial" w:cs="Arial"/>
          <w:color w:val="000000"/>
          <w:sz w:val="24"/>
          <w:szCs w:val="24"/>
        </w:rPr>
      </w:pPr>
      <w:r w:rsidRPr="00126740">
        <w:rPr>
          <w:rFonts w:ascii="Arial" w:hAnsi="Arial" w:cs="Arial"/>
          <w:b/>
          <w:bCs/>
          <w:color w:val="000000"/>
          <w:sz w:val="24"/>
          <w:szCs w:val="24"/>
        </w:rPr>
        <w:t>Product Portfolio:</w:t>
      </w:r>
    </w:p>
    <w:p w14:paraId="295CA003" w14:textId="77777777" w:rsidR="00126740" w:rsidRPr="00126740" w:rsidRDefault="00126740" w:rsidP="00126740">
      <w:pPr>
        <w:tabs>
          <w:tab w:val="left" w:pos="915"/>
        </w:tabs>
        <w:ind w:left="360"/>
        <w:rPr>
          <w:rFonts w:ascii="Arial" w:hAnsi="Arial" w:cs="Arial"/>
          <w:color w:val="000000"/>
          <w:sz w:val="24"/>
          <w:szCs w:val="24"/>
        </w:rPr>
      </w:pPr>
      <w:r w:rsidRPr="00126740">
        <w:rPr>
          <w:rFonts w:ascii="Arial" w:hAnsi="Arial" w:cs="Arial"/>
          <w:color w:val="000000"/>
          <w:sz w:val="24"/>
          <w:szCs w:val="24"/>
        </w:rPr>
        <w:t>Galaxy Z Fold2 5G is the top-selling model with 912,096 units and highest revenue ($913.1M)</w:t>
      </w:r>
    </w:p>
    <w:p w14:paraId="61736E6D" w14:textId="77777777" w:rsidR="00126740" w:rsidRPr="00126740" w:rsidRDefault="00126740" w:rsidP="00126740">
      <w:pPr>
        <w:tabs>
          <w:tab w:val="left" w:pos="915"/>
        </w:tabs>
        <w:ind w:left="360"/>
        <w:rPr>
          <w:rFonts w:ascii="Arial" w:hAnsi="Arial" w:cs="Arial"/>
          <w:color w:val="000000"/>
          <w:sz w:val="24"/>
          <w:szCs w:val="24"/>
        </w:rPr>
      </w:pPr>
      <w:r w:rsidRPr="00126740">
        <w:rPr>
          <w:rFonts w:ascii="Arial" w:hAnsi="Arial" w:cs="Arial"/>
          <w:color w:val="000000"/>
          <w:sz w:val="24"/>
          <w:szCs w:val="24"/>
        </w:rPr>
        <w:t>Strong performance across premium models (Galaxy A14, S23, S22, A52)</w:t>
      </w:r>
    </w:p>
    <w:p w14:paraId="2460358C" w14:textId="77777777" w:rsidR="00126740" w:rsidRPr="00126740" w:rsidRDefault="00126740" w:rsidP="00126740">
      <w:pPr>
        <w:tabs>
          <w:tab w:val="left" w:pos="915"/>
        </w:tabs>
        <w:ind w:left="360"/>
        <w:rPr>
          <w:rFonts w:ascii="Arial" w:hAnsi="Arial" w:cs="Arial"/>
          <w:color w:val="000000"/>
          <w:sz w:val="24"/>
          <w:szCs w:val="24"/>
        </w:rPr>
      </w:pPr>
      <w:r w:rsidRPr="00126740">
        <w:rPr>
          <w:rFonts w:ascii="Arial" w:hAnsi="Arial" w:cs="Arial"/>
          <w:color w:val="000000"/>
          <w:sz w:val="24"/>
          <w:szCs w:val="24"/>
        </w:rPr>
        <w:t xml:space="preserve">Galaxy A14 5G shows </w:t>
      </w:r>
      <w:proofErr w:type="gramStart"/>
      <w:r w:rsidRPr="00126740">
        <w:rPr>
          <w:rFonts w:ascii="Arial" w:hAnsi="Arial" w:cs="Arial"/>
          <w:color w:val="000000"/>
          <w:sz w:val="24"/>
          <w:szCs w:val="24"/>
        </w:rPr>
        <w:t>highest</w:t>
      </w:r>
      <w:proofErr w:type="gramEnd"/>
      <w:r w:rsidRPr="00126740">
        <w:rPr>
          <w:rFonts w:ascii="Arial" w:hAnsi="Arial" w:cs="Arial"/>
          <w:color w:val="000000"/>
          <w:sz w:val="24"/>
          <w:szCs w:val="24"/>
        </w:rPr>
        <w:t xml:space="preserve"> 5G preference at 77.21%, indicating consumer demand for affordable 5G</w:t>
      </w:r>
    </w:p>
    <w:p w14:paraId="19F30F8F" w14:textId="77777777" w:rsidR="00126740" w:rsidRPr="00126740" w:rsidRDefault="00126740" w:rsidP="00126740">
      <w:pPr>
        <w:tabs>
          <w:tab w:val="left" w:pos="915"/>
        </w:tabs>
        <w:rPr>
          <w:rFonts w:ascii="Arial" w:hAnsi="Arial" w:cs="Arial"/>
          <w:color w:val="000000"/>
          <w:sz w:val="24"/>
          <w:szCs w:val="24"/>
        </w:rPr>
      </w:pPr>
      <w:r w:rsidRPr="00126740">
        <w:rPr>
          <w:rFonts w:ascii="Arial" w:hAnsi="Arial" w:cs="Arial"/>
          <w:b/>
          <w:bCs/>
          <w:color w:val="000000"/>
          <w:sz w:val="24"/>
          <w:szCs w:val="24"/>
        </w:rPr>
        <w:t>Quarterly Trends:</w:t>
      </w:r>
    </w:p>
    <w:p w14:paraId="1CA8904E" w14:textId="77777777" w:rsidR="00126740" w:rsidRPr="00126740" w:rsidRDefault="00126740" w:rsidP="00126740">
      <w:pPr>
        <w:tabs>
          <w:tab w:val="left" w:pos="915"/>
        </w:tabs>
        <w:ind w:left="360"/>
        <w:rPr>
          <w:rFonts w:ascii="Arial" w:hAnsi="Arial" w:cs="Arial"/>
          <w:color w:val="000000"/>
          <w:sz w:val="24"/>
          <w:szCs w:val="24"/>
        </w:rPr>
      </w:pPr>
      <w:r w:rsidRPr="00126740">
        <w:rPr>
          <w:rFonts w:ascii="Arial" w:hAnsi="Arial" w:cs="Arial"/>
          <w:color w:val="000000"/>
          <w:sz w:val="24"/>
          <w:szCs w:val="24"/>
        </w:rPr>
        <w:t>Q1 shows strongest performance with $2.97 billion</w:t>
      </w:r>
    </w:p>
    <w:p w14:paraId="09B4D263" w14:textId="77777777" w:rsidR="00126740" w:rsidRPr="00126740" w:rsidRDefault="00126740" w:rsidP="00126740">
      <w:pPr>
        <w:tabs>
          <w:tab w:val="left" w:pos="915"/>
        </w:tabs>
        <w:ind w:left="360"/>
        <w:rPr>
          <w:rFonts w:ascii="Arial" w:hAnsi="Arial" w:cs="Arial"/>
          <w:color w:val="000000"/>
          <w:sz w:val="24"/>
          <w:szCs w:val="24"/>
        </w:rPr>
      </w:pPr>
      <w:r w:rsidRPr="00126740">
        <w:rPr>
          <w:rFonts w:ascii="Arial" w:hAnsi="Arial" w:cs="Arial"/>
          <w:color w:val="000000"/>
          <w:sz w:val="24"/>
          <w:szCs w:val="24"/>
        </w:rPr>
        <w:t>Consistent decline through quarters, ending at $2.71 billion in Q4</w:t>
      </w:r>
    </w:p>
    <w:p w14:paraId="78F7CF77" w14:textId="77777777" w:rsidR="00126740" w:rsidRPr="00126740" w:rsidRDefault="00126740" w:rsidP="00126740">
      <w:pPr>
        <w:tabs>
          <w:tab w:val="left" w:pos="915"/>
        </w:tabs>
        <w:rPr>
          <w:rFonts w:ascii="Arial" w:hAnsi="Arial" w:cs="Arial"/>
          <w:b/>
          <w:bCs/>
          <w:color w:val="000000"/>
          <w:sz w:val="24"/>
          <w:szCs w:val="24"/>
        </w:rPr>
      </w:pPr>
      <w:r w:rsidRPr="00126740">
        <w:rPr>
          <w:rFonts w:ascii="Arial" w:hAnsi="Arial" w:cs="Arial"/>
          <w:b/>
          <w:bCs/>
          <w:color w:val="000000"/>
          <w:sz w:val="24"/>
          <w:szCs w:val="24"/>
        </w:rPr>
        <w:t>Actionable Recommendations</w:t>
      </w:r>
    </w:p>
    <w:p w14:paraId="55DF0E93" w14:textId="77777777" w:rsidR="00126740" w:rsidRPr="00126740" w:rsidRDefault="00126740" w:rsidP="00126740">
      <w:pPr>
        <w:tabs>
          <w:tab w:val="left" w:pos="915"/>
        </w:tabs>
        <w:rPr>
          <w:rFonts w:ascii="Arial" w:hAnsi="Arial" w:cs="Arial"/>
          <w:color w:val="000000"/>
          <w:sz w:val="24"/>
          <w:szCs w:val="24"/>
        </w:rPr>
      </w:pPr>
      <w:r w:rsidRPr="00126740">
        <w:rPr>
          <w:rFonts w:ascii="Arial" w:hAnsi="Arial" w:cs="Arial"/>
          <w:b/>
          <w:bCs/>
          <w:color w:val="000000"/>
          <w:sz w:val="24"/>
          <w:szCs w:val="24"/>
        </w:rPr>
        <w:t>1. Market Recovery Strategy</w:t>
      </w:r>
    </w:p>
    <w:p w14:paraId="693F1177" w14:textId="77777777" w:rsidR="00126740" w:rsidRPr="00126740" w:rsidRDefault="00126740" w:rsidP="00126740">
      <w:pPr>
        <w:tabs>
          <w:tab w:val="left" w:pos="915"/>
        </w:tabs>
        <w:ind w:left="360"/>
        <w:rPr>
          <w:rFonts w:ascii="Arial" w:hAnsi="Arial" w:cs="Arial"/>
          <w:color w:val="000000"/>
          <w:sz w:val="24"/>
          <w:szCs w:val="24"/>
        </w:rPr>
      </w:pPr>
      <w:r w:rsidRPr="00126740">
        <w:rPr>
          <w:rFonts w:ascii="Arial" w:hAnsi="Arial" w:cs="Arial"/>
          <w:color w:val="000000"/>
          <w:sz w:val="24"/>
          <w:szCs w:val="24"/>
        </w:rPr>
        <w:t>Investigate root causes of 2024 revenue decline through competitor analysis and market research</w:t>
      </w:r>
    </w:p>
    <w:p w14:paraId="338DE9EF" w14:textId="77777777" w:rsidR="00126740" w:rsidRPr="00126740" w:rsidRDefault="00126740" w:rsidP="00126740">
      <w:pPr>
        <w:tabs>
          <w:tab w:val="left" w:pos="915"/>
        </w:tabs>
        <w:ind w:left="360"/>
        <w:rPr>
          <w:rFonts w:ascii="Arial" w:hAnsi="Arial" w:cs="Arial"/>
          <w:color w:val="000000"/>
          <w:sz w:val="24"/>
          <w:szCs w:val="24"/>
        </w:rPr>
      </w:pPr>
      <w:r w:rsidRPr="00126740">
        <w:rPr>
          <w:rFonts w:ascii="Arial" w:hAnsi="Arial" w:cs="Arial"/>
          <w:color w:val="000000"/>
          <w:sz w:val="24"/>
          <w:szCs w:val="24"/>
        </w:rPr>
        <w:t>Develop targeted campaigns to regain market share in key regions</w:t>
      </w:r>
    </w:p>
    <w:p w14:paraId="66543849" w14:textId="77777777" w:rsidR="00126740" w:rsidRPr="00126740" w:rsidRDefault="00126740" w:rsidP="00126740">
      <w:pPr>
        <w:tabs>
          <w:tab w:val="left" w:pos="915"/>
        </w:tabs>
        <w:rPr>
          <w:rFonts w:ascii="Arial" w:hAnsi="Arial" w:cs="Arial"/>
          <w:color w:val="000000"/>
          <w:sz w:val="24"/>
          <w:szCs w:val="24"/>
        </w:rPr>
      </w:pPr>
      <w:r w:rsidRPr="00126740">
        <w:rPr>
          <w:rFonts w:ascii="Arial" w:hAnsi="Arial" w:cs="Arial"/>
          <w:b/>
          <w:bCs/>
          <w:color w:val="000000"/>
          <w:sz w:val="24"/>
          <w:szCs w:val="24"/>
        </w:rPr>
        <w:t>2. Regional Optimization</w:t>
      </w:r>
    </w:p>
    <w:p w14:paraId="480026C7" w14:textId="77777777" w:rsidR="00126740" w:rsidRPr="00126740" w:rsidRDefault="00126740" w:rsidP="00126740">
      <w:pPr>
        <w:tabs>
          <w:tab w:val="left" w:pos="915"/>
        </w:tabs>
        <w:ind w:left="360"/>
        <w:rPr>
          <w:rFonts w:ascii="Arial" w:hAnsi="Arial" w:cs="Arial"/>
          <w:color w:val="000000"/>
          <w:sz w:val="24"/>
          <w:szCs w:val="24"/>
        </w:rPr>
      </w:pPr>
      <w:r w:rsidRPr="00126740">
        <w:rPr>
          <w:rFonts w:ascii="Arial" w:hAnsi="Arial" w:cs="Arial"/>
          <w:b/>
          <w:bCs/>
          <w:color w:val="000000"/>
          <w:sz w:val="24"/>
          <w:szCs w:val="24"/>
        </w:rPr>
        <w:t>Latin America:</w:t>
      </w:r>
      <w:r w:rsidRPr="00126740">
        <w:rPr>
          <w:rFonts w:ascii="Arial" w:hAnsi="Arial" w:cs="Arial"/>
          <w:color w:val="000000"/>
          <w:sz w:val="24"/>
          <w:szCs w:val="24"/>
        </w:rPr>
        <w:t xml:space="preserve"> Leverage high 5G coverage (69.86%) with affordable 5G models and localized pricing strategies</w:t>
      </w:r>
    </w:p>
    <w:p w14:paraId="48DC8D77" w14:textId="77777777" w:rsidR="00126740" w:rsidRPr="00126740" w:rsidRDefault="00126740" w:rsidP="00126740">
      <w:pPr>
        <w:tabs>
          <w:tab w:val="left" w:pos="915"/>
        </w:tabs>
        <w:ind w:left="360"/>
        <w:rPr>
          <w:rFonts w:ascii="Arial" w:hAnsi="Arial" w:cs="Arial"/>
          <w:color w:val="000000"/>
          <w:sz w:val="24"/>
          <w:szCs w:val="24"/>
        </w:rPr>
      </w:pPr>
      <w:r w:rsidRPr="00126740">
        <w:rPr>
          <w:rFonts w:ascii="Arial" w:hAnsi="Arial" w:cs="Arial"/>
          <w:b/>
          <w:bCs/>
          <w:color w:val="000000"/>
          <w:sz w:val="24"/>
          <w:szCs w:val="24"/>
        </w:rPr>
        <w:lastRenderedPageBreak/>
        <w:t>Asia-Pacific:</w:t>
      </w:r>
      <w:r w:rsidRPr="00126740">
        <w:rPr>
          <w:rFonts w:ascii="Arial" w:hAnsi="Arial" w:cs="Arial"/>
          <w:color w:val="000000"/>
          <w:sz w:val="24"/>
          <w:szCs w:val="24"/>
        </w:rPr>
        <w:t xml:space="preserve"> Maintain leadership position through premium product launches and partnerships</w:t>
      </w:r>
    </w:p>
    <w:p w14:paraId="502BDAA8" w14:textId="77777777" w:rsidR="00126740" w:rsidRPr="00126740" w:rsidRDefault="00126740" w:rsidP="00126740">
      <w:pPr>
        <w:tabs>
          <w:tab w:val="left" w:pos="915"/>
        </w:tabs>
        <w:ind w:left="360"/>
        <w:rPr>
          <w:rFonts w:ascii="Arial" w:hAnsi="Arial" w:cs="Arial"/>
          <w:color w:val="000000"/>
          <w:sz w:val="24"/>
          <w:szCs w:val="24"/>
        </w:rPr>
      </w:pPr>
      <w:r w:rsidRPr="00126740">
        <w:rPr>
          <w:rFonts w:ascii="Arial" w:hAnsi="Arial" w:cs="Arial"/>
          <w:b/>
          <w:bCs/>
          <w:color w:val="000000"/>
          <w:sz w:val="24"/>
          <w:szCs w:val="24"/>
        </w:rPr>
        <w:t>Europe/North America:</w:t>
      </w:r>
      <w:r w:rsidRPr="00126740">
        <w:rPr>
          <w:rFonts w:ascii="Arial" w:hAnsi="Arial" w:cs="Arial"/>
          <w:color w:val="000000"/>
          <w:sz w:val="24"/>
          <w:szCs w:val="24"/>
        </w:rPr>
        <w:t xml:space="preserve"> Focus on innovation differentiation to combat competitive pressure</w:t>
      </w:r>
    </w:p>
    <w:p w14:paraId="3D70435C" w14:textId="77777777" w:rsidR="00126740" w:rsidRPr="00126740" w:rsidRDefault="00126740" w:rsidP="00126740">
      <w:pPr>
        <w:tabs>
          <w:tab w:val="left" w:pos="915"/>
        </w:tabs>
        <w:rPr>
          <w:rFonts w:ascii="Arial" w:hAnsi="Arial" w:cs="Arial"/>
          <w:color w:val="000000"/>
          <w:sz w:val="24"/>
          <w:szCs w:val="24"/>
        </w:rPr>
      </w:pPr>
      <w:r w:rsidRPr="00126740">
        <w:rPr>
          <w:rFonts w:ascii="Arial" w:hAnsi="Arial" w:cs="Arial"/>
          <w:b/>
          <w:bCs/>
          <w:color w:val="000000"/>
          <w:sz w:val="24"/>
          <w:szCs w:val="24"/>
        </w:rPr>
        <w:t>3. Product Strategy</w:t>
      </w:r>
    </w:p>
    <w:p w14:paraId="16D50295" w14:textId="77777777" w:rsidR="00126740" w:rsidRPr="00126740" w:rsidRDefault="00126740" w:rsidP="00126740">
      <w:pPr>
        <w:tabs>
          <w:tab w:val="left" w:pos="915"/>
        </w:tabs>
        <w:ind w:left="360"/>
        <w:rPr>
          <w:rFonts w:ascii="Arial" w:hAnsi="Arial" w:cs="Arial"/>
          <w:color w:val="000000"/>
          <w:sz w:val="24"/>
          <w:szCs w:val="24"/>
        </w:rPr>
      </w:pPr>
      <w:r w:rsidRPr="00126740">
        <w:rPr>
          <w:rFonts w:ascii="Arial" w:hAnsi="Arial" w:cs="Arial"/>
          <w:color w:val="000000"/>
          <w:sz w:val="24"/>
          <w:szCs w:val="24"/>
        </w:rPr>
        <w:t>Expand the Galaxy A series given strong consumer preference for affordable 5G (A14's 77.21% preference rate)</w:t>
      </w:r>
    </w:p>
    <w:p w14:paraId="04D0BFA9" w14:textId="77777777" w:rsidR="00126740" w:rsidRPr="00126740" w:rsidRDefault="00126740" w:rsidP="00126740">
      <w:pPr>
        <w:tabs>
          <w:tab w:val="left" w:pos="915"/>
        </w:tabs>
        <w:ind w:left="360"/>
        <w:rPr>
          <w:rFonts w:ascii="Arial" w:hAnsi="Arial" w:cs="Arial"/>
          <w:color w:val="000000"/>
          <w:sz w:val="24"/>
          <w:szCs w:val="24"/>
        </w:rPr>
      </w:pPr>
      <w:proofErr w:type="gramStart"/>
      <w:r w:rsidRPr="00126740">
        <w:rPr>
          <w:rFonts w:ascii="Arial" w:hAnsi="Arial" w:cs="Arial"/>
          <w:color w:val="000000"/>
          <w:sz w:val="24"/>
          <w:szCs w:val="24"/>
        </w:rPr>
        <w:t>Continue</w:t>
      </w:r>
      <w:proofErr w:type="gramEnd"/>
      <w:r w:rsidRPr="00126740">
        <w:rPr>
          <w:rFonts w:ascii="Arial" w:hAnsi="Arial" w:cs="Arial"/>
          <w:color w:val="000000"/>
          <w:sz w:val="24"/>
          <w:szCs w:val="24"/>
        </w:rPr>
        <w:t xml:space="preserve"> investment in foldable technology, as Z Fold2 shows strong revenue generation</w:t>
      </w:r>
    </w:p>
    <w:p w14:paraId="57556C58" w14:textId="77777777" w:rsidR="00126740" w:rsidRPr="00126740" w:rsidRDefault="00126740" w:rsidP="00126740">
      <w:pPr>
        <w:tabs>
          <w:tab w:val="left" w:pos="915"/>
        </w:tabs>
        <w:ind w:left="360"/>
        <w:rPr>
          <w:rFonts w:ascii="Arial" w:hAnsi="Arial" w:cs="Arial"/>
          <w:color w:val="000000"/>
          <w:sz w:val="24"/>
          <w:szCs w:val="24"/>
        </w:rPr>
      </w:pPr>
      <w:r w:rsidRPr="00126740">
        <w:rPr>
          <w:rFonts w:ascii="Arial" w:hAnsi="Arial" w:cs="Arial"/>
          <w:color w:val="000000"/>
          <w:sz w:val="24"/>
          <w:szCs w:val="24"/>
        </w:rPr>
        <w:t>Balance premium and mid-range portfolio to capture broader market segments</w:t>
      </w:r>
    </w:p>
    <w:p w14:paraId="032A3D6B" w14:textId="77777777" w:rsidR="00126740" w:rsidRPr="00126740" w:rsidRDefault="00126740" w:rsidP="00126740">
      <w:pPr>
        <w:tabs>
          <w:tab w:val="left" w:pos="915"/>
        </w:tabs>
        <w:rPr>
          <w:rFonts w:ascii="Arial" w:hAnsi="Arial" w:cs="Arial"/>
          <w:color w:val="000000"/>
          <w:sz w:val="24"/>
          <w:szCs w:val="24"/>
        </w:rPr>
      </w:pPr>
      <w:r w:rsidRPr="00126740">
        <w:rPr>
          <w:rFonts w:ascii="Arial" w:hAnsi="Arial" w:cs="Arial"/>
          <w:b/>
          <w:bCs/>
          <w:color w:val="000000"/>
          <w:sz w:val="24"/>
          <w:szCs w:val="24"/>
        </w:rPr>
        <w:t>4. Quarterly Performance</w:t>
      </w:r>
    </w:p>
    <w:p w14:paraId="0682F65C" w14:textId="77777777" w:rsidR="00126740" w:rsidRPr="00126740" w:rsidRDefault="00126740" w:rsidP="00126740">
      <w:pPr>
        <w:tabs>
          <w:tab w:val="left" w:pos="915"/>
        </w:tabs>
        <w:ind w:left="360"/>
        <w:rPr>
          <w:rFonts w:ascii="Arial" w:hAnsi="Arial" w:cs="Arial"/>
          <w:color w:val="000000"/>
          <w:sz w:val="24"/>
          <w:szCs w:val="24"/>
        </w:rPr>
      </w:pPr>
      <w:r w:rsidRPr="00126740">
        <w:rPr>
          <w:rFonts w:ascii="Arial" w:hAnsi="Arial" w:cs="Arial"/>
          <w:color w:val="000000"/>
          <w:sz w:val="24"/>
          <w:szCs w:val="24"/>
        </w:rPr>
        <w:t>Address Q4 decline through holiday season promotions and new product launches</w:t>
      </w:r>
    </w:p>
    <w:p w14:paraId="6931DBA6" w14:textId="77777777" w:rsidR="00126740" w:rsidRPr="00126740" w:rsidRDefault="00126740" w:rsidP="00126740">
      <w:pPr>
        <w:tabs>
          <w:tab w:val="left" w:pos="915"/>
        </w:tabs>
        <w:ind w:left="360"/>
        <w:rPr>
          <w:rFonts w:ascii="Arial" w:hAnsi="Arial" w:cs="Arial"/>
          <w:color w:val="000000"/>
          <w:sz w:val="24"/>
          <w:szCs w:val="24"/>
        </w:rPr>
      </w:pPr>
      <w:r w:rsidRPr="00126740">
        <w:rPr>
          <w:rFonts w:ascii="Arial" w:hAnsi="Arial" w:cs="Arial"/>
          <w:color w:val="000000"/>
          <w:sz w:val="24"/>
          <w:szCs w:val="24"/>
        </w:rPr>
        <w:t>Implement seasonal marketing strategies to maintain consistent quarterly growth</w:t>
      </w:r>
    </w:p>
    <w:p w14:paraId="38C450ED" w14:textId="77777777" w:rsidR="00126740" w:rsidRPr="00126740" w:rsidRDefault="00126740" w:rsidP="00126740">
      <w:pPr>
        <w:tabs>
          <w:tab w:val="left" w:pos="915"/>
        </w:tabs>
        <w:rPr>
          <w:rFonts w:ascii="Arial" w:hAnsi="Arial" w:cs="Arial"/>
          <w:color w:val="000000"/>
          <w:sz w:val="24"/>
          <w:szCs w:val="24"/>
        </w:rPr>
      </w:pPr>
      <w:r w:rsidRPr="00126740">
        <w:rPr>
          <w:rFonts w:ascii="Arial" w:hAnsi="Arial" w:cs="Arial"/>
          <w:b/>
          <w:bCs/>
          <w:color w:val="000000"/>
          <w:sz w:val="24"/>
          <w:szCs w:val="24"/>
        </w:rPr>
        <w:t>5. 5G Infrastructure Alignment</w:t>
      </w:r>
    </w:p>
    <w:p w14:paraId="5E6178A6" w14:textId="77777777" w:rsidR="00126740" w:rsidRPr="00126740" w:rsidRDefault="00126740" w:rsidP="00126740">
      <w:pPr>
        <w:tabs>
          <w:tab w:val="left" w:pos="915"/>
        </w:tabs>
        <w:ind w:left="360"/>
        <w:rPr>
          <w:rFonts w:ascii="Arial" w:hAnsi="Arial" w:cs="Arial"/>
          <w:color w:val="000000"/>
          <w:sz w:val="24"/>
          <w:szCs w:val="24"/>
        </w:rPr>
      </w:pPr>
      <w:r w:rsidRPr="00126740">
        <w:rPr>
          <w:rFonts w:ascii="Arial" w:hAnsi="Arial" w:cs="Arial"/>
          <w:color w:val="000000"/>
          <w:sz w:val="24"/>
          <w:szCs w:val="24"/>
        </w:rPr>
        <w:t>Align product launches with regional 5G rollout schedules</w:t>
      </w:r>
    </w:p>
    <w:p w14:paraId="5C5E6F5D" w14:textId="77777777" w:rsidR="00126740" w:rsidRPr="00126740" w:rsidRDefault="00126740" w:rsidP="00126740">
      <w:pPr>
        <w:tabs>
          <w:tab w:val="left" w:pos="915"/>
        </w:tabs>
        <w:ind w:left="360"/>
        <w:rPr>
          <w:rFonts w:ascii="Arial" w:hAnsi="Arial" w:cs="Arial"/>
          <w:color w:val="000000"/>
          <w:sz w:val="24"/>
          <w:szCs w:val="24"/>
        </w:rPr>
      </w:pPr>
      <w:r w:rsidRPr="00126740">
        <w:rPr>
          <w:rFonts w:ascii="Arial" w:hAnsi="Arial" w:cs="Arial"/>
          <w:color w:val="000000"/>
          <w:sz w:val="24"/>
          <w:szCs w:val="24"/>
        </w:rPr>
        <w:t>Partner with telecom providers for bundled offerings, especially in high-coverage regions</w:t>
      </w:r>
    </w:p>
    <w:p w14:paraId="2DE334AD" w14:textId="77777777" w:rsidR="00126740" w:rsidRPr="00126740" w:rsidRDefault="00126740" w:rsidP="00126740">
      <w:pPr>
        <w:tabs>
          <w:tab w:val="left" w:pos="915"/>
        </w:tabs>
        <w:rPr>
          <w:rFonts w:ascii="Arial" w:hAnsi="Arial" w:cs="Arial"/>
          <w:color w:val="000000"/>
          <w:sz w:val="24"/>
          <w:szCs w:val="24"/>
        </w:rPr>
      </w:pPr>
      <w:r w:rsidRPr="00126740">
        <w:rPr>
          <w:rFonts w:ascii="Arial" w:hAnsi="Arial" w:cs="Arial"/>
          <w:b/>
          <w:bCs/>
          <w:color w:val="000000"/>
          <w:sz w:val="24"/>
          <w:szCs w:val="24"/>
        </w:rPr>
        <w:t>6. Data-Driven Decision Making</w:t>
      </w:r>
    </w:p>
    <w:p w14:paraId="0068AE4A" w14:textId="77777777" w:rsidR="00126740" w:rsidRPr="00126740" w:rsidRDefault="00126740" w:rsidP="00126740">
      <w:pPr>
        <w:tabs>
          <w:tab w:val="left" w:pos="915"/>
        </w:tabs>
        <w:ind w:left="360"/>
        <w:rPr>
          <w:rFonts w:ascii="Arial" w:hAnsi="Arial" w:cs="Arial"/>
          <w:color w:val="000000"/>
          <w:sz w:val="24"/>
          <w:szCs w:val="24"/>
        </w:rPr>
      </w:pPr>
      <w:r w:rsidRPr="00126740">
        <w:rPr>
          <w:rFonts w:ascii="Arial" w:hAnsi="Arial" w:cs="Arial"/>
          <w:color w:val="000000"/>
          <w:sz w:val="24"/>
          <w:szCs w:val="24"/>
        </w:rPr>
        <w:t>Implement real-time sales tracking to identify trends earlier</w:t>
      </w:r>
    </w:p>
    <w:p w14:paraId="4AF2ED67" w14:textId="77777777" w:rsidR="00126740" w:rsidRPr="00126740" w:rsidRDefault="00126740" w:rsidP="00126740">
      <w:pPr>
        <w:tabs>
          <w:tab w:val="left" w:pos="915"/>
        </w:tabs>
        <w:ind w:left="360"/>
        <w:rPr>
          <w:rFonts w:ascii="Arial" w:hAnsi="Arial" w:cs="Arial"/>
          <w:color w:val="000000"/>
          <w:sz w:val="24"/>
          <w:szCs w:val="24"/>
        </w:rPr>
      </w:pPr>
      <w:r w:rsidRPr="00126740">
        <w:rPr>
          <w:rFonts w:ascii="Arial" w:hAnsi="Arial" w:cs="Arial"/>
          <w:color w:val="000000"/>
          <w:sz w:val="24"/>
          <w:szCs w:val="24"/>
        </w:rPr>
        <w:t>Conduct quarterly market analysis to adjust strategies proactively</w:t>
      </w:r>
    </w:p>
    <w:p w14:paraId="648A5BD0" w14:textId="77777777" w:rsidR="00126740" w:rsidRPr="00126740" w:rsidRDefault="00126740" w:rsidP="00126740">
      <w:pPr>
        <w:tabs>
          <w:tab w:val="left" w:pos="915"/>
        </w:tabs>
        <w:ind w:left="360"/>
        <w:rPr>
          <w:rFonts w:ascii="Arial" w:hAnsi="Arial" w:cs="Arial"/>
          <w:color w:val="000000"/>
          <w:sz w:val="24"/>
          <w:szCs w:val="24"/>
        </w:rPr>
      </w:pPr>
      <w:r w:rsidRPr="00126740">
        <w:rPr>
          <w:rFonts w:ascii="Arial" w:hAnsi="Arial" w:cs="Arial"/>
          <w:color w:val="000000"/>
          <w:sz w:val="24"/>
          <w:szCs w:val="24"/>
        </w:rPr>
        <w:t>The data suggests Samsung needs to focus on reversing the recent revenue decline while capitalizing on strong regional 5G infrastructure and consumer preference for affordable 5G devices.</w:t>
      </w:r>
    </w:p>
    <w:p w14:paraId="0DE1F183" w14:textId="77777777" w:rsidR="00F61382" w:rsidRDefault="00F61382" w:rsidP="00126740">
      <w:pPr>
        <w:tabs>
          <w:tab w:val="left" w:pos="915"/>
        </w:tabs>
        <w:rPr>
          <w:rFonts w:ascii="Arial" w:hAnsi="Arial" w:cs="Arial"/>
          <w:color w:val="000000"/>
          <w:sz w:val="24"/>
          <w:szCs w:val="24"/>
        </w:rPr>
      </w:pPr>
    </w:p>
    <w:p w14:paraId="6F1AB275" w14:textId="38B9BC3C" w:rsidR="00F61382" w:rsidRPr="00F61382" w:rsidRDefault="00F61382" w:rsidP="00F61382">
      <w:pPr>
        <w:tabs>
          <w:tab w:val="left" w:pos="915"/>
        </w:tabs>
        <w:jc w:val="center"/>
        <w:rPr>
          <w:rFonts w:ascii="Arial" w:hAnsi="Arial" w:cs="Arial"/>
          <w:color w:val="000000"/>
          <w:sz w:val="24"/>
          <w:szCs w:val="24"/>
        </w:rPr>
      </w:pPr>
      <w:r w:rsidRPr="00F61382">
        <w:rPr>
          <w:rFonts w:ascii="Arial" w:hAnsi="Arial" w:cs="Arial"/>
          <w:b/>
          <w:bCs/>
          <w:color w:val="000000"/>
          <w:sz w:val="24"/>
          <w:szCs w:val="24"/>
        </w:rPr>
        <w:t>CONCLUSION</w:t>
      </w:r>
    </w:p>
    <w:p w14:paraId="64B49796" w14:textId="77777777" w:rsidR="00E779FF" w:rsidRPr="00E779FF" w:rsidRDefault="00E779FF" w:rsidP="00E779FF">
      <w:pPr>
        <w:tabs>
          <w:tab w:val="left" w:pos="915"/>
        </w:tabs>
        <w:jc w:val="center"/>
        <w:rPr>
          <w:rFonts w:ascii="Arial" w:hAnsi="Arial" w:cs="Arial"/>
          <w:b/>
          <w:bCs/>
          <w:sz w:val="24"/>
          <w:szCs w:val="24"/>
        </w:rPr>
      </w:pPr>
      <w:r w:rsidRPr="00E779FF">
        <w:rPr>
          <w:rFonts w:ascii="Arial" w:hAnsi="Arial" w:cs="Arial"/>
          <w:b/>
          <w:bCs/>
          <w:sz w:val="24"/>
          <w:szCs w:val="24"/>
        </w:rPr>
        <w:t>Conclusion and Limitations</w:t>
      </w:r>
    </w:p>
    <w:p w14:paraId="7F28479B" w14:textId="77777777" w:rsidR="00E779FF" w:rsidRPr="00E779FF" w:rsidRDefault="00E779FF" w:rsidP="00E779FF">
      <w:pPr>
        <w:tabs>
          <w:tab w:val="left" w:pos="915"/>
        </w:tabs>
        <w:jc w:val="center"/>
        <w:rPr>
          <w:rFonts w:ascii="Arial" w:hAnsi="Arial" w:cs="Arial"/>
          <w:b/>
          <w:bCs/>
          <w:sz w:val="24"/>
          <w:szCs w:val="24"/>
        </w:rPr>
      </w:pPr>
      <w:r w:rsidRPr="00E779FF">
        <w:rPr>
          <w:rFonts w:ascii="Arial" w:hAnsi="Arial" w:cs="Arial"/>
          <w:b/>
          <w:bCs/>
          <w:sz w:val="24"/>
          <w:szCs w:val="24"/>
        </w:rPr>
        <w:t>Conclusion</w:t>
      </w:r>
    </w:p>
    <w:p w14:paraId="474FF7A6" w14:textId="77777777" w:rsidR="00E779FF" w:rsidRPr="00E779FF" w:rsidRDefault="00E779FF" w:rsidP="00E779FF">
      <w:pPr>
        <w:spacing w:line="360" w:lineRule="auto"/>
        <w:rPr>
          <w:rFonts w:ascii="Arial" w:hAnsi="Arial" w:cs="Arial"/>
          <w:sz w:val="24"/>
          <w:szCs w:val="24"/>
        </w:rPr>
      </w:pPr>
      <w:r w:rsidRPr="00E779FF">
        <w:rPr>
          <w:rFonts w:ascii="Arial" w:hAnsi="Arial" w:cs="Arial"/>
          <w:sz w:val="24"/>
          <w:szCs w:val="24"/>
        </w:rPr>
        <w:t xml:space="preserve">Samsung's 5G mobile phone performance from 2019-2024 reveals a company successfully navigating market volatility while building a diversified global portfolio. The </w:t>
      </w:r>
      <w:r w:rsidRPr="00E779FF">
        <w:rPr>
          <w:rFonts w:ascii="Arial" w:hAnsi="Arial" w:cs="Arial"/>
          <w:sz w:val="24"/>
          <w:szCs w:val="24"/>
        </w:rPr>
        <w:lastRenderedPageBreak/>
        <w:t xml:space="preserve">analysis demonstrates Samsung's strategic evolution from early 5G market leadership to mature market adaptation, with total revenue of $10.77 billion across the period. Key achievements include establishing Asia-Pacific dominance (37.57% revenue share), successful foldable technology commercialization led by Galaxy Z Fold2, and effective product portfolio diversification spanning premium to budget segments. However, the 32% revenue </w:t>
      </w:r>
      <w:proofErr w:type="gramStart"/>
      <w:r w:rsidRPr="00E779FF">
        <w:rPr>
          <w:rFonts w:ascii="Arial" w:hAnsi="Arial" w:cs="Arial"/>
          <w:sz w:val="24"/>
          <w:szCs w:val="24"/>
        </w:rPr>
        <w:t>decline</w:t>
      </w:r>
      <w:proofErr w:type="gramEnd"/>
      <w:r w:rsidRPr="00E779FF">
        <w:rPr>
          <w:rFonts w:ascii="Arial" w:hAnsi="Arial" w:cs="Arial"/>
          <w:sz w:val="24"/>
          <w:szCs w:val="24"/>
        </w:rPr>
        <w:t xml:space="preserve"> from 2021 peak to 2023 trough, followed by strong 2024 recovery, indicates Samsung has learned to adapt to competitive pressures and market saturation. The company's greatest opportunity lies in Latin America, where 69.86% 5G coverage contrasts sharply with minimal 00.10% revenue contribution, suggesting significant untapped potential through localized pricing strategies. Consumer preference data confirms Samsung's democratization approach is working, with mid-range models dominating 5G preference rankings, validating the strategy of making 5G technology accessible rather than premium-exclusive.</w:t>
      </w:r>
    </w:p>
    <w:p w14:paraId="7587ABC4" w14:textId="77777777" w:rsidR="002C79D9" w:rsidRDefault="002C79D9" w:rsidP="00F61382">
      <w:pPr>
        <w:tabs>
          <w:tab w:val="left" w:pos="915"/>
        </w:tabs>
        <w:jc w:val="center"/>
      </w:pPr>
    </w:p>
    <w:p w14:paraId="2F4DEEDF" w14:textId="77777777" w:rsidR="00763DC8" w:rsidRDefault="00763DC8" w:rsidP="00F61382">
      <w:pPr>
        <w:tabs>
          <w:tab w:val="left" w:pos="915"/>
        </w:tabs>
        <w:jc w:val="center"/>
      </w:pPr>
    </w:p>
    <w:p w14:paraId="17FFCE9C" w14:textId="77777777" w:rsidR="00763DC8" w:rsidRDefault="00763DC8" w:rsidP="00F61382">
      <w:pPr>
        <w:tabs>
          <w:tab w:val="left" w:pos="915"/>
        </w:tabs>
        <w:jc w:val="center"/>
      </w:pPr>
    </w:p>
    <w:p w14:paraId="5D42359B" w14:textId="2BDA6CAB" w:rsidR="00F61382" w:rsidRDefault="00F61382" w:rsidP="00F61382">
      <w:pPr>
        <w:tabs>
          <w:tab w:val="left" w:pos="915"/>
        </w:tabs>
        <w:jc w:val="center"/>
        <w:rPr>
          <w:rFonts w:ascii="Arial" w:hAnsi="Arial" w:cs="Arial"/>
          <w:color w:val="000000"/>
          <w:sz w:val="24"/>
          <w:szCs w:val="24"/>
        </w:rPr>
      </w:pPr>
      <w:r w:rsidRPr="00F61382">
        <w:rPr>
          <w:rFonts w:ascii="Arial" w:hAnsi="Arial" w:cs="Arial"/>
          <w:b/>
          <w:bCs/>
          <w:color w:val="000000"/>
          <w:sz w:val="24"/>
          <w:szCs w:val="24"/>
        </w:rPr>
        <w:t>Limitations</w:t>
      </w:r>
      <w:r w:rsidRPr="00F61382">
        <w:rPr>
          <w:rFonts w:ascii="Arial" w:hAnsi="Arial" w:cs="Arial"/>
          <w:color w:val="000000"/>
          <w:sz w:val="24"/>
          <w:szCs w:val="24"/>
        </w:rPr>
        <w:t>:</w:t>
      </w:r>
    </w:p>
    <w:p w14:paraId="3314B577" w14:textId="77777777" w:rsidR="00E779FF" w:rsidRPr="00E779FF" w:rsidRDefault="00E779FF" w:rsidP="00E779FF">
      <w:pPr>
        <w:pStyle w:val="ListParagraph"/>
        <w:numPr>
          <w:ilvl w:val="0"/>
          <w:numId w:val="34"/>
        </w:numPr>
        <w:spacing w:line="360" w:lineRule="auto"/>
        <w:rPr>
          <w:rStyle w:val="Strong"/>
          <w:rFonts w:ascii="Arial" w:hAnsi="Arial" w:cs="Arial"/>
          <w:b w:val="0"/>
          <w:bCs w:val="0"/>
          <w:sz w:val="24"/>
          <w:szCs w:val="24"/>
        </w:rPr>
      </w:pPr>
      <w:r w:rsidRPr="00E779FF">
        <w:rPr>
          <w:rStyle w:val="Strong"/>
          <w:rFonts w:ascii="Arial" w:hAnsi="Arial" w:cs="Arial"/>
          <w:sz w:val="24"/>
          <w:szCs w:val="24"/>
        </w:rPr>
        <w:t>Data Scope Constraints:</w:t>
      </w:r>
      <w:r w:rsidRPr="00E779FF">
        <w:rPr>
          <w:rStyle w:val="Strong"/>
          <w:rFonts w:ascii="Arial" w:hAnsi="Arial" w:cs="Arial"/>
          <w:b w:val="0"/>
          <w:bCs w:val="0"/>
          <w:sz w:val="24"/>
          <w:szCs w:val="24"/>
        </w:rPr>
        <w:t xml:space="preserve"> The analysis relies solely on aggregate revenue, unit sales, and preference data without access to profit margins, competitive market share context, or detailed consumer demographic breakdowns that would provide deeper strategic insights.</w:t>
      </w:r>
    </w:p>
    <w:p w14:paraId="3C8266C7" w14:textId="77777777" w:rsidR="00E779FF" w:rsidRPr="00E779FF" w:rsidRDefault="00E779FF" w:rsidP="00E779FF">
      <w:pPr>
        <w:pStyle w:val="ListParagraph"/>
        <w:numPr>
          <w:ilvl w:val="0"/>
          <w:numId w:val="34"/>
        </w:numPr>
        <w:spacing w:line="360" w:lineRule="auto"/>
        <w:rPr>
          <w:rStyle w:val="Strong"/>
          <w:rFonts w:ascii="Arial" w:hAnsi="Arial" w:cs="Arial"/>
          <w:b w:val="0"/>
          <w:bCs w:val="0"/>
          <w:sz w:val="24"/>
          <w:szCs w:val="24"/>
        </w:rPr>
      </w:pPr>
      <w:r w:rsidRPr="00E779FF">
        <w:rPr>
          <w:rStyle w:val="Strong"/>
          <w:rFonts w:ascii="Arial" w:hAnsi="Arial" w:cs="Arial"/>
          <w:sz w:val="24"/>
          <w:szCs w:val="24"/>
        </w:rPr>
        <w:t>Temporal Analysis Gaps:</w:t>
      </w:r>
      <w:r w:rsidRPr="00E779FF">
        <w:rPr>
          <w:rStyle w:val="Strong"/>
          <w:rFonts w:ascii="Arial" w:hAnsi="Arial" w:cs="Arial"/>
          <w:b w:val="0"/>
          <w:bCs w:val="0"/>
          <w:sz w:val="24"/>
          <w:szCs w:val="24"/>
        </w:rPr>
        <w:t xml:space="preserve"> While yearly trends are clear, the absence of monthly or weekly granular data limits </w:t>
      </w:r>
      <w:proofErr w:type="gramStart"/>
      <w:r w:rsidRPr="00E779FF">
        <w:rPr>
          <w:rStyle w:val="Strong"/>
          <w:rFonts w:ascii="Arial" w:hAnsi="Arial" w:cs="Arial"/>
          <w:b w:val="0"/>
          <w:bCs w:val="0"/>
          <w:sz w:val="24"/>
          <w:szCs w:val="24"/>
        </w:rPr>
        <w:t>understanding of</w:t>
      </w:r>
      <w:proofErr w:type="gramEnd"/>
      <w:r w:rsidRPr="00E779FF">
        <w:rPr>
          <w:rStyle w:val="Strong"/>
          <w:rFonts w:ascii="Arial" w:hAnsi="Arial" w:cs="Arial"/>
          <w:b w:val="0"/>
          <w:bCs w:val="0"/>
          <w:sz w:val="24"/>
          <w:szCs w:val="24"/>
        </w:rPr>
        <w:t xml:space="preserve"> specific market triggers, product launch impacts, or seasonal micro-trends that could inform tactical decision-making.</w:t>
      </w:r>
    </w:p>
    <w:p w14:paraId="15CAFFB1" w14:textId="71ADC43F" w:rsidR="00835611" w:rsidRPr="00E779FF" w:rsidRDefault="00E779FF" w:rsidP="00E779FF">
      <w:pPr>
        <w:pStyle w:val="ListParagraph"/>
        <w:numPr>
          <w:ilvl w:val="0"/>
          <w:numId w:val="34"/>
        </w:numPr>
        <w:spacing w:line="360" w:lineRule="auto"/>
        <w:rPr>
          <w:rStyle w:val="Strong"/>
          <w:rFonts w:ascii="Arial" w:hAnsi="Arial" w:cs="Arial"/>
          <w:b w:val="0"/>
          <w:bCs w:val="0"/>
          <w:sz w:val="24"/>
          <w:szCs w:val="24"/>
        </w:rPr>
      </w:pPr>
      <w:r w:rsidRPr="00E779FF">
        <w:rPr>
          <w:rStyle w:val="Strong"/>
          <w:rFonts w:ascii="Arial" w:hAnsi="Arial" w:cs="Arial"/>
          <w:sz w:val="24"/>
          <w:szCs w:val="24"/>
        </w:rPr>
        <w:t>Competitive Landscape Absence:</w:t>
      </w:r>
      <w:r w:rsidRPr="00E779FF">
        <w:rPr>
          <w:rStyle w:val="Strong"/>
          <w:rFonts w:ascii="Arial" w:hAnsi="Arial" w:cs="Arial"/>
          <w:b w:val="0"/>
          <w:bCs w:val="0"/>
          <w:sz w:val="24"/>
          <w:szCs w:val="24"/>
        </w:rPr>
        <w:t xml:space="preserve"> The analysis lacks comparative data against Apple, Chinese manufacturers, or other competitors, making it impossible to assess whether Samsung's performance reflects company-specific success or broader market trends.</w:t>
      </w:r>
    </w:p>
    <w:p w14:paraId="7267BAB3" w14:textId="77777777" w:rsidR="00E779FF" w:rsidRPr="00E779FF" w:rsidRDefault="00E779FF" w:rsidP="00E779FF">
      <w:pPr>
        <w:pStyle w:val="ListParagraph"/>
        <w:numPr>
          <w:ilvl w:val="0"/>
          <w:numId w:val="34"/>
        </w:numPr>
        <w:spacing w:line="360" w:lineRule="auto"/>
        <w:rPr>
          <w:rFonts w:ascii="Arial" w:hAnsi="Arial" w:cs="Arial"/>
          <w:sz w:val="24"/>
          <w:szCs w:val="24"/>
        </w:rPr>
      </w:pPr>
      <w:r w:rsidRPr="00E779FF">
        <w:rPr>
          <w:rFonts w:ascii="Arial" w:hAnsi="Arial" w:cs="Arial"/>
          <w:b/>
          <w:bCs/>
          <w:sz w:val="24"/>
          <w:szCs w:val="24"/>
        </w:rPr>
        <w:t>Geographic Granularity Limitations:</w:t>
      </w:r>
      <w:r w:rsidRPr="00E779FF">
        <w:rPr>
          <w:rFonts w:ascii="Arial" w:hAnsi="Arial" w:cs="Arial"/>
          <w:sz w:val="24"/>
          <w:szCs w:val="24"/>
        </w:rPr>
        <w:t xml:space="preserve"> Regional data aggregation masks country-specific performance variations, economic factors, and local market </w:t>
      </w:r>
      <w:r w:rsidRPr="00E779FF">
        <w:rPr>
          <w:rFonts w:ascii="Arial" w:hAnsi="Arial" w:cs="Arial"/>
          <w:sz w:val="24"/>
          <w:szCs w:val="24"/>
        </w:rPr>
        <w:lastRenderedPageBreak/>
        <w:t>conditions that could significantly impact strategic recommendations, particularly for Latin America's expansion potential.</w:t>
      </w:r>
    </w:p>
    <w:p w14:paraId="10726B01" w14:textId="77777777" w:rsidR="00E779FF" w:rsidRPr="00E779FF" w:rsidRDefault="00E779FF" w:rsidP="00E779FF">
      <w:pPr>
        <w:pStyle w:val="ListParagraph"/>
        <w:numPr>
          <w:ilvl w:val="0"/>
          <w:numId w:val="34"/>
        </w:numPr>
        <w:spacing w:line="360" w:lineRule="auto"/>
        <w:rPr>
          <w:rFonts w:ascii="Arial" w:hAnsi="Arial" w:cs="Arial"/>
          <w:sz w:val="24"/>
          <w:szCs w:val="24"/>
        </w:rPr>
      </w:pPr>
      <w:r w:rsidRPr="00E779FF">
        <w:rPr>
          <w:rFonts w:ascii="Arial" w:hAnsi="Arial" w:cs="Arial"/>
          <w:b/>
          <w:bCs/>
          <w:sz w:val="24"/>
          <w:szCs w:val="24"/>
        </w:rPr>
        <w:t>Consumer Behavior Insights:</w:t>
      </w:r>
      <w:r w:rsidRPr="00E779FF">
        <w:rPr>
          <w:rFonts w:ascii="Arial" w:hAnsi="Arial" w:cs="Arial"/>
          <w:sz w:val="24"/>
          <w:szCs w:val="24"/>
        </w:rPr>
        <w:t xml:space="preserve"> The data doesn't reveal consumer switching patterns, brand loyalty metrics, upgrade cycles, or purchase decision factors beyond 5G preference, limiting understanding of market dynamics and customer retention strategies.</w:t>
      </w:r>
    </w:p>
    <w:p w14:paraId="107FB027" w14:textId="77777777" w:rsidR="00E779FF" w:rsidRPr="00E779FF" w:rsidRDefault="00E779FF" w:rsidP="00E779FF">
      <w:pPr>
        <w:pStyle w:val="ListParagraph"/>
        <w:numPr>
          <w:ilvl w:val="0"/>
          <w:numId w:val="34"/>
        </w:numPr>
        <w:spacing w:line="360" w:lineRule="auto"/>
        <w:rPr>
          <w:rFonts w:ascii="Arial" w:hAnsi="Arial" w:cs="Arial"/>
          <w:sz w:val="24"/>
          <w:szCs w:val="24"/>
        </w:rPr>
      </w:pPr>
      <w:r w:rsidRPr="00E779FF">
        <w:rPr>
          <w:rFonts w:ascii="Arial" w:hAnsi="Arial" w:cs="Arial"/>
          <w:b/>
          <w:bCs/>
          <w:sz w:val="24"/>
          <w:szCs w:val="24"/>
        </w:rPr>
        <w:t>Financial Depth Restrictions:</w:t>
      </w:r>
      <w:r w:rsidRPr="00E779FF">
        <w:rPr>
          <w:rFonts w:ascii="Arial" w:hAnsi="Arial" w:cs="Arial"/>
          <w:sz w:val="24"/>
          <w:szCs w:val="24"/>
        </w:rPr>
        <w:t xml:space="preserve"> Absence of cost structure, R&amp;D investment allocation, marketing </w:t>
      </w:r>
      <w:proofErr w:type="gramStart"/>
      <w:r w:rsidRPr="00E779FF">
        <w:rPr>
          <w:rFonts w:ascii="Arial" w:hAnsi="Arial" w:cs="Arial"/>
          <w:sz w:val="24"/>
          <w:szCs w:val="24"/>
        </w:rPr>
        <w:t>spend</w:t>
      </w:r>
      <w:proofErr w:type="gramEnd"/>
      <w:r w:rsidRPr="00E779FF">
        <w:rPr>
          <w:rFonts w:ascii="Arial" w:hAnsi="Arial" w:cs="Arial"/>
          <w:sz w:val="24"/>
          <w:szCs w:val="24"/>
        </w:rPr>
        <w:t xml:space="preserve"> effectiveness, or profitability by product line prevents comprehensive ROI analysis and investment prioritization recommendations.</w:t>
      </w:r>
    </w:p>
    <w:p w14:paraId="0D9570C8" w14:textId="77777777" w:rsidR="00E779FF" w:rsidRPr="00E779FF" w:rsidRDefault="00E779FF" w:rsidP="00E779FF">
      <w:pPr>
        <w:pStyle w:val="ListParagraph"/>
        <w:numPr>
          <w:ilvl w:val="0"/>
          <w:numId w:val="34"/>
        </w:numPr>
        <w:spacing w:line="360" w:lineRule="auto"/>
        <w:rPr>
          <w:rFonts w:ascii="Arial" w:hAnsi="Arial" w:cs="Arial"/>
          <w:sz w:val="24"/>
          <w:szCs w:val="24"/>
        </w:rPr>
      </w:pPr>
      <w:r w:rsidRPr="00E779FF">
        <w:rPr>
          <w:rFonts w:ascii="Arial" w:hAnsi="Arial" w:cs="Arial"/>
          <w:b/>
          <w:bCs/>
          <w:sz w:val="24"/>
          <w:szCs w:val="24"/>
        </w:rPr>
        <w:t>Market Context Deficiency:</w:t>
      </w:r>
      <w:r w:rsidRPr="00E779FF">
        <w:rPr>
          <w:rFonts w:ascii="Arial" w:hAnsi="Arial" w:cs="Arial"/>
          <w:sz w:val="24"/>
          <w:szCs w:val="24"/>
        </w:rPr>
        <w:t xml:space="preserve"> The analysis cannot account for external factors like economic conditions, regulatory changes, carrier partnerships, or technological disruptions that significantly influence 5G adoption and Samsung's market position.</w:t>
      </w:r>
    </w:p>
    <w:p w14:paraId="3370A562" w14:textId="77777777" w:rsidR="00E779FF" w:rsidRPr="00835611" w:rsidRDefault="00E779FF" w:rsidP="00E779FF">
      <w:pPr>
        <w:tabs>
          <w:tab w:val="left" w:pos="915"/>
        </w:tabs>
        <w:jc w:val="center"/>
        <w:rPr>
          <w:rFonts w:ascii="Arial" w:hAnsi="Arial" w:cs="Arial"/>
          <w:color w:val="000000"/>
          <w:sz w:val="24"/>
          <w:szCs w:val="24"/>
        </w:rPr>
      </w:pPr>
    </w:p>
    <w:p w14:paraId="6E716291" w14:textId="733003C0" w:rsidR="00835611" w:rsidRDefault="00835611" w:rsidP="00835611">
      <w:pPr>
        <w:tabs>
          <w:tab w:val="left" w:pos="915"/>
        </w:tabs>
        <w:jc w:val="center"/>
        <w:rPr>
          <w:rFonts w:ascii="Arial" w:hAnsi="Arial" w:cs="Arial"/>
          <w:b/>
          <w:bCs/>
          <w:color w:val="000000"/>
          <w:sz w:val="24"/>
          <w:szCs w:val="24"/>
        </w:rPr>
      </w:pPr>
      <w:r w:rsidRPr="00835611">
        <w:rPr>
          <w:rFonts w:ascii="Arial" w:hAnsi="Arial" w:cs="Arial"/>
          <w:b/>
          <w:bCs/>
          <w:color w:val="000000"/>
          <w:sz w:val="24"/>
          <w:szCs w:val="24"/>
        </w:rPr>
        <w:t>Future Researc</w:t>
      </w:r>
      <w:r>
        <w:rPr>
          <w:rFonts w:ascii="Arial" w:hAnsi="Arial" w:cs="Arial"/>
          <w:b/>
          <w:bCs/>
          <w:color w:val="000000"/>
          <w:sz w:val="24"/>
          <w:szCs w:val="24"/>
        </w:rPr>
        <w:t>h</w:t>
      </w:r>
    </w:p>
    <w:p w14:paraId="45A708B0" w14:textId="72E4ADA0" w:rsidR="001708A1" w:rsidRPr="001708A1" w:rsidRDefault="001708A1">
      <w:pPr>
        <w:pStyle w:val="NormalWeb"/>
        <w:numPr>
          <w:ilvl w:val="0"/>
          <w:numId w:val="8"/>
        </w:numPr>
        <w:spacing w:line="360" w:lineRule="auto"/>
        <w:rPr>
          <w:rFonts w:ascii="Arial" w:hAnsi="Arial" w:cs="Arial"/>
        </w:rPr>
      </w:pPr>
      <w:r w:rsidRPr="001708A1">
        <w:rPr>
          <w:rStyle w:val="Strong"/>
          <w:rFonts w:ascii="Arial" w:hAnsi="Arial" w:cs="Arial"/>
        </w:rPr>
        <w:t>Include Demographic Profiling</w:t>
      </w:r>
      <w:r w:rsidRPr="001708A1">
        <w:rPr>
          <w:rFonts w:ascii="Arial" w:hAnsi="Arial" w:cs="Arial"/>
        </w:rPr>
        <w:t xml:space="preserve"> – Collect and analyze customer age, gender, income, and location data to enable more targeted marketing and product personalization.</w:t>
      </w:r>
    </w:p>
    <w:p w14:paraId="34052AB2" w14:textId="49E5C7F0" w:rsidR="001708A1" w:rsidRPr="001708A1" w:rsidRDefault="001708A1">
      <w:pPr>
        <w:pStyle w:val="NormalWeb"/>
        <w:numPr>
          <w:ilvl w:val="0"/>
          <w:numId w:val="8"/>
        </w:numPr>
        <w:spacing w:line="360" w:lineRule="auto"/>
        <w:rPr>
          <w:rFonts w:ascii="Arial" w:hAnsi="Arial" w:cs="Arial"/>
        </w:rPr>
      </w:pPr>
      <w:r w:rsidRPr="001708A1">
        <w:rPr>
          <w:rStyle w:val="Strong"/>
          <w:rFonts w:ascii="Arial" w:hAnsi="Arial" w:cs="Arial"/>
        </w:rPr>
        <w:t>Conduct Year-over-Year Comparisons</w:t>
      </w:r>
      <w:r w:rsidRPr="001708A1">
        <w:rPr>
          <w:rFonts w:ascii="Arial" w:hAnsi="Arial" w:cs="Arial"/>
        </w:rPr>
        <w:t xml:space="preserve"> – Analyze data across multiple years to uncover long-term trends, seasonality patterns, and growth trajectories.</w:t>
      </w:r>
    </w:p>
    <w:p w14:paraId="4543B193" w14:textId="0F3422EC" w:rsidR="001708A1" w:rsidRPr="001708A1" w:rsidRDefault="001708A1">
      <w:pPr>
        <w:pStyle w:val="NormalWeb"/>
        <w:numPr>
          <w:ilvl w:val="0"/>
          <w:numId w:val="8"/>
        </w:numPr>
        <w:spacing w:line="360" w:lineRule="auto"/>
        <w:rPr>
          <w:rFonts w:ascii="Arial" w:hAnsi="Arial" w:cs="Arial"/>
        </w:rPr>
      </w:pPr>
      <w:r w:rsidRPr="001708A1">
        <w:rPr>
          <w:rStyle w:val="Strong"/>
          <w:rFonts w:ascii="Arial" w:hAnsi="Arial" w:cs="Arial"/>
        </w:rPr>
        <w:t>Measure Customer Satisfaction and Sentiment</w:t>
      </w:r>
      <w:r w:rsidRPr="001708A1">
        <w:rPr>
          <w:rFonts w:ascii="Arial" w:hAnsi="Arial" w:cs="Arial"/>
        </w:rPr>
        <w:t xml:space="preserve"> – Integrate surveys, reviews, or social media sentiment analysis to understand the “why” behind customer behavior.</w:t>
      </w:r>
    </w:p>
    <w:p w14:paraId="2927F82A" w14:textId="07F88FC8" w:rsidR="001708A1" w:rsidRDefault="001708A1" w:rsidP="00394EDE">
      <w:pPr>
        <w:pStyle w:val="NormalWeb"/>
        <w:numPr>
          <w:ilvl w:val="0"/>
          <w:numId w:val="8"/>
        </w:numPr>
        <w:spacing w:line="360" w:lineRule="auto"/>
        <w:rPr>
          <w:rFonts w:ascii="Arial" w:hAnsi="Arial" w:cs="Arial"/>
        </w:rPr>
      </w:pPr>
      <w:r w:rsidRPr="001708A1">
        <w:rPr>
          <w:rStyle w:val="Strong"/>
          <w:rFonts w:ascii="Arial" w:hAnsi="Arial" w:cs="Arial"/>
        </w:rPr>
        <w:t>Analyze Profitability per Category</w:t>
      </w:r>
      <w:r w:rsidRPr="001708A1">
        <w:rPr>
          <w:rFonts w:ascii="Arial" w:hAnsi="Arial" w:cs="Arial"/>
        </w:rPr>
        <w:t xml:space="preserve"> – Go beyond revenue and unit sales by incorporating cost and profit margin data to identify truly high-performing segments.</w:t>
      </w:r>
    </w:p>
    <w:p w14:paraId="44E9A09C" w14:textId="4C96FABB" w:rsidR="00A06D0A" w:rsidRPr="00A06D0A" w:rsidRDefault="00A06D0A" w:rsidP="00A06D0A">
      <w:pPr>
        <w:pStyle w:val="NormalWeb"/>
        <w:spacing w:line="360" w:lineRule="auto"/>
        <w:ind w:left="1080"/>
        <w:rPr>
          <w:rFonts w:ascii="Arial" w:hAnsi="Arial" w:cs="Arial"/>
        </w:rPr>
      </w:pPr>
    </w:p>
    <w:p w14:paraId="433596CA" w14:textId="14E53898" w:rsidR="002A245D" w:rsidRPr="002A245D" w:rsidRDefault="002A245D" w:rsidP="002C71CA">
      <w:pPr>
        <w:ind w:left="720" w:hanging="720"/>
        <w:rPr>
          <w:rFonts w:ascii="Arial" w:hAnsi="Arial" w:cs="Arial"/>
          <w:b/>
          <w:bCs/>
          <w:sz w:val="24"/>
          <w:szCs w:val="24"/>
        </w:rPr>
      </w:pPr>
      <w:r w:rsidRPr="002A245D">
        <w:rPr>
          <w:rFonts w:ascii="Arial" w:hAnsi="Arial" w:cs="Arial"/>
          <w:b/>
          <w:bCs/>
          <w:sz w:val="24"/>
          <w:szCs w:val="24"/>
        </w:rPr>
        <w:t xml:space="preserve">REFERENCEE: </w:t>
      </w:r>
      <w:r w:rsidR="002C71CA">
        <w:rPr>
          <w:rFonts w:ascii="Arial" w:hAnsi="Arial" w:cs="Arial"/>
          <w:sz w:val="24"/>
          <w:szCs w:val="24"/>
        </w:rPr>
        <w:t>T</w:t>
      </w:r>
      <w:r w:rsidRPr="002A245D">
        <w:rPr>
          <w:rFonts w:ascii="Arial" w:hAnsi="Arial" w:cs="Arial"/>
          <w:sz w:val="24"/>
          <w:szCs w:val="24"/>
        </w:rPr>
        <w:t>he data</w:t>
      </w:r>
      <w:r w:rsidR="004159AF">
        <w:rPr>
          <w:rFonts w:ascii="Arial" w:hAnsi="Arial" w:cs="Arial"/>
          <w:sz w:val="24"/>
          <w:szCs w:val="24"/>
        </w:rPr>
        <w:t xml:space="preserve"> </w:t>
      </w:r>
      <w:r w:rsidR="00F934E3">
        <w:rPr>
          <w:rFonts w:ascii="Arial" w:hAnsi="Arial" w:cs="Arial"/>
          <w:sz w:val="24"/>
          <w:szCs w:val="24"/>
        </w:rPr>
        <w:t>f</w:t>
      </w:r>
      <w:r w:rsidR="004159AF">
        <w:rPr>
          <w:rFonts w:ascii="Arial" w:hAnsi="Arial" w:cs="Arial"/>
          <w:sz w:val="24"/>
          <w:szCs w:val="24"/>
        </w:rPr>
        <w:t>or this project</w:t>
      </w:r>
      <w:r w:rsidRPr="002A245D">
        <w:rPr>
          <w:rFonts w:ascii="Arial" w:hAnsi="Arial" w:cs="Arial"/>
          <w:sz w:val="24"/>
          <w:szCs w:val="24"/>
        </w:rPr>
        <w:t xml:space="preserve"> was obtained from Kaggle.com</w:t>
      </w:r>
      <w:r>
        <w:rPr>
          <w:rFonts w:ascii="Arial" w:hAnsi="Arial" w:cs="Arial"/>
          <w:b/>
          <w:bCs/>
          <w:sz w:val="24"/>
          <w:szCs w:val="24"/>
        </w:rPr>
        <w:t xml:space="preserve"> </w:t>
      </w:r>
    </w:p>
    <w:p w14:paraId="612B5135" w14:textId="77777777" w:rsidR="00394EDE" w:rsidRPr="00394EDE" w:rsidRDefault="00394EDE" w:rsidP="00394EDE">
      <w:pPr>
        <w:rPr>
          <w:rFonts w:ascii="EB Garamond" w:hAnsi="EB Garamond"/>
          <w:sz w:val="20"/>
          <w:szCs w:val="20"/>
        </w:rPr>
      </w:pPr>
    </w:p>
    <w:p w14:paraId="413E6C76" w14:textId="77777777" w:rsidR="00394EDE" w:rsidRPr="00394EDE" w:rsidRDefault="00394EDE" w:rsidP="00394EDE">
      <w:pPr>
        <w:rPr>
          <w:rFonts w:ascii="EB Garamond" w:hAnsi="EB Garamond"/>
          <w:sz w:val="20"/>
          <w:szCs w:val="20"/>
        </w:rPr>
      </w:pPr>
    </w:p>
    <w:p w14:paraId="624AB89F" w14:textId="77777777" w:rsidR="00394EDE" w:rsidRDefault="00394EDE" w:rsidP="00394EDE">
      <w:pPr>
        <w:rPr>
          <w:rFonts w:ascii="Arial" w:hAnsi="Arial" w:cs="Arial"/>
          <w:color w:val="000000"/>
          <w:sz w:val="24"/>
          <w:szCs w:val="24"/>
        </w:rPr>
      </w:pPr>
    </w:p>
    <w:p w14:paraId="09AF7F36" w14:textId="2CB00300" w:rsidR="00394EDE" w:rsidRPr="00394EDE" w:rsidRDefault="00394EDE" w:rsidP="00394EDE">
      <w:pPr>
        <w:tabs>
          <w:tab w:val="left" w:pos="3450"/>
        </w:tabs>
        <w:rPr>
          <w:rFonts w:ascii="EB Garamond" w:hAnsi="EB Garamond"/>
          <w:sz w:val="20"/>
          <w:szCs w:val="20"/>
        </w:rPr>
      </w:pPr>
      <w:r>
        <w:rPr>
          <w:rFonts w:ascii="EB Garamond" w:hAnsi="EB Garamond"/>
          <w:sz w:val="20"/>
          <w:szCs w:val="20"/>
        </w:rPr>
        <w:tab/>
      </w:r>
    </w:p>
    <w:p w14:paraId="05659DC8" w14:textId="77777777" w:rsidR="001B39B9" w:rsidRPr="00394EDE" w:rsidRDefault="001B39B9">
      <w:pPr>
        <w:tabs>
          <w:tab w:val="left" w:pos="3450"/>
        </w:tabs>
        <w:rPr>
          <w:rFonts w:ascii="EB Garamond" w:hAnsi="EB Garamond"/>
          <w:sz w:val="20"/>
          <w:szCs w:val="20"/>
        </w:rPr>
      </w:pPr>
    </w:p>
    <w:sectPr w:rsidR="001B39B9" w:rsidRPr="00394EDE">
      <w:pgSz w:w="12240" w:h="15840"/>
      <w:pgMar w:top="126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193F96" w14:textId="77777777" w:rsidR="00F46E18" w:rsidRDefault="00F46E18">
      <w:pPr>
        <w:spacing w:line="240" w:lineRule="auto"/>
      </w:pPr>
      <w:r>
        <w:separator/>
      </w:r>
    </w:p>
  </w:endnote>
  <w:endnote w:type="continuationSeparator" w:id="0">
    <w:p w14:paraId="085CD446" w14:textId="77777777" w:rsidR="00F46E18" w:rsidRDefault="00F46E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EB Garamond">
    <w:charset w:val="00"/>
    <w:family w:val="auto"/>
    <w:pitch w:val="variable"/>
    <w:sig w:usb0="E00002FF" w:usb1="020004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414C9E" w14:textId="77777777" w:rsidR="00F46E18" w:rsidRDefault="00F46E18">
      <w:pPr>
        <w:spacing w:after="0"/>
      </w:pPr>
      <w:r>
        <w:separator/>
      </w:r>
    </w:p>
  </w:footnote>
  <w:footnote w:type="continuationSeparator" w:id="0">
    <w:p w14:paraId="2A3290E6" w14:textId="77777777" w:rsidR="00F46E18" w:rsidRDefault="00F46E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E0602"/>
    <w:multiLevelType w:val="multilevel"/>
    <w:tmpl w:val="3018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37885"/>
    <w:multiLevelType w:val="hybridMultilevel"/>
    <w:tmpl w:val="914C9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F65EE"/>
    <w:multiLevelType w:val="hybridMultilevel"/>
    <w:tmpl w:val="5DB41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44586"/>
    <w:multiLevelType w:val="hybridMultilevel"/>
    <w:tmpl w:val="BC9AD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AC4BE7"/>
    <w:multiLevelType w:val="multilevel"/>
    <w:tmpl w:val="5CBAD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E6380F"/>
    <w:multiLevelType w:val="hybridMultilevel"/>
    <w:tmpl w:val="9210D7DE"/>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1229513D"/>
    <w:multiLevelType w:val="hybridMultilevel"/>
    <w:tmpl w:val="2E2214E0"/>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4A12B23"/>
    <w:multiLevelType w:val="multilevel"/>
    <w:tmpl w:val="1D327B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E91E90"/>
    <w:multiLevelType w:val="multilevel"/>
    <w:tmpl w:val="6F0E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0F54C8"/>
    <w:multiLevelType w:val="hybridMultilevel"/>
    <w:tmpl w:val="9A18F8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3426061"/>
    <w:multiLevelType w:val="multilevel"/>
    <w:tmpl w:val="85B2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CD13B5"/>
    <w:multiLevelType w:val="multilevel"/>
    <w:tmpl w:val="95DA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BF13B7"/>
    <w:multiLevelType w:val="hybridMultilevel"/>
    <w:tmpl w:val="376446CA"/>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10F5029"/>
    <w:multiLevelType w:val="hybridMultilevel"/>
    <w:tmpl w:val="792894F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92E6359"/>
    <w:multiLevelType w:val="multilevel"/>
    <w:tmpl w:val="1AAA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721A13"/>
    <w:multiLevelType w:val="multilevel"/>
    <w:tmpl w:val="F192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21407E"/>
    <w:multiLevelType w:val="multilevel"/>
    <w:tmpl w:val="B54E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AB13DD"/>
    <w:multiLevelType w:val="hybridMultilevel"/>
    <w:tmpl w:val="8DB4B20C"/>
    <w:lvl w:ilvl="0" w:tplc="FF10B9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6618BD"/>
    <w:multiLevelType w:val="multilevel"/>
    <w:tmpl w:val="6C72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5F7314"/>
    <w:multiLevelType w:val="hybridMultilevel"/>
    <w:tmpl w:val="54DABB5A"/>
    <w:lvl w:ilvl="0" w:tplc="0409000F">
      <w:start w:val="1"/>
      <w:numFmt w:val="decimal"/>
      <w:lvlText w:val="%1."/>
      <w:lvlJc w:val="left"/>
      <w:pPr>
        <w:ind w:left="720" w:hanging="360"/>
      </w:pPr>
    </w:lvl>
    <w:lvl w:ilvl="1" w:tplc="F44A64B6">
      <w:numFmt w:val="bullet"/>
      <w:lvlText w:val=""/>
      <w:lvlJc w:val="left"/>
      <w:pPr>
        <w:ind w:left="1440" w:hanging="360"/>
      </w:pPr>
      <w:rPr>
        <w:rFonts w:ascii="Symbol" w:eastAsiaTheme="minorHAnsi" w:hAnsi="Symbol" w:cstheme="minorBidi" w:hint="default"/>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7B76EC"/>
    <w:multiLevelType w:val="multilevel"/>
    <w:tmpl w:val="140A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B54E51"/>
    <w:multiLevelType w:val="multilevel"/>
    <w:tmpl w:val="6496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532404"/>
    <w:multiLevelType w:val="hybridMultilevel"/>
    <w:tmpl w:val="D6EE0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5446CB"/>
    <w:multiLevelType w:val="hybridMultilevel"/>
    <w:tmpl w:val="F61E68BE"/>
    <w:lvl w:ilvl="0" w:tplc="0409000F">
      <w:start w:val="1"/>
      <w:numFmt w:val="decimal"/>
      <w:lvlText w:val="%1."/>
      <w:lvlJc w:val="left"/>
      <w:pPr>
        <w:ind w:left="720" w:hanging="360"/>
      </w:pPr>
    </w:lvl>
    <w:lvl w:ilvl="1" w:tplc="A656E42A">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6B755D"/>
    <w:multiLevelType w:val="multilevel"/>
    <w:tmpl w:val="8D2E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A40FFC"/>
    <w:multiLevelType w:val="multilevel"/>
    <w:tmpl w:val="E682B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B42374"/>
    <w:multiLevelType w:val="hybridMultilevel"/>
    <w:tmpl w:val="ACAAA892"/>
    <w:lvl w:ilvl="0" w:tplc="0409000F">
      <w:start w:val="1"/>
      <w:numFmt w:val="decimal"/>
      <w:lvlText w:val="%1."/>
      <w:lvlJc w:val="left"/>
      <w:pPr>
        <w:ind w:left="720" w:hanging="360"/>
      </w:pPr>
    </w:lvl>
    <w:lvl w:ilvl="1" w:tplc="55D2F49C">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D342CD"/>
    <w:multiLevelType w:val="multilevel"/>
    <w:tmpl w:val="DD46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5C0887"/>
    <w:multiLevelType w:val="multilevel"/>
    <w:tmpl w:val="B768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595DEB"/>
    <w:multiLevelType w:val="hybridMultilevel"/>
    <w:tmpl w:val="A70CE4B4"/>
    <w:lvl w:ilvl="0" w:tplc="5634696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68343E"/>
    <w:multiLevelType w:val="hybridMultilevel"/>
    <w:tmpl w:val="B5EED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5C2D6F"/>
    <w:multiLevelType w:val="multilevel"/>
    <w:tmpl w:val="6E00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D66808"/>
    <w:multiLevelType w:val="multilevel"/>
    <w:tmpl w:val="7FF0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CE7787"/>
    <w:multiLevelType w:val="multilevel"/>
    <w:tmpl w:val="7DC2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4870638">
    <w:abstractNumId w:val="7"/>
  </w:num>
  <w:num w:numId="2" w16cid:durableId="1196850888">
    <w:abstractNumId w:val="1"/>
  </w:num>
  <w:num w:numId="3" w16cid:durableId="1330716563">
    <w:abstractNumId w:val="3"/>
  </w:num>
  <w:num w:numId="4" w16cid:durableId="441995477">
    <w:abstractNumId w:val="19"/>
  </w:num>
  <w:num w:numId="5" w16cid:durableId="134105040">
    <w:abstractNumId w:val="13"/>
  </w:num>
  <w:num w:numId="6" w16cid:durableId="126625307">
    <w:abstractNumId w:val="5"/>
  </w:num>
  <w:num w:numId="7" w16cid:durableId="1244993467">
    <w:abstractNumId w:val="6"/>
  </w:num>
  <w:num w:numId="8" w16cid:durableId="2139448166">
    <w:abstractNumId w:val="9"/>
  </w:num>
  <w:num w:numId="9" w16cid:durableId="404038553">
    <w:abstractNumId w:val="26"/>
  </w:num>
  <w:num w:numId="10" w16cid:durableId="228032476">
    <w:abstractNumId w:val="22"/>
  </w:num>
  <w:num w:numId="11" w16cid:durableId="1111510495">
    <w:abstractNumId w:val="29"/>
  </w:num>
  <w:num w:numId="12" w16cid:durableId="1792361702">
    <w:abstractNumId w:val="23"/>
  </w:num>
  <w:num w:numId="13" w16cid:durableId="1511095947">
    <w:abstractNumId w:val="17"/>
  </w:num>
  <w:num w:numId="14" w16cid:durableId="2019888529">
    <w:abstractNumId w:val="12"/>
  </w:num>
  <w:num w:numId="15" w16cid:durableId="293101722">
    <w:abstractNumId w:val="18"/>
  </w:num>
  <w:num w:numId="16" w16cid:durableId="21177245">
    <w:abstractNumId w:val="15"/>
  </w:num>
  <w:num w:numId="17" w16cid:durableId="1923175401">
    <w:abstractNumId w:val="33"/>
  </w:num>
  <w:num w:numId="18" w16cid:durableId="1749575139">
    <w:abstractNumId w:val="25"/>
  </w:num>
  <w:num w:numId="19" w16cid:durableId="1049695005">
    <w:abstractNumId w:val="4"/>
  </w:num>
  <w:num w:numId="20" w16cid:durableId="2117944633">
    <w:abstractNumId w:val="16"/>
  </w:num>
  <w:num w:numId="21" w16cid:durableId="492263292">
    <w:abstractNumId w:val="27"/>
  </w:num>
  <w:num w:numId="22" w16cid:durableId="1038316826">
    <w:abstractNumId w:val="28"/>
  </w:num>
  <w:num w:numId="23" w16cid:durableId="1453329152">
    <w:abstractNumId w:val="21"/>
  </w:num>
  <w:num w:numId="24" w16cid:durableId="978077466">
    <w:abstractNumId w:val="11"/>
  </w:num>
  <w:num w:numId="25" w16cid:durableId="1309163349">
    <w:abstractNumId w:val="32"/>
  </w:num>
  <w:num w:numId="26" w16cid:durableId="1657688317">
    <w:abstractNumId w:val="20"/>
  </w:num>
  <w:num w:numId="27" w16cid:durableId="1389526914">
    <w:abstractNumId w:val="14"/>
  </w:num>
  <w:num w:numId="28" w16cid:durableId="1649241802">
    <w:abstractNumId w:val="24"/>
  </w:num>
  <w:num w:numId="29" w16cid:durableId="1230002232">
    <w:abstractNumId w:val="0"/>
  </w:num>
  <w:num w:numId="30" w16cid:durableId="904293185">
    <w:abstractNumId w:val="10"/>
  </w:num>
  <w:num w:numId="31" w16cid:durableId="258805037">
    <w:abstractNumId w:val="31"/>
  </w:num>
  <w:num w:numId="32" w16cid:durableId="1977224246">
    <w:abstractNumId w:val="8"/>
  </w:num>
  <w:num w:numId="33" w16cid:durableId="846529248">
    <w:abstractNumId w:val="30"/>
  </w:num>
  <w:num w:numId="34" w16cid:durableId="142628235">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26B"/>
    <w:rsid w:val="00011FEC"/>
    <w:rsid w:val="00013461"/>
    <w:rsid w:val="000201FD"/>
    <w:rsid w:val="00024E42"/>
    <w:rsid w:val="000558E6"/>
    <w:rsid w:val="00057D74"/>
    <w:rsid w:val="000669FE"/>
    <w:rsid w:val="00066B98"/>
    <w:rsid w:val="00073C68"/>
    <w:rsid w:val="00086435"/>
    <w:rsid w:val="0008777D"/>
    <w:rsid w:val="000909FE"/>
    <w:rsid w:val="0009648E"/>
    <w:rsid w:val="000A0D15"/>
    <w:rsid w:val="000A2EC6"/>
    <w:rsid w:val="000A5E05"/>
    <w:rsid w:val="000B3046"/>
    <w:rsid w:val="000B4FBF"/>
    <w:rsid w:val="000B682A"/>
    <w:rsid w:val="000D1898"/>
    <w:rsid w:val="000D229C"/>
    <w:rsid w:val="000E355F"/>
    <w:rsid w:val="000E5068"/>
    <w:rsid w:val="000E579D"/>
    <w:rsid w:val="000E6349"/>
    <w:rsid w:val="000F2B68"/>
    <w:rsid w:val="000F6139"/>
    <w:rsid w:val="000F7986"/>
    <w:rsid w:val="00103296"/>
    <w:rsid w:val="001100F5"/>
    <w:rsid w:val="00114228"/>
    <w:rsid w:val="00117A13"/>
    <w:rsid w:val="00117B54"/>
    <w:rsid w:val="00123309"/>
    <w:rsid w:val="00126740"/>
    <w:rsid w:val="00136046"/>
    <w:rsid w:val="0014144A"/>
    <w:rsid w:val="00144A58"/>
    <w:rsid w:val="001708A1"/>
    <w:rsid w:val="00177BBC"/>
    <w:rsid w:val="00177CD0"/>
    <w:rsid w:val="001838A7"/>
    <w:rsid w:val="00192F46"/>
    <w:rsid w:val="001A1262"/>
    <w:rsid w:val="001A3567"/>
    <w:rsid w:val="001A63CE"/>
    <w:rsid w:val="001B0CF5"/>
    <w:rsid w:val="001B39B9"/>
    <w:rsid w:val="001C62C4"/>
    <w:rsid w:val="001D3A78"/>
    <w:rsid w:val="001E6580"/>
    <w:rsid w:val="00200CFD"/>
    <w:rsid w:val="00203286"/>
    <w:rsid w:val="00203493"/>
    <w:rsid w:val="0021111E"/>
    <w:rsid w:val="00214FF4"/>
    <w:rsid w:val="00217665"/>
    <w:rsid w:val="0022550F"/>
    <w:rsid w:val="00231522"/>
    <w:rsid w:val="00250625"/>
    <w:rsid w:val="00252FB3"/>
    <w:rsid w:val="00256A56"/>
    <w:rsid w:val="00263942"/>
    <w:rsid w:val="00273426"/>
    <w:rsid w:val="00274C23"/>
    <w:rsid w:val="00274DD2"/>
    <w:rsid w:val="0027787A"/>
    <w:rsid w:val="00284181"/>
    <w:rsid w:val="00287ACE"/>
    <w:rsid w:val="002965BF"/>
    <w:rsid w:val="00296A21"/>
    <w:rsid w:val="002A245D"/>
    <w:rsid w:val="002B4DEC"/>
    <w:rsid w:val="002C1E27"/>
    <w:rsid w:val="002C38A2"/>
    <w:rsid w:val="002C71CA"/>
    <w:rsid w:val="002C79D9"/>
    <w:rsid w:val="002D0859"/>
    <w:rsid w:val="002D2CC0"/>
    <w:rsid w:val="002D4DF0"/>
    <w:rsid w:val="002D6C50"/>
    <w:rsid w:val="002E3D58"/>
    <w:rsid w:val="002E4931"/>
    <w:rsid w:val="002E747B"/>
    <w:rsid w:val="002F2CD6"/>
    <w:rsid w:val="00302D9C"/>
    <w:rsid w:val="00303FE4"/>
    <w:rsid w:val="0030491A"/>
    <w:rsid w:val="00306DEE"/>
    <w:rsid w:val="00307B67"/>
    <w:rsid w:val="0031371F"/>
    <w:rsid w:val="003173D7"/>
    <w:rsid w:val="00323289"/>
    <w:rsid w:val="003247A5"/>
    <w:rsid w:val="0033112A"/>
    <w:rsid w:val="003361F8"/>
    <w:rsid w:val="00343570"/>
    <w:rsid w:val="00350731"/>
    <w:rsid w:val="003510C4"/>
    <w:rsid w:val="00354FD8"/>
    <w:rsid w:val="00355BC5"/>
    <w:rsid w:val="0036100C"/>
    <w:rsid w:val="00374D21"/>
    <w:rsid w:val="00376C4F"/>
    <w:rsid w:val="00390591"/>
    <w:rsid w:val="003925DA"/>
    <w:rsid w:val="00394EDE"/>
    <w:rsid w:val="00396B59"/>
    <w:rsid w:val="00397481"/>
    <w:rsid w:val="003A00A1"/>
    <w:rsid w:val="003A259F"/>
    <w:rsid w:val="003A2DE6"/>
    <w:rsid w:val="003A52DF"/>
    <w:rsid w:val="003A5CAB"/>
    <w:rsid w:val="003B08F2"/>
    <w:rsid w:val="003B3DB7"/>
    <w:rsid w:val="003B6272"/>
    <w:rsid w:val="003B7C45"/>
    <w:rsid w:val="003C43AB"/>
    <w:rsid w:val="003D7F69"/>
    <w:rsid w:val="003E1BCA"/>
    <w:rsid w:val="003E526F"/>
    <w:rsid w:val="003F37BA"/>
    <w:rsid w:val="003F68D2"/>
    <w:rsid w:val="00401023"/>
    <w:rsid w:val="00406D6F"/>
    <w:rsid w:val="00413D9C"/>
    <w:rsid w:val="00414EE1"/>
    <w:rsid w:val="004159AF"/>
    <w:rsid w:val="00423BA8"/>
    <w:rsid w:val="0042620B"/>
    <w:rsid w:val="00432204"/>
    <w:rsid w:val="00433BBC"/>
    <w:rsid w:val="004366BB"/>
    <w:rsid w:val="004366FA"/>
    <w:rsid w:val="004413F1"/>
    <w:rsid w:val="00443C27"/>
    <w:rsid w:val="00445E7A"/>
    <w:rsid w:val="00450E1A"/>
    <w:rsid w:val="00471BF2"/>
    <w:rsid w:val="004757CB"/>
    <w:rsid w:val="00480BF5"/>
    <w:rsid w:val="00482492"/>
    <w:rsid w:val="00494D20"/>
    <w:rsid w:val="004A340C"/>
    <w:rsid w:val="004A6A51"/>
    <w:rsid w:val="004B7D7E"/>
    <w:rsid w:val="004E0293"/>
    <w:rsid w:val="004E6939"/>
    <w:rsid w:val="004F2EF0"/>
    <w:rsid w:val="004F3CBC"/>
    <w:rsid w:val="005036DF"/>
    <w:rsid w:val="00503734"/>
    <w:rsid w:val="00514D0A"/>
    <w:rsid w:val="005160FA"/>
    <w:rsid w:val="00516139"/>
    <w:rsid w:val="00524E3A"/>
    <w:rsid w:val="005357D5"/>
    <w:rsid w:val="00550558"/>
    <w:rsid w:val="00553574"/>
    <w:rsid w:val="00555200"/>
    <w:rsid w:val="00556E7E"/>
    <w:rsid w:val="00572708"/>
    <w:rsid w:val="00572A42"/>
    <w:rsid w:val="00576874"/>
    <w:rsid w:val="00576B99"/>
    <w:rsid w:val="00580B97"/>
    <w:rsid w:val="00582EBA"/>
    <w:rsid w:val="00597E70"/>
    <w:rsid w:val="005A7A3C"/>
    <w:rsid w:val="005B1DDB"/>
    <w:rsid w:val="005B4514"/>
    <w:rsid w:val="005C3E27"/>
    <w:rsid w:val="005C42E6"/>
    <w:rsid w:val="005C6404"/>
    <w:rsid w:val="005C74FA"/>
    <w:rsid w:val="005E619F"/>
    <w:rsid w:val="005F3A6B"/>
    <w:rsid w:val="005F4BBE"/>
    <w:rsid w:val="005F5F83"/>
    <w:rsid w:val="006025AB"/>
    <w:rsid w:val="006109FE"/>
    <w:rsid w:val="00611643"/>
    <w:rsid w:val="0061694C"/>
    <w:rsid w:val="006314F6"/>
    <w:rsid w:val="00645806"/>
    <w:rsid w:val="0064745C"/>
    <w:rsid w:val="00660704"/>
    <w:rsid w:val="006613EF"/>
    <w:rsid w:val="006633BE"/>
    <w:rsid w:val="006648DB"/>
    <w:rsid w:val="00674677"/>
    <w:rsid w:val="00676EF9"/>
    <w:rsid w:val="00692992"/>
    <w:rsid w:val="00697B21"/>
    <w:rsid w:val="006A5418"/>
    <w:rsid w:val="006B23AE"/>
    <w:rsid w:val="006B28B7"/>
    <w:rsid w:val="006C2FC5"/>
    <w:rsid w:val="006C67AD"/>
    <w:rsid w:val="006D6C5D"/>
    <w:rsid w:val="006F0E23"/>
    <w:rsid w:val="00702561"/>
    <w:rsid w:val="00702D61"/>
    <w:rsid w:val="007068C8"/>
    <w:rsid w:val="00706B31"/>
    <w:rsid w:val="00707B59"/>
    <w:rsid w:val="00716C56"/>
    <w:rsid w:val="007205F9"/>
    <w:rsid w:val="00724900"/>
    <w:rsid w:val="007271FA"/>
    <w:rsid w:val="00727581"/>
    <w:rsid w:val="00727CF6"/>
    <w:rsid w:val="00730FD6"/>
    <w:rsid w:val="00735956"/>
    <w:rsid w:val="00737070"/>
    <w:rsid w:val="00740E14"/>
    <w:rsid w:val="00742802"/>
    <w:rsid w:val="00743289"/>
    <w:rsid w:val="0075166F"/>
    <w:rsid w:val="00757BE1"/>
    <w:rsid w:val="00762BA2"/>
    <w:rsid w:val="00763DC8"/>
    <w:rsid w:val="00763F2B"/>
    <w:rsid w:val="00772924"/>
    <w:rsid w:val="00772BC6"/>
    <w:rsid w:val="00775C1A"/>
    <w:rsid w:val="007772F3"/>
    <w:rsid w:val="007805D2"/>
    <w:rsid w:val="0078183A"/>
    <w:rsid w:val="00784A14"/>
    <w:rsid w:val="007A6DE8"/>
    <w:rsid w:val="007B4D95"/>
    <w:rsid w:val="007B560C"/>
    <w:rsid w:val="007B7476"/>
    <w:rsid w:val="007C5DEC"/>
    <w:rsid w:val="007D3481"/>
    <w:rsid w:val="007D7DD8"/>
    <w:rsid w:val="007E164A"/>
    <w:rsid w:val="007E2AF0"/>
    <w:rsid w:val="007F1964"/>
    <w:rsid w:val="007F43E3"/>
    <w:rsid w:val="00802C01"/>
    <w:rsid w:val="0081141A"/>
    <w:rsid w:val="0081444D"/>
    <w:rsid w:val="00815D18"/>
    <w:rsid w:val="00820F2D"/>
    <w:rsid w:val="0083377A"/>
    <w:rsid w:val="008337D7"/>
    <w:rsid w:val="00835611"/>
    <w:rsid w:val="00835C4B"/>
    <w:rsid w:val="008367A1"/>
    <w:rsid w:val="00846666"/>
    <w:rsid w:val="00851340"/>
    <w:rsid w:val="008541A0"/>
    <w:rsid w:val="00856F36"/>
    <w:rsid w:val="008628FC"/>
    <w:rsid w:val="00875F47"/>
    <w:rsid w:val="008764D3"/>
    <w:rsid w:val="00881A10"/>
    <w:rsid w:val="0088212B"/>
    <w:rsid w:val="00885161"/>
    <w:rsid w:val="0088726B"/>
    <w:rsid w:val="008938D5"/>
    <w:rsid w:val="00893A2F"/>
    <w:rsid w:val="008A0248"/>
    <w:rsid w:val="008A2281"/>
    <w:rsid w:val="008B46E4"/>
    <w:rsid w:val="008B7AC0"/>
    <w:rsid w:val="008C5426"/>
    <w:rsid w:val="008C686C"/>
    <w:rsid w:val="008C74E7"/>
    <w:rsid w:val="008D072D"/>
    <w:rsid w:val="008D3463"/>
    <w:rsid w:val="008E0146"/>
    <w:rsid w:val="008E0671"/>
    <w:rsid w:val="008E505B"/>
    <w:rsid w:val="008E6DCB"/>
    <w:rsid w:val="008E7CC5"/>
    <w:rsid w:val="008F6C93"/>
    <w:rsid w:val="00900044"/>
    <w:rsid w:val="009044FB"/>
    <w:rsid w:val="00906FD8"/>
    <w:rsid w:val="009206CA"/>
    <w:rsid w:val="00921688"/>
    <w:rsid w:val="00933632"/>
    <w:rsid w:val="0094069F"/>
    <w:rsid w:val="00942696"/>
    <w:rsid w:val="00943039"/>
    <w:rsid w:val="00956401"/>
    <w:rsid w:val="00964D27"/>
    <w:rsid w:val="00974211"/>
    <w:rsid w:val="00975B5F"/>
    <w:rsid w:val="0097761F"/>
    <w:rsid w:val="00980748"/>
    <w:rsid w:val="00986575"/>
    <w:rsid w:val="009905E1"/>
    <w:rsid w:val="009A0075"/>
    <w:rsid w:val="009A2069"/>
    <w:rsid w:val="009B20C9"/>
    <w:rsid w:val="009C2ACE"/>
    <w:rsid w:val="009C50EB"/>
    <w:rsid w:val="009D0E0C"/>
    <w:rsid w:val="009D64C8"/>
    <w:rsid w:val="009E3D4B"/>
    <w:rsid w:val="009E4EEE"/>
    <w:rsid w:val="009E759C"/>
    <w:rsid w:val="009F01BC"/>
    <w:rsid w:val="009F5474"/>
    <w:rsid w:val="009F6B82"/>
    <w:rsid w:val="00A05766"/>
    <w:rsid w:val="00A06D0A"/>
    <w:rsid w:val="00A12FA2"/>
    <w:rsid w:val="00A165F2"/>
    <w:rsid w:val="00A231C8"/>
    <w:rsid w:val="00A23EBA"/>
    <w:rsid w:val="00A316B1"/>
    <w:rsid w:val="00A31A1C"/>
    <w:rsid w:val="00A32BD2"/>
    <w:rsid w:val="00A34DD9"/>
    <w:rsid w:val="00A35E3F"/>
    <w:rsid w:val="00A41F23"/>
    <w:rsid w:val="00A54ED0"/>
    <w:rsid w:val="00A61BA9"/>
    <w:rsid w:val="00A6363C"/>
    <w:rsid w:val="00A74278"/>
    <w:rsid w:val="00A74B94"/>
    <w:rsid w:val="00A77FB8"/>
    <w:rsid w:val="00A80859"/>
    <w:rsid w:val="00A825F6"/>
    <w:rsid w:val="00A91891"/>
    <w:rsid w:val="00A92E4F"/>
    <w:rsid w:val="00A97FEB"/>
    <w:rsid w:val="00AA0D7E"/>
    <w:rsid w:val="00AA16C1"/>
    <w:rsid w:val="00AB29C3"/>
    <w:rsid w:val="00AB6922"/>
    <w:rsid w:val="00AC566B"/>
    <w:rsid w:val="00AD09C6"/>
    <w:rsid w:val="00AD3423"/>
    <w:rsid w:val="00AE7244"/>
    <w:rsid w:val="00AF2FC6"/>
    <w:rsid w:val="00AF6A0A"/>
    <w:rsid w:val="00B11E55"/>
    <w:rsid w:val="00B141C1"/>
    <w:rsid w:val="00B20C97"/>
    <w:rsid w:val="00B25C15"/>
    <w:rsid w:val="00B3190B"/>
    <w:rsid w:val="00B335EF"/>
    <w:rsid w:val="00B35BDD"/>
    <w:rsid w:val="00B35F4F"/>
    <w:rsid w:val="00B53935"/>
    <w:rsid w:val="00B567B8"/>
    <w:rsid w:val="00B56F9A"/>
    <w:rsid w:val="00B6514C"/>
    <w:rsid w:val="00B6747F"/>
    <w:rsid w:val="00B7580F"/>
    <w:rsid w:val="00B759E4"/>
    <w:rsid w:val="00BA0101"/>
    <w:rsid w:val="00BA16FB"/>
    <w:rsid w:val="00BA3E53"/>
    <w:rsid w:val="00BC66CA"/>
    <w:rsid w:val="00BC77FF"/>
    <w:rsid w:val="00BD460E"/>
    <w:rsid w:val="00BE002C"/>
    <w:rsid w:val="00BE11E3"/>
    <w:rsid w:val="00BE4F77"/>
    <w:rsid w:val="00BF4843"/>
    <w:rsid w:val="00BF5A07"/>
    <w:rsid w:val="00C022EA"/>
    <w:rsid w:val="00C05981"/>
    <w:rsid w:val="00C10AB6"/>
    <w:rsid w:val="00C16699"/>
    <w:rsid w:val="00C22217"/>
    <w:rsid w:val="00C2480A"/>
    <w:rsid w:val="00C25FBA"/>
    <w:rsid w:val="00C27092"/>
    <w:rsid w:val="00C27A28"/>
    <w:rsid w:val="00C33B21"/>
    <w:rsid w:val="00C4643F"/>
    <w:rsid w:val="00C467E5"/>
    <w:rsid w:val="00C5364B"/>
    <w:rsid w:val="00C55830"/>
    <w:rsid w:val="00C61134"/>
    <w:rsid w:val="00C6363B"/>
    <w:rsid w:val="00C81F3A"/>
    <w:rsid w:val="00C84447"/>
    <w:rsid w:val="00C868FB"/>
    <w:rsid w:val="00C92DE7"/>
    <w:rsid w:val="00C97BD8"/>
    <w:rsid w:val="00C97D6E"/>
    <w:rsid w:val="00CA1507"/>
    <w:rsid w:val="00CA5478"/>
    <w:rsid w:val="00CB3738"/>
    <w:rsid w:val="00CB6278"/>
    <w:rsid w:val="00CB71E8"/>
    <w:rsid w:val="00CE0597"/>
    <w:rsid w:val="00CE1D1C"/>
    <w:rsid w:val="00CE2025"/>
    <w:rsid w:val="00CF015D"/>
    <w:rsid w:val="00CF05DE"/>
    <w:rsid w:val="00CF2C1B"/>
    <w:rsid w:val="00CF4E45"/>
    <w:rsid w:val="00CF70F1"/>
    <w:rsid w:val="00D0111C"/>
    <w:rsid w:val="00D056AE"/>
    <w:rsid w:val="00D1077B"/>
    <w:rsid w:val="00D2001D"/>
    <w:rsid w:val="00D306C0"/>
    <w:rsid w:val="00D44827"/>
    <w:rsid w:val="00D50398"/>
    <w:rsid w:val="00D518D2"/>
    <w:rsid w:val="00D52EAC"/>
    <w:rsid w:val="00D55652"/>
    <w:rsid w:val="00D6048D"/>
    <w:rsid w:val="00D654A5"/>
    <w:rsid w:val="00D664EF"/>
    <w:rsid w:val="00D6703B"/>
    <w:rsid w:val="00D76D81"/>
    <w:rsid w:val="00D82D5A"/>
    <w:rsid w:val="00D912FD"/>
    <w:rsid w:val="00D9248C"/>
    <w:rsid w:val="00DA4BEC"/>
    <w:rsid w:val="00DA630E"/>
    <w:rsid w:val="00DA64F7"/>
    <w:rsid w:val="00DB0CFC"/>
    <w:rsid w:val="00DC0B20"/>
    <w:rsid w:val="00DC1450"/>
    <w:rsid w:val="00DC2D1D"/>
    <w:rsid w:val="00DC3905"/>
    <w:rsid w:val="00DC498E"/>
    <w:rsid w:val="00DC5985"/>
    <w:rsid w:val="00DD1AAA"/>
    <w:rsid w:val="00DD2B20"/>
    <w:rsid w:val="00DD39BD"/>
    <w:rsid w:val="00DD4736"/>
    <w:rsid w:val="00DE03E1"/>
    <w:rsid w:val="00DE5430"/>
    <w:rsid w:val="00DE6B78"/>
    <w:rsid w:val="00DE75F2"/>
    <w:rsid w:val="00DE7613"/>
    <w:rsid w:val="00DF5DEF"/>
    <w:rsid w:val="00E001C2"/>
    <w:rsid w:val="00E01933"/>
    <w:rsid w:val="00E1229E"/>
    <w:rsid w:val="00E1682C"/>
    <w:rsid w:val="00E17C25"/>
    <w:rsid w:val="00E24AC4"/>
    <w:rsid w:val="00E27EC1"/>
    <w:rsid w:val="00E302C2"/>
    <w:rsid w:val="00E36F9E"/>
    <w:rsid w:val="00E37E96"/>
    <w:rsid w:val="00E45F58"/>
    <w:rsid w:val="00E47C38"/>
    <w:rsid w:val="00E54688"/>
    <w:rsid w:val="00E613E8"/>
    <w:rsid w:val="00E62E5F"/>
    <w:rsid w:val="00E635F9"/>
    <w:rsid w:val="00E66B1A"/>
    <w:rsid w:val="00E7568C"/>
    <w:rsid w:val="00E7648C"/>
    <w:rsid w:val="00E779FF"/>
    <w:rsid w:val="00E86B50"/>
    <w:rsid w:val="00E91F05"/>
    <w:rsid w:val="00E931E6"/>
    <w:rsid w:val="00E95E37"/>
    <w:rsid w:val="00EA246C"/>
    <w:rsid w:val="00EA73D5"/>
    <w:rsid w:val="00EB325D"/>
    <w:rsid w:val="00EB4D35"/>
    <w:rsid w:val="00EB61B0"/>
    <w:rsid w:val="00ED3BE7"/>
    <w:rsid w:val="00EE3A78"/>
    <w:rsid w:val="00EE6404"/>
    <w:rsid w:val="00EF1BD4"/>
    <w:rsid w:val="00F12456"/>
    <w:rsid w:val="00F15FDF"/>
    <w:rsid w:val="00F16A7C"/>
    <w:rsid w:val="00F20315"/>
    <w:rsid w:val="00F26475"/>
    <w:rsid w:val="00F31BD5"/>
    <w:rsid w:val="00F33181"/>
    <w:rsid w:val="00F34676"/>
    <w:rsid w:val="00F3687C"/>
    <w:rsid w:val="00F4053F"/>
    <w:rsid w:val="00F42DE8"/>
    <w:rsid w:val="00F44124"/>
    <w:rsid w:val="00F46E18"/>
    <w:rsid w:val="00F52573"/>
    <w:rsid w:val="00F53A62"/>
    <w:rsid w:val="00F61382"/>
    <w:rsid w:val="00F620B9"/>
    <w:rsid w:val="00F83181"/>
    <w:rsid w:val="00F83A68"/>
    <w:rsid w:val="00F8755D"/>
    <w:rsid w:val="00F90D11"/>
    <w:rsid w:val="00F934E3"/>
    <w:rsid w:val="00FA2553"/>
    <w:rsid w:val="00FA4658"/>
    <w:rsid w:val="00FA7A61"/>
    <w:rsid w:val="00FB0B47"/>
    <w:rsid w:val="00FB20B8"/>
    <w:rsid w:val="00FB2AA0"/>
    <w:rsid w:val="00FB4462"/>
    <w:rsid w:val="00FC374D"/>
    <w:rsid w:val="00FD1CA2"/>
    <w:rsid w:val="00FD3A36"/>
    <w:rsid w:val="00FE3E4B"/>
    <w:rsid w:val="00FE6E51"/>
    <w:rsid w:val="00FE7818"/>
    <w:rsid w:val="00FF3230"/>
    <w:rsid w:val="00FF465A"/>
    <w:rsid w:val="02FF7A7B"/>
    <w:rsid w:val="04545631"/>
    <w:rsid w:val="058961F5"/>
    <w:rsid w:val="06D2293F"/>
    <w:rsid w:val="07AF3ACA"/>
    <w:rsid w:val="0A3245CA"/>
    <w:rsid w:val="0B053A06"/>
    <w:rsid w:val="0CAD4F28"/>
    <w:rsid w:val="0F6C3A64"/>
    <w:rsid w:val="139E556E"/>
    <w:rsid w:val="15120961"/>
    <w:rsid w:val="1C3E793A"/>
    <w:rsid w:val="1F3C5CAA"/>
    <w:rsid w:val="224E3432"/>
    <w:rsid w:val="24EE7FB1"/>
    <w:rsid w:val="250E7760"/>
    <w:rsid w:val="26D13EF9"/>
    <w:rsid w:val="28DC6898"/>
    <w:rsid w:val="28FF44CE"/>
    <w:rsid w:val="2A30530E"/>
    <w:rsid w:val="2CD350D9"/>
    <w:rsid w:val="33EA1139"/>
    <w:rsid w:val="375B7842"/>
    <w:rsid w:val="37A421DA"/>
    <w:rsid w:val="40675C44"/>
    <w:rsid w:val="42F51E2A"/>
    <w:rsid w:val="445D29A1"/>
    <w:rsid w:val="45AA4758"/>
    <w:rsid w:val="46024B08"/>
    <w:rsid w:val="522269B1"/>
    <w:rsid w:val="52E818D8"/>
    <w:rsid w:val="53621857"/>
    <w:rsid w:val="53B62265"/>
    <w:rsid w:val="565E0FF7"/>
    <w:rsid w:val="5C6E334E"/>
    <w:rsid w:val="5CB854E1"/>
    <w:rsid w:val="5D4F4FA5"/>
    <w:rsid w:val="61601170"/>
    <w:rsid w:val="629C4975"/>
    <w:rsid w:val="679C3F83"/>
    <w:rsid w:val="6C5F68DC"/>
    <w:rsid w:val="6CE27A9A"/>
    <w:rsid w:val="6D83593A"/>
    <w:rsid w:val="6DB31BD3"/>
    <w:rsid w:val="705376E5"/>
    <w:rsid w:val="731C5241"/>
    <w:rsid w:val="74FB44DA"/>
    <w:rsid w:val="761A65C6"/>
    <w:rsid w:val="76752845"/>
    <w:rsid w:val="7CF64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6C6CA"/>
  <w15:docId w15:val="{EA150D0F-1990-4998-92C1-177CF4C39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uiPriority w:val="9"/>
    <w:semiHidden/>
    <w:unhideWhenUsed/>
    <w:qFormat/>
    <w:pPr>
      <w:spacing w:beforeAutospacing="1" w:afterAutospacing="1"/>
      <w:outlineLvl w:val="3"/>
    </w:pPr>
    <w:rPr>
      <w:rFonts w:ascii="SimSun" w:hAnsi="SimSun" w:hint="eastAsia"/>
      <w:b/>
      <w:bCs/>
      <w:sz w:val="24"/>
      <w:szCs w:val="24"/>
      <w:lang w:eastAsia="zh-CN"/>
    </w:rPr>
  </w:style>
  <w:style w:type="paragraph" w:styleId="Heading6">
    <w:name w:val="heading 6"/>
    <w:basedOn w:val="Normal"/>
    <w:next w:val="Normal"/>
    <w:link w:val="Heading6Char"/>
    <w:uiPriority w:val="9"/>
    <w:semiHidden/>
    <w:unhideWhenUsed/>
    <w:qFormat/>
    <w:rsid w:val="00E86B50"/>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NoSpacing">
    <w:name w:val="No Spacing"/>
    <w:uiPriority w:val="1"/>
    <w:qFormat/>
    <w:rPr>
      <w:rFonts w:asciiTheme="minorHAnsi" w:eastAsiaTheme="minorHAnsi" w:hAnsiTheme="minorHAnsi" w:cstheme="minorBidi"/>
      <w:sz w:val="22"/>
      <w:szCs w:val="22"/>
    </w:rPr>
  </w:style>
  <w:style w:type="character" w:customStyle="1" w:styleId="cite-bracket">
    <w:name w:val="cite-bracket"/>
    <w:basedOn w:val="DefaultParagraphFon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1Char">
    <w:name w:val="Heading 1 Char"/>
    <w:link w:val="Heading1"/>
    <w:rPr>
      <w:b/>
      <w:bCs/>
      <w:kern w:val="44"/>
      <w:sz w:val="44"/>
      <w:szCs w:val="44"/>
    </w:rPr>
  </w:style>
  <w:style w:type="character" w:styleId="UnresolvedMention">
    <w:name w:val="Unresolved Mention"/>
    <w:basedOn w:val="DefaultParagraphFont"/>
    <w:uiPriority w:val="99"/>
    <w:semiHidden/>
    <w:unhideWhenUsed/>
    <w:rsid w:val="00DC0B20"/>
    <w:rPr>
      <w:color w:val="605E5C"/>
      <w:shd w:val="clear" w:color="auto" w:fill="E1DFDD"/>
    </w:rPr>
  </w:style>
  <w:style w:type="table" w:styleId="TableGrid">
    <w:name w:val="Table Grid"/>
    <w:basedOn w:val="TableNormal"/>
    <w:uiPriority w:val="59"/>
    <w:rsid w:val="002965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w-post-body-paragraph">
    <w:name w:val="pw-post-body-paragraph"/>
    <w:basedOn w:val="Normal"/>
    <w:rsid w:val="00A32BD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62BA2"/>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E86B50"/>
    <w:rPr>
      <w:rFonts w:asciiTheme="majorHAnsi" w:eastAsiaTheme="majorEastAsia" w:hAnsiTheme="majorHAnsi" w:cstheme="majorBidi"/>
      <w:color w:val="243F60" w:themeColor="accent1" w:themeShade="7F"/>
      <w:sz w:val="22"/>
      <w:szCs w:val="22"/>
    </w:rPr>
  </w:style>
  <w:style w:type="character" w:styleId="Emphasis">
    <w:name w:val="Emphasis"/>
    <w:basedOn w:val="DefaultParagraphFont"/>
    <w:uiPriority w:val="20"/>
    <w:qFormat/>
    <w:rsid w:val="003B3DB7"/>
    <w:rPr>
      <w:i/>
      <w:iCs/>
    </w:rPr>
  </w:style>
  <w:style w:type="character" w:customStyle="1" w:styleId="selected">
    <w:name w:val="selected"/>
    <w:basedOn w:val="DefaultParagraphFont"/>
    <w:rsid w:val="009A0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48307">
      <w:bodyDiv w:val="1"/>
      <w:marLeft w:val="0"/>
      <w:marRight w:val="0"/>
      <w:marTop w:val="0"/>
      <w:marBottom w:val="0"/>
      <w:divBdr>
        <w:top w:val="none" w:sz="0" w:space="0" w:color="auto"/>
        <w:left w:val="none" w:sz="0" w:space="0" w:color="auto"/>
        <w:bottom w:val="none" w:sz="0" w:space="0" w:color="auto"/>
        <w:right w:val="none" w:sz="0" w:space="0" w:color="auto"/>
      </w:divBdr>
    </w:div>
    <w:div w:id="45692222">
      <w:bodyDiv w:val="1"/>
      <w:marLeft w:val="0"/>
      <w:marRight w:val="0"/>
      <w:marTop w:val="0"/>
      <w:marBottom w:val="0"/>
      <w:divBdr>
        <w:top w:val="none" w:sz="0" w:space="0" w:color="auto"/>
        <w:left w:val="none" w:sz="0" w:space="0" w:color="auto"/>
        <w:bottom w:val="none" w:sz="0" w:space="0" w:color="auto"/>
        <w:right w:val="none" w:sz="0" w:space="0" w:color="auto"/>
      </w:divBdr>
    </w:div>
    <w:div w:id="89082683">
      <w:bodyDiv w:val="1"/>
      <w:marLeft w:val="0"/>
      <w:marRight w:val="0"/>
      <w:marTop w:val="0"/>
      <w:marBottom w:val="0"/>
      <w:divBdr>
        <w:top w:val="none" w:sz="0" w:space="0" w:color="auto"/>
        <w:left w:val="none" w:sz="0" w:space="0" w:color="auto"/>
        <w:bottom w:val="none" w:sz="0" w:space="0" w:color="auto"/>
        <w:right w:val="none" w:sz="0" w:space="0" w:color="auto"/>
      </w:divBdr>
    </w:div>
    <w:div w:id="102456170">
      <w:bodyDiv w:val="1"/>
      <w:marLeft w:val="0"/>
      <w:marRight w:val="0"/>
      <w:marTop w:val="0"/>
      <w:marBottom w:val="0"/>
      <w:divBdr>
        <w:top w:val="none" w:sz="0" w:space="0" w:color="auto"/>
        <w:left w:val="none" w:sz="0" w:space="0" w:color="auto"/>
        <w:bottom w:val="none" w:sz="0" w:space="0" w:color="auto"/>
        <w:right w:val="none" w:sz="0" w:space="0" w:color="auto"/>
      </w:divBdr>
      <w:divsChild>
        <w:div w:id="694621819">
          <w:marLeft w:val="0"/>
          <w:marRight w:val="0"/>
          <w:marTop w:val="0"/>
          <w:marBottom w:val="0"/>
          <w:divBdr>
            <w:top w:val="none" w:sz="0" w:space="0" w:color="auto"/>
            <w:left w:val="none" w:sz="0" w:space="0" w:color="auto"/>
            <w:bottom w:val="none" w:sz="0" w:space="0" w:color="auto"/>
            <w:right w:val="none" w:sz="0" w:space="0" w:color="auto"/>
          </w:divBdr>
          <w:divsChild>
            <w:div w:id="1543245145">
              <w:marLeft w:val="0"/>
              <w:marRight w:val="0"/>
              <w:marTop w:val="0"/>
              <w:marBottom w:val="0"/>
              <w:divBdr>
                <w:top w:val="none" w:sz="0" w:space="0" w:color="auto"/>
                <w:left w:val="none" w:sz="0" w:space="0" w:color="auto"/>
                <w:bottom w:val="none" w:sz="0" w:space="0" w:color="auto"/>
                <w:right w:val="none" w:sz="0" w:space="0" w:color="auto"/>
              </w:divBdr>
              <w:divsChild>
                <w:div w:id="342827576">
                  <w:marLeft w:val="0"/>
                  <w:marRight w:val="0"/>
                  <w:marTop w:val="0"/>
                  <w:marBottom w:val="0"/>
                  <w:divBdr>
                    <w:top w:val="none" w:sz="0" w:space="0" w:color="auto"/>
                    <w:left w:val="none" w:sz="0" w:space="0" w:color="auto"/>
                    <w:bottom w:val="none" w:sz="0" w:space="0" w:color="auto"/>
                    <w:right w:val="none" w:sz="0" w:space="0" w:color="auto"/>
                  </w:divBdr>
                  <w:divsChild>
                    <w:div w:id="86118275">
                      <w:marLeft w:val="0"/>
                      <w:marRight w:val="0"/>
                      <w:marTop w:val="0"/>
                      <w:marBottom w:val="0"/>
                      <w:divBdr>
                        <w:top w:val="none" w:sz="0" w:space="0" w:color="auto"/>
                        <w:left w:val="none" w:sz="0" w:space="0" w:color="auto"/>
                        <w:bottom w:val="none" w:sz="0" w:space="0" w:color="auto"/>
                        <w:right w:val="none" w:sz="0" w:space="0" w:color="auto"/>
                      </w:divBdr>
                      <w:divsChild>
                        <w:div w:id="913247516">
                          <w:marLeft w:val="0"/>
                          <w:marRight w:val="0"/>
                          <w:marTop w:val="0"/>
                          <w:marBottom w:val="0"/>
                          <w:divBdr>
                            <w:top w:val="none" w:sz="0" w:space="0" w:color="auto"/>
                            <w:left w:val="none" w:sz="0" w:space="0" w:color="auto"/>
                            <w:bottom w:val="none" w:sz="0" w:space="0" w:color="auto"/>
                            <w:right w:val="none" w:sz="0" w:space="0" w:color="auto"/>
                          </w:divBdr>
                          <w:divsChild>
                            <w:div w:id="1065492757">
                              <w:marLeft w:val="0"/>
                              <w:marRight w:val="0"/>
                              <w:marTop w:val="0"/>
                              <w:marBottom w:val="0"/>
                              <w:divBdr>
                                <w:top w:val="none" w:sz="0" w:space="0" w:color="auto"/>
                                <w:left w:val="none" w:sz="0" w:space="0" w:color="auto"/>
                                <w:bottom w:val="none" w:sz="0" w:space="0" w:color="auto"/>
                                <w:right w:val="none" w:sz="0" w:space="0" w:color="auto"/>
                              </w:divBdr>
                              <w:divsChild>
                                <w:div w:id="1374501286">
                                  <w:marLeft w:val="0"/>
                                  <w:marRight w:val="0"/>
                                  <w:marTop w:val="0"/>
                                  <w:marBottom w:val="0"/>
                                  <w:divBdr>
                                    <w:top w:val="none" w:sz="0" w:space="0" w:color="auto"/>
                                    <w:left w:val="none" w:sz="0" w:space="0" w:color="auto"/>
                                    <w:bottom w:val="none" w:sz="0" w:space="0" w:color="auto"/>
                                    <w:right w:val="none" w:sz="0" w:space="0" w:color="auto"/>
                                  </w:divBdr>
                                  <w:divsChild>
                                    <w:div w:id="11541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18585">
      <w:bodyDiv w:val="1"/>
      <w:marLeft w:val="0"/>
      <w:marRight w:val="0"/>
      <w:marTop w:val="0"/>
      <w:marBottom w:val="0"/>
      <w:divBdr>
        <w:top w:val="none" w:sz="0" w:space="0" w:color="auto"/>
        <w:left w:val="none" w:sz="0" w:space="0" w:color="auto"/>
        <w:bottom w:val="none" w:sz="0" w:space="0" w:color="auto"/>
        <w:right w:val="none" w:sz="0" w:space="0" w:color="auto"/>
      </w:divBdr>
    </w:div>
    <w:div w:id="147673197">
      <w:bodyDiv w:val="1"/>
      <w:marLeft w:val="0"/>
      <w:marRight w:val="0"/>
      <w:marTop w:val="0"/>
      <w:marBottom w:val="0"/>
      <w:divBdr>
        <w:top w:val="none" w:sz="0" w:space="0" w:color="auto"/>
        <w:left w:val="none" w:sz="0" w:space="0" w:color="auto"/>
        <w:bottom w:val="none" w:sz="0" w:space="0" w:color="auto"/>
        <w:right w:val="none" w:sz="0" w:space="0" w:color="auto"/>
      </w:divBdr>
    </w:div>
    <w:div w:id="150951421">
      <w:bodyDiv w:val="1"/>
      <w:marLeft w:val="0"/>
      <w:marRight w:val="0"/>
      <w:marTop w:val="0"/>
      <w:marBottom w:val="0"/>
      <w:divBdr>
        <w:top w:val="none" w:sz="0" w:space="0" w:color="auto"/>
        <w:left w:val="none" w:sz="0" w:space="0" w:color="auto"/>
        <w:bottom w:val="none" w:sz="0" w:space="0" w:color="auto"/>
        <w:right w:val="none" w:sz="0" w:space="0" w:color="auto"/>
      </w:divBdr>
    </w:div>
    <w:div w:id="244147360">
      <w:bodyDiv w:val="1"/>
      <w:marLeft w:val="0"/>
      <w:marRight w:val="0"/>
      <w:marTop w:val="0"/>
      <w:marBottom w:val="0"/>
      <w:divBdr>
        <w:top w:val="none" w:sz="0" w:space="0" w:color="auto"/>
        <w:left w:val="none" w:sz="0" w:space="0" w:color="auto"/>
        <w:bottom w:val="none" w:sz="0" w:space="0" w:color="auto"/>
        <w:right w:val="none" w:sz="0" w:space="0" w:color="auto"/>
      </w:divBdr>
      <w:divsChild>
        <w:div w:id="1474524430">
          <w:marLeft w:val="0"/>
          <w:marRight w:val="0"/>
          <w:marTop w:val="0"/>
          <w:marBottom w:val="0"/>
          <w:divBdr>
            <w:top w:val="none" w:sz="0" w:space="0" w:color="auto"/>
            <w:left w:val="none" w:sz="0" w:space="0" w:color="auto"/>
            <w:bottom w:val="none" w:sz="0" w:space="0" w:color="auto"/>
            <w:right w:val="none" w:sz="0" w:space="0" w:color="auto"/>
          </w:divBdr>
        </w:div>
      </w:divsChild>
    </w:div>
    <w:div w:id="247934413">
      <w:bodyDiv w:val="1"/>
      <w:marLeft w:val="0"/>
      <w:marRight w:val="0"/>
      <w:marTop w:val="0"/>
      <w:marBottom w:val="0"/>
      <w:divBdr>
        <w:top w:val="none" w:sz="0" w:space="0" w:color="auto"/>
        <w:left w:val="none" w:sz="0" w:space="0" w:color="auto"/>
        <w:bottom w:val="none" w:sz="0" w:space="0" w:color="auto"/>
        <w:right w:val="none" w:sz="0" w:space="0" w:color="auto"/>
      </w:divBdr>
    </w:div>
    <w:div w:id="294651679">
      <w:bodyDiv w:val="1"/>
      <w:marLeft w:val="0"/>
      <w:marRight w:val="0"/>
      <w:marTop w:val="0"/>
      <w:marBottom w:val="0"/>
      <w:divBdr>
        <w:top w:val="none" w:sz="0" w:space="0" w:color="auto"/>
        <w:left w:val="none" w:sz="0" w:space="0" w:color="auto"/>
        <w:bottom w:val="none" w:sz="0" w:space="0" w:color="auto"/>
        <w:right w:val="none" w:sz="0" w:space="0" w:color="auto"/>
      </w:divBdr>
    </w:div>
    <w:div w:id="295450157">
      <w:bodyDiv w:val="1"/>
      <w:marLeft w:val="0"/>
      <w:marRight w:val="0"/>
      <w:marTop w:val="0"/>
      <w:marBottom w:val="0"/>
      <w:divBdr>
        <w:top w:val="none" w:sz="0" w:space="0" w:color="auto"/>
        <w:left w:val="none" w:sz="0" w:space="0" w:color="auto"/>
        <w:bottom w:val="none" w:sz="0" w:space="0" w:color="auto"/>
        <w:right w:val="none" w:sz="0" w:space="0" w:color="auto"/>
      </w:divBdr>
    </w:div>
    <w:div w:id="309528232">
      <w:bodyDiv w:val="1"/>
      <w:marLeft w:val="0"/>
      <w:marRight w:val="0"/>
      <w:marTop w:val="0"/>
      <w:marBottom w:val="0"/>
      <w:divBdr>
        <w:top w:val="none" w:sz="0" w:space="0" w:color="auto"/>
        <w:left w:val="none" w:sz="0" w:space="0" w:color="auto"/>
        <w:bottom w:val="none" w:sz="0" w:space="0" w:color="auto"/>
        <w:right w:val="none" w:sz="0" w:space="0" w:color="auto"/>
      </w:divBdr>
    </w:div>
    <w:div w:id="340399865">
      <w:bodyDiv w:val="1"/>
      <w:marLeft w:val="0"/>
      <w:marRight w:val="0"/>
      <w:marTop w:val="0"/>
      <w:marBottom w:val="0"/>
      <w:divBdr>
        <w:top w:val="none" w:sz="0" w:space="0" w:color="auto"/>
        <w:left w:val="none" w:sz="0" w:space="0" w:color="auto"/>
        <w:bottom w:val="none" w:sz="0" w:space="0" w:color="auto"/>
        <w:right w:val="none" w:sz="0" w:space="0" w:color="auto"/>
      </w:divBdr>
    </w:div>
    <w:div w:id="360325603">
      <w:bodyDiv w:val="1"/>
      <w:marLeft w:val="0"/>
      <w:marRight w:val="0"/>
      <w:marTop w:val="0"/>
      <w:marBottom w:val="0"/>
      <w:divBdr>
        <w:top w:val="none" w:sz="0" w:space="0" w:color="auto"/>
        <w:left w:val="none" w:sz="0" w:space="0" w:color="auto"/>
        <w:bottom w:val="none" w:sz="0" w:space="0" w:color="auto"/>
        <w:right w:val="none" w:sz="0" w:space="0" w:color="auto"/>
      </w:divBdr>
    </w:div>
    <w:div w:id="361631178">
      <w:bodyDiv w:val="1"/>
      <w:marLeft w:val="0"/>
      <w:marRight w:val="0"/>
      <w:marTop w:val="0"/>
      <w:marBottom w:val="0"/>
      <w:divBdr>
        <w:top w:val="none" w:sz="0" w:space="0" w:color="auto"/>
        <w:left w:val="none" w:sz="0" w:space="0" w:color="auto"/>
        <w:bottom w:val="none" w:sz="0" w:space="0" w:color="auto"/>
        <w:right w:val="none" w:sz="0" w:space="0" w:color="auto"/>
      </w:divBdr>
    </w:div>
    <w:div w:id="393310988">
      <w:bodyDiv w:val="1"/>
      <w:marLeft w:val="0"/>
      <w:marRight w:val="0"/>
      <w:marTop w:val="0"/>
      <w:marBottom w:val="0"/>
      <w:divBdr>
        <w:top w:val="none" w:sz="0" w:space="0" w:color="auto"/>
        <w:left w:val="none" w:sz="0" w:space="0" w:color="auto"/>
        <w:bottom w:val="none" w:sz="0" w:space="0" w:color="auto"/>
        <w:right w:val="none" w:sz="0" w:space="0" w:color="auto"/>
      </w:divBdr>
    </w:div>
    <w:div w:id="397091752">
      <w:bodyDiv w:val="1"/>
      <w:marLeft w:val="0"/>
      <w:marRight w:val="0"/>
      <w:marTop w:val="0"/>
      <w:marBottom w:val="0"/>
      <w:divBdr>
        <w:top w:val="none" w:sz="0" w:space="0" w:color="auto"/>
        <w:left w:val="none" w:sz="0" w:space="0" w:color="auto"/>
        <w:bottom w:val="none" w:sz="0" w:space="0" w:color="auto"/>
        <w:right w:val="none" w:sz="0" w:space="0" w:color="auto"/>
      </w:divBdr>
    </w:div>
    <w:div w:id="427580872">
      <w:bodyDiv w:val="1"/>
      <w:marLeft w:val="0"/>
      <w:marRight w:val="0"/>
      <w:marTop w:val="0"/>
      <w:marBottom w:val="0"/>
      <w:divBdr>
        <w:top w:val="none" w:sz="0" w:space="0" w:color="auto"/>
        <w:left w:val="none" w:sz="0" w:space="0" w:color="auto"/>
        <w:bottom w:val="none" w:sz="0" w:space="0" w:color="auto"/>
        <w:right w:val="none" w:sz="0" w:space="0" w:color="auto"/>
      </w:divBdr>
    </w:div>
    <w:div w:id="428745799">
      <w:bodyDiv w:val="1"/>
      <w:marLeft w:val="0"/>
      <w:marRight w:val="0"/>
      <w:marTop w:val="0"/>
      <w:marBottom w:val="0"/>
      <w:divBdr>
        <w:top w:val="none" w:sz="0" w:space="0" w:color="auto"/>
        <w:left w:val="none" w:sz="0" w:space="0" w:color="auto"/>
        <w:bottom w:val="none" w:sz="0" w:space="0" w:color="auto"/>
        <w:right w:val="none" w:sz="0" w:space="0" w:color="auto"/>
      </w:divBdr>
    </w:div>
    <w:div w:id="476605957">
      <w:bodyDiv w:val="1"/>
      <w:marLeft w:val="0"/>
      <w:marRight w:val="0"/>
      <w:marTop w:val="0"/>
      <w:marBottom w:val="0"/>
      <w:divBdr>
        <w:top w:val="none" w:sz="0" w:space="0" w:color="auto"/>
        <w:left w:val="none" w:sz="0" w:space="0" w:color="auto"/>
        <w:bottom w:val="none" w:sz="0" w:space="0" w:color="auto"/>
        <w:right w:val="none" w:sz="0" w:space="0" w:color="auto"/>
      </w:divBdr>
    </w:div>
    <w:div w:id="505174137">
      <w:bodyDiv w:val="1"/>
      <w:marLeft w:val="0"/>
      <w:marRight w:val="0"/>
      <w:marTop w:val="0"/>
      <w:marBottom w:val="0"/>
      <w:divBdr>
        <w:top w:val="none" w:sz="0" w:space="0" w:color="auto"/>
        <w:left w:val="none" w:sz="0" w:space="0" w:color="auto"/>
        <w:bottom w:val="none" w:sz="0" w:space="0" w:color="auto"/>
        <w:right w:val="none" w:sz="0" w:space="0" w:color="auto"/>
      </w:divBdr>
    </w:div>
    <w:div w:id="509221002">
      <w:bodyDiv w:val="1"/>
      <w:marLeft w:val="0"/>
      <w:marRight w:val="0"/>
      <w:marTop w:val="0"/>
      <w:marBottom w:val="0"/>
      <w:divBdr>
        <w:top w:val="none" w:sz="0" w:space="0" w:color="auto"/>
        <w:left w:val="none" w:sz="0" w:space="0" w:color="auto"/>
        <w:bottom w:val="none" w:sz="0" w:space="0" w:color="auto"/>
        <w:right w:val="none" w:sz="0" w:space="0" w:color="auto"/>
      </w:divBdr>
    </w:div>
    <w:div w:id="514806474">
      <w:bodyDiv w:val="1"/>
      <w:marLeft w:val="0"/>
      <w:marRight w:val="0"/>
      <w:marTop w:val="0"/>
      <w:marBottom w:val="0"/>
      <w:divBdr>
        <w:top w:val="none" w:sz="0" w:space="0" w:color="auto"/>
        <w:left w:val="none" w:sz="0" w:space="0" w:color="auto"/>
        <w:bottom w:val="none" w:sz="0" w:space="0" w:color="auto"/>
        <w:right w:val="none" w:sz="0" w:space="0" w:color="auto"/>
      </w:divBdr>
    </w:div>
    <w:div w:id="531386221">
      <w:bodyDiv w:val="1"/>
      <w:marLeft w:val="0"/>
      <w:marRight w:val="0"/>
      <w:marTop w:val="0"/>
      <w:marBottom w:val="0"/>
      <w:divBdr>
        <w:top w:val="none" w:sz="0" w:space="0" w:color="auto"/>
        <w:left w:val="none" w:sz="0" w:space="0" w:color="auto"/>
        <w:bottom w:val="none" w:sz="0" w:space="0" w:color="auto"/>
        <w:right w:val="none" w:sz="0" w:space="0" w:color="auto"/>
      </w:divBdr>
    </w:div>
    <w:div w:id="558246254">
      <w:bodyDiv w:val="1"/>
      <w:marLeft w:val="0"/>
      <w:marRight w:val="0"/>
      <w:marTop w:val="0"/>
      <w:marBottom w:val="0"/>
      <w:divBdr>
        <w:top w:val="none" w:sz="0" w:space="0" w:color="auto"/>
        <w:left w:val="none" w:sz="0" w:space="0" w:color="auto"/>
        <w:bottom w:val="none" w:sz="0" w:space="0" w:color="auto"/>
        <w:right w:val="none" w:sz="0" w:space="0" w:color="auto"/>
      </w:divBdr>
    </w:div>
    <w:div w:id="651522814">
      <w:bodyDiv w:val="1"/>
      <w:marLeft w:val="0"/>
      <w:marRight w:val="0"/>
      <w:marTop w:val="0"/>
      <w:marBottom w:val="0"/>
      <w:divBdr>
        <w:top w:val="none" w:sz="0" w:space="0" w:color="auto"/>
        <w:left w:val="none" w:sz="0" w:space="0" w:color="auto"/>
        <w:bottom w:val="none" w:sz="0" w:space="0" w:color="auto"/>
        <w:right w:val="none" w:sz="0" w:space="0" w:color="auto"/>
      </w:divBdr>
    </w:div>
    <w:div w:id="668093571">
      <w:bodyDiv w:val="1"/>
      <w:marLeft w:val="0"/>
      <w:marRight w:val="0"/>
      <w:marTop w:val="0"/>
      <w:marBottom w:val="0"/>
      <w:divBdr>
        <w:top w:val="none" w:sz="0" w:space="0" w:color="auto"/>
        <w:left w:val="none" w:sz="0" w:space="0" w:color="auto"/>
        <w:bottom w:val="none" w:sz="0" w:space="0" w:color="auto"/>
        <w:right w:val="none" w:sz="0" w:space="0" w:color="auto"/>
      </w:divBdr>
    </w:div>
    <w:div w:id="683481300">
      <w:bodyDiv w:val="1"/>
      <w:marLeft w:val="0"/>
      <w:marRight w:val="0"/>
      <w:marTop w:val="0"/>
      <w:marBottom w:val="0"/>
      <w:divBdr>
        <w:top w:val="none" w:sz="0" w:space="0" w:color="auto"/>
        <w:left w:val="none" w:sz="0" w:space="0" w:color="auto"/>
        <w:bottom w:val="none" w:sz="0" w:space="0" w:color="auto"/>
        <w:right w:val="none" w:sz="0" w:space="0" w:color="auto"/>
      </w:divBdr>
    </w:div>
    <w:div w:id="690448450">
      <w:bodyDiv w:val="1"/>
      <w:marLeft w:val="0"/>
      <w:marRight w:val="0"/>
      <w:marTop w:val="0"/>
      <w:marBottom w:val="0"/>
      <w:divBdr>
        <w:top w:val="none" w:sz="0" w:space="0" w:color="auto"/>
        <w:left w:val="none" w:sz="0" w:space="0" w:color="auto"/>
        <w:bottom w:val="none" w:sz="0" w:space="0" w:color="auto"/>
        <w:right w:val="none" w:sz="0" w:space="0" w:color="auto"/>
      </w:divBdr>
    </w:div>
    <w:div w:id="695233427">
      <w:bodyDiv w:val="1"/>
      <w:marLeft w:val="0"/>
      <w:marRight w:val="0"/>
      <w:marTop w:val="0"/>
      <w:marBottom w:val="0"/>
      <w:divBdr>
        <w:top w:val="none" w:sz="0" w:space="0" w:color="auto"/>
        <w:left w:val="none" w:sz="0" w:space="0" w:color="auto"/>
        <w:bottom w:val="none" w:sz="0" w:space="0" w:color="auto"/>
        <w:right w:val="none" w:sz="0" w:space="0" w:color="auto"/>
      </w:divBdr>
    </w:div>
    <w:div w:id="704907015">
      <w:bodyDiv w:val="1"/>
      <w:marLeft w:val="0"/>
      <w:marRight w:val="0"/>
      <w:marTop w:val="0"/>
      <w:marBottom w:val="0"/>
      <w:divBdr>
        <w:top w:val="none" w:sz="0" w:space="0" w:color="auto"/>
        <w:left w:val="none" w:sz="0" w:space="0" w:color="auto"/>
        <w:bottom w:val="none" w:sz="0" w:space="0" w:color="auto"/>
        <w:right w:val="none" w:sz="0" w:space="0" w:color="auto"/>
      </w:divBdr>
    </w:div>
    <w:div w:id="722873023">
      <w:bodyDiv w:val="1"/>
      <w:marLeft w:val="0"/>
      <w:marRight w:val="0"/>
      <w:marTop w:val="0"/>
      <w:marBottom w:val="0"/>
      <w:divBdr>
        <w:top w:val="none" w:sz="0" w:space="0" w:color="auto"/>
        <w:left w:val="none" w:sz="0" w:space="0" w:color="auto"/>
        <w:bottom w:val="none" w:sz="0" w:space="0" w:color="auto"/>
        <w:right w:val="none" w:sz="0" w:space="0" w:color="auto"/>
      </w:divBdr>
    </w:div>
    <w:div w:id="723867223">
      <w:bodyDiv w:val="1"/>
      <w:marLeft w:val="0"/>
      <w:marRight w:val="0"/>
      <w:marTop w:val="0"/>
      <w:marBottom w:val="0"/>
      <w:divBdr>
        <w:top w:val="none" w:sz="0" w:space="0" w:color="auto"/>
        <w:left w:val="none" w:sz="0" w:space="0" w:color="auto"/>
        <w:bottom w:val="none" w:sz="0" w:space="0" w:color="auto"/>
        <w:right w:val="none" w:sz="0" w:space="0" w:color="auto"/>
      </w:divBdr>
    </w:div>
    <w:div w:id="728117964">
      <w:bodyDiv w:val="1"/>
      <w:marLeft w:val="0"/>
      <w:marRight w:val="0"/>
      <w:marTop w:val="0"/>
      <w:marBottom w:val="0"/>
      <w:divBdr>
        <w:top w:val="none" w:sz="0" w:space="0" w:color="auto"/>
        <w:left w:val="none" w:sz="0" w:space="0" w:color="auto"/>
        <w:bottom w:val="none" w:sz="0" w:space="0" w:color="auto"/>
        <w:right w:val="none" w:sz="0" w:space="0" w:color="auto"/>
      </w:divBdr>
    </w:div>
    <w:div w:id="746807452">
      <w:bodyDiv w:val="1"/>
      <w:marLeft w:val="0"/>
      <w:marRight w:val="0"/>
      <w:marTop w:val="0"/>
      <w:marBottom w:val="0"/>
      <w:divBdr>
        <w:top w:val="none" w:sz="0" w:space="0" w:color="auto"/>
        <w:left w:val="none" w:sz="0" w:space="0" w:color="auto"/>
        <w:bottom w:val="none" w:sz="0" w:space="0" w:color="auto"/>
        <w:right w:val="none" w:sz="0" w:space="0" w:color="auto"/>
      </w:divBdr>
    </w:div>
    <w:div w:id="752431289">
      <w:bodyDiv w:val="1"/>
      <w:marLeft w:val="0"/>
      <w:marRight w:val="0"/>
      <w:marTop w:val="0"/>
      <w:marBottom w:val="0"/>
      <w:divBdr>
        <w:top w:val="none" w:sz="0" w:space="0" w:color="auto"/>
        <w:left w:val="none" w:sz="0" w:space="0" w:color="auto"/>
        <w:bottom w:val="none" w:sz="0" w:space="0" w:color="auto"/>
        <w:right w:val="none" w:sz="0" w:space="0" w:color="auto"/>
      </w:divBdr>
    </w:div>
    <w:div w:id="771631512">
      <w:bodyDiv w:val="1"/>
      <w:marLeft w:val="0"/>
      <w:marRight w:val="0"/>
      <w:marTop w:val="0"/>
      <w:marBottom w:val="0"/>
      <w:divBdr>
        <w:top w:val="none" w:sz="0" w:space="0" w:color="auto"/>
        <w:left w:val="none" w:sz="0" w:space="0" w:color="auto"/>
        <w:bottom w:val="none" w:sz="0" w:space="0" w:color="auto"/>
        <w:right w:val="none" w:sz="0" w:space="0" w:color="auto"/>
      </w:divBdr>
    </w:div>
    <w:div w:id="775250649">
      <w:bodyDiv w:val="1"/>
      <w:marLeft w:val="0"/>
      <w:marRight w:val="0"/>
      <w:marTop w:val="0"/>
      <w:marBottom w:val="0"/>
      <w:divBdr>
        <w:top w:val="none" w:sz="0" w:space="0" w:color="auto"/>
        <w:left w:val="none" w:sz="0" w:space="0" w:color="auto"/>
        <w:bottom w:val="none" w:sz="0" w:space="0" w:color="auto"/>
        <w:right w:val="none" w:sz="0" w:space="0" w:color="auto"/>
      </w:divBdr>
    </w:div>
    <w:div w:id="782306619">
      <w:bodyDiv w:val="1"/>
      <w:marLeft w:val="0"/>
      <w:marRight w:val="0"/>
      <w:marTop w:val="0"/>
      <w:marBottom w:val="0"/>
      <w:divBdr>
        <w:top w:val="none" w:sz="0" w:space="0" w:color="auto"/>
        <w:left w:val="none" w:sz="0" w:space="0" w:color="auto"/>
        <w:bottom w:val="none" w:sz="0" w:space="0" w:color="auto"/>
        <w:right w:val="none" w:sz="0" w:space="0" w:color="auto"/>
      </w:divBdr>
      <w:divsChild>
        <w:div w:id="248655611">
          <w:marLeft w:val="0"/>
          <w:marRight w:val="0"/>
          <w:marTop w:val="0"/>
          <w:marBottom w:val="0"/>
          <w:divBdr>
            <w:top w:val="none" w:sz="0" w:space="0" w:color="auto"/>
            <w:left w:val="none" w:sz="0" w:space="0" w:color="auto"/>
            <w:bottom w:val="none" w:sz="0" w:space="0" w:color="auto"/>
            <w:right w:val="none" w:sz="0" w:space="0" w:color="auto"/>
          </w:divBdr>
        </w:div>
        <w:div w:id="77142257">
          <w:marLeft w:val="0"/>
          <w:marRight w:val="0"/>
          <w:marTop w:val="0"/>
          <w:marBottom w:val="0"/>
          <w:divBdr>
            <w:top w:val="none" w:sz="0" w:space="0" w:color="auto"/>
            <w:left w:val="none" w:sz="0" w:space="0" w:color="auto"/>
            <w:bottom w:val="none" w:sz="0" w:space="0" w:color="auto"/>
            <w:right w:val="none" w:sz="0" w:space="0" w:color="auto"/>
          </w:divBdr>
        </w:div>
        <w:div w:id="636884250">
          <w:marLeft w:val="0"/>
          <w:marRight w:val="0"/>
          <w:marTop w:val="0"/>
          <w:marBottom w:val="0"/>
          <w:divBdr>
            <w:top w:val="none" w:sz="0" w:space="0" w:color="auto"/>
            <w:left w:val="none" w:sz="0" w:space="0" w:color="auto"/>
            <w:bottom w:val="none" w:sz="0" w:space="0" w:color="auto"/>
            <w:right w:val="none" w:sz="0" w:space="0" w:color="auto"/>
          </w:divBdr>
        </w:div>
        <w:div w:id="1247574488">
          <w:marLeft w:val="0"/>
          <w:marRight w:val="0"/>
          <w:marTop w:val="0"/>
          <w:marBottom w:val="0"/>
          <w:divBdr>
            <w:top w:val="none" w:sz="0" w:space="0" w:color="auto"/>
            <w:left w:val="none" w:sz="0" w:space="0" w:color="auto"/>
            <w:bottom w:val="none" w:sz="0" w:space="0" w:color="auto"/>
            <w:right w:val="none" w:sz="0" w:space="0" w:color="auto"/>
          </w:divBdr>
        </w:div>
      </w:divsChild>
    </w:div>
    <w:div w:id="793602321">
      <w:bodyDiv w:val="1"/>
      <w:marLeft w:val="0"/>
      <w:marRight w:val="0"/>
      <w:marTop w:val="0"/>
      <w:marBottom w:val="0"/>
      <w:divBdr>
        <w:top w:val="none" w:sz="0" w:space="0" w:color="auto"/>
        <w:left w:val="none" w:sz="0" w:space="0" w:color="auto"/>
        <w:bottom w:val="none" w:sz="0" w:space="0" w:color="auto"/>
        <w:right w:val="none" w:sz="0" w:space="0" w:color="auto"/>
      </w:divBdr>
    </w:div>
    <w:div w:id="795489983">
      <w:bodyDiv w:val="1"/>
      <w:marLeft w:val="0"/>
      <w:marRight w:val="0"/>
      <w:marTop w:val="0"/>
      <w:marBottom w:val="0"/>
      <w:divBdr>
        <w:top w:val="none" w:sz="0" w:space="0" w:color="auto"/>
        <w:left w:val="none" w:sz="0" w:space="0" w:color="auto"/>
        <w:bottom w:val="none" w:sz="0" w:space="0" w:color="auto"/>
        <w:right w:val="none" w:sz="0" w:space="0" w:color="auto"/>
      </w:divBdr>
    </w:div>
    <w:div w:id="804813071">
      <w:bodyDiv w:val="1"/>
      <w:marLeft w:val="0"/>
      <w:marRight w:val="0"/>
      <w:marTop w:val="0"/>
      <w:marBottom w:val="0"/>
      <w:divBdr>
        <w:top w:val="none" w:sz="0" w:space="0" w:color="auto"/>
        <w:left w:val="none" w:sz="0" w:space="0" w:color="auto"/>
        <w:bottom w:val="none" w:sz="0" w:space="0" w:color="auto"/>
        <w:right w:val="none" w:sz="0" w:space="0" w:color="auto"/>
      </w:divBdr>
    </w:div>
    <w:div w:id="816190795">
      <w:bodyDiv w:val="1"/>
      <w:marLeft w:val="0"/>
      <w:marRight w:val="0"/>
      <w:marTop w:val="0"/>
      <w:marBottom w:val="0"/>
      <w:divBdr>
        <w:top w:val="none" w:sz="0" w:space="0" w:color="auto"/>
        <w:left w:val="none" w:sz="0" w:space="0" w:color="auto"/>
        <w:bottom w:val="none" w:sz="0" w:space="0" w:color="auto"/>
        <w:right w:val="none" w:sz="0" w:space="0" w:color="auto"/>
      </w:divBdr>
    </w:div>
    <w:div w:id="912279497">
      <w:bodyDiv w:val="1"/>
      <w:marLeft w:val="0"/>
      <w:marRight w:val="0"/>
      <w:marTop w:val="0"/>
      <w:marBottom w:val="0"/>
      <w:divBdr>
        <w:top w:val="none" w:sz="0" w:space="0" w:color="auto"/>
        <w:left w:val="none" w:sz="0" w:space="0" w:color="auto"/>
        <w:bottom w:val="none" w:sz="0" w:space="0" w:color="auto"/>
        <w:right w:val="none" w:sz="0" w:space="0" w:color="auto"/>
      </w:divBdr>
    </w:div>
    <w:div w:id="948468253">
      <w:bodyDiv w:val="1"/>
      <w:marLeft w:val="0"/>
      <w:marRight w:val="0"/>
      <w:marTop w:val="0"/>
      <w:marBottom w:val="0"/>
      <w:divBdr>
        <w:top w:val="none" w:sz="0" w:space="0" w:color="auto"/>
        <w:left w:val="none" w:sz="0" w:space="0" w:color="auto"/>
        <w:bottom w:val="none" w:sz="0" w:space="0" w:color="auto"/>
        <w:right w:val="none" w:sz="0" w:space="0" w:color="auto"/>
      </w:divBdr>
    </w:div>
    <w:div w:id="957296277">
      <w:bodyDiv w:val="1"/>
      <w:marLeft w:val="0"/>
      <w:marRight w:val="0"/>
      <w:marTop w:val="0"/>
      <w:marBottom w:val="0"/>
      <w:divBdr>
        <w:top w:val="none" w:sz="0" w:space="0" w:color="auto"/>
        <w:left w:val="none" w:sz="0" w:space="0" w:color="auto"/>
        <w:bottom w:val="none" w:sz="0" w:space="0" w:color="auto"/>
        <w:right w:val="none" w:sz="0" w:space="0" w:color="auto"/>
      </w:divBdr>
    </w:div>
    <w:div w:id="968123842">
      <w:bodyDiv w:val="1"/>
      <w:marLeft w:val="0"/>
      <w:marRight w:val="0"/>
      <w:marTop w:val="0"/>
      <w:marBottom w:val="0"/>
      <w:divBdr>
        <w:top w:val="none" w:sz="0" w:space="0" w:color="auto"/>
        <w:left w:val="none" w:sz="0" w:space="0" w:color="auto"/>
        <w:bottom w:val="none" w:sz="0" w:space="0" w:color="auto"/>
        <w:right w:val="none" w:sz="0" w:space="0" w:color="auto"/>
      </w:divBdr>
    </w:div>
    <w:div w:id="977760031">
      <w:bodyDiv w:val="1"/>
      <w:marLeft w:val="0"/>
      <w:marRight w:val="0"/>
      <w:marTop w:val="0"/>
      <w:marBottom w:val="0"/>
      <w:divBdr>
        <w:top w:val="none" w:sz="0" w:space="0" w:color="auto"/>
        <w:left w:val="none" w:sz="0" w:space="0" w:color="auto"/>
        <w:bottom w:val="none" w:sz="0" w:space="0" w:color="auto"/>
        <w:right w:val="none" w:sz="0" w:space="0" w:color="auto"/>
      </w:divBdr>
    </w:div>
    <w:div w:id="990452350">
      <w:bodyDiv w:val="1"/>
      <w:marLeft w:val="0"/>
      <w:marRight w:val="0"/>
      <w:marTop w:val="0"/>
      <w:marBottom w:val="0"/>
      <w:divBdr>
        <w:top w:val="none" w:sz="0" w:space="0" w:color="auto"/>
        <w:left w:val="none" w:sz="0" w:space="0" w:color="auto"/>
        <w:bottom w:val="none" w:sz="0" w:space="0" w:color="auto"/>
        <w:right w:val="none" w:sz="0" w:space="0" w:color="auto"/>
      </w:divBdr>
    </w:div>
    <w:div w:id="1061753443">
      <w:bodyDiv w:val="1"/>
      <w:marLeft w:val="0"/>
      <w:marRight w:val="0"/>
      <w:marTop w:val="0"/>
      <w:marBottom w:val="0"/>
      <w:divBdr>
        <w:top w:val="none" w:sz="0" w:space="0" w:color="auto"/>
        <w:left w:val="none" w:sz="0" w:space="0" w:color="auto"/>
        <w:bottom w:val="none" w:sz="0" w:space="0" w:color="auto"/>
        <w:right w:val="none" w:sz="0" w:space="0" w:color="auto"/>
      </w:divBdr>
    </w:div>
    <w:div w:id="1061949184">
      <w:bodyDiv w:val="1"/>
      <w:marLeft w:val="0"/>
      <w:marRight w:val="0"/>
      <w:marTop w:val="0"/>
      <w:marBottom w:val="0"/>
      <w:divBdr>
        <w:top w:val="none" w:sz="0" w:space="0" w:color="auto"/>
        <w:left w:val="none" w:sz="0" w:space="0" w:color="auto"/>
        <w:bottom w:val="none" w:sz="0" w:space="0" w:color="auto"/>
        <w:right w:val="none" w:sz="0" w:space="0" w:color="auto"/>
      </w:divBdr>
    </w:div>
    <w:div w:id="1089080566">
      <w:bodyDiv w:val="1"/>
      <w:marLeft w:val="0"/>
      <w:marRight w:val="0"/>
      <w:marTop w:val="0"/>
      <w:marBottom w:val="0"/>
      <w:divBdr>
        <w:top w:val="none" w:sz="0" w:space="0" w:color="auto"/>
        <w:left w:val="none" w:sz="0" w:space="0" w:color="auto"/>
        <w:bottom w:val="none" w:sz="0" w:space="0" w:color="auto"/>
        <w:right w:val="none" w:sz="0" w:space="0" w:color="auto"/>
      </w:divBdr>
    </w:div>
    <w:div w:id="1115831247">
      <w:bodyDiv w:val="1"/>
      <w:marLeft w:val="0"/>
      <w:marRight w:val="0"/>
      <w:marTop w:val="0"/>
      <w:marBottom w:val="0"/>
      <w:divBdr>
        <w:top w:val="none" w:sz="0" w:space="0" w:color="auto"/>
        <w:left w:val="none" w:sz="0" w:space="0" w:color="auto"/>
        <w:bottom w:val="none" w:sz="0" w:space="0" w:color="auto"/>
        <w:right w:val="none" w:sz="0" w:space="0" w:color="auto"/>
      </w:divBdr>
    </w:div>
    <w:div w:id="1123617298">
      <w:bodyDiv w:val="1"/>
      <w:marLeft w:val="0"/>
      <w:marRight w:val="0"/>
      <w:marTop w:val="0"/>
      <w:marBottom w:val="0"/>
      <w:divBdr>
        <w:top w:val="none" w:sz="0" w:space="0" w:color="auto"/>
        <w:left w:val="none" w:sz="0" w:space="0" w:color="auto"/>
        <w:bottom w:val="none" w:sz="0" w:space="0" w:color="auto"/>
        <w:right w:val="none" w:sz="0" w:space="0" w:color="auto"/>
      </w:divBdr>
    </w:div>
    <w:div w:id="1147090719">
      <w:bodyDiv w:val="1"/>
      <w:marLeft w:val="0"/>
      <w:marRight w:val="0"/>
      <w:marTop w:val="0"/>
      <w:marBottom w:val="0"/>
      <w:divBdr>
        <w:top w:val="none" w:sz="0" w:space="0" w:color="auto"/>
        <w:left w:val="none" w:sz="0" w:space="0" w:color="auto"/>
        <w:bottom w:val="none" w:sz="0" w:space="0" w:color="auto"/>
        <w:right w:val="none" w:sz="0" w:space="0" w:color="auto"/>
      </w:divBdr>
    </w:div>
    <w:div w:id="1202133372">
      <w:bodyDiv w:val="1"/>
      <w:marLeft w:val="0"/>
      <w:marRight w:val="0"/>
      <w:marTop w:val="0"/>
      <w:marBottom w:val="0"/>
      <w:divBdr>
        <w:top w:val="none" w:sz="0" w:space="0" w:color="auto"/>
        <w:left w:val="none" w:sz="0" w:space="0" w:color="auto"/>
        <w:bottom w:val="none" w:sz="0" w:space="0" w:color="auto"/>
        <w:right w:val="none" w:sz="0" w:space="0" w:color="auto"/>
      </w:divBdr>
    </w:div>
    <w:div w:id="1202133593">
      <w:bodyDiv w:val="1"/>
      <w:marLeft w:val="0"/>
      <w:marRight w:val="0"/>
      <w:marTop w:val="0"/>
      <w:marBottom w:val="0"/>
      <w:divBdr>
        <w:top w:val="none" w:sz="0" w:space="0" w:color="auto"/>
        <w:left w:val="none" w:sz="0" w:space="0" w:color="auto"/>
        <w:bottom w:val="none" w:sz="0" w:space="0" w:color="auto"/>
        <w:right w:val="none" w:sz="0" w:space="0" w:color="auto"/>
      </w:divBdr>
    </w:div>
    <w:div w:id="1205217542">
      <w:bodyDiv w:val="1"/>
      <w:marLeft w:val="0"/>
      <w:marRight w:val="0"/>
      <w:marTop w:val="0"/>
      <w:marBottom w:val="0"/>
      <w:divBdr>
        <w:top w:val="none" w:sz="0" w:space="0" w:color="auto"/>
        <w:left w:val="none" w:sz="0" w:space="0" w:color="auto"/>
        <w:bottom w:val="none" w:sz="0" w:space="0" w:color="auto"/>
        <w:right w:val="none" w:sz="0" w:space="0" w:color="auto"/>
      </w:divBdr>
      <w:divsChild>
        <w:div w:id="1523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312330">
      <w:bodyDiv w:val="1"/>
      <w:marLeft w:val="0"/>
      <w:marRight w:val="0"/>
      <w:marTop w:val="0"/>
      <w:marBottom w:val="0"/>
      <w:divBdr>
        <w:top w:val="none" w:sz="0" w:space="0" w:color="auto"/>
        <w:left w:val="none" w:sz="0" w:space="0" w:color="auto"/>
        <w:bottom w:val="none" w:sz="0" w:space="0" w:color="auto"/>
        <w:right w:val="none" w:sz="0" w:space="0" w:color="auto"/>
      </w:divBdr>
    </w:div>
    <w:div w:id="1252007869">
      <w:bodyDiv w:val="1"/>
      <w:marLeft w:val="0"/>
      <w:marRight w:val="0"/>
      <w:marTop w:val="0"/>
      <w:marBottom w:val="0"/>
      <w:divBdr>
        <w:top w:val="none" w:sz="0" w:space="0" w:color="auto"/>
        <w:left w:val="none" w:sz="0" w:space="0" w:color="auto"/>
        <w:bottom w:val="none" w:sz="0" w:space="0" w:color="auto"/>
        <w:right w:val="none" w:sz="0" w:space="0" w:color="auto"/>
      </w:divBdr>
    </w:div>
    <w:div w:id="1280381683">
      <w:bodyDiv w:val="1"/>
      <w:marLeft w:val="0"/>
      <w:marRight w:val="0"/>
      <w:marTop w:val="0"/>
      <w:marBottom w:val="0"/>
      <w:divBdr>
        <w:top w:val="none" w:sz="0" w:space="0" w:color="auto"/>
        <w:left w:val="none" w:sz="0" w:space="0" w:color="auto"/>
        <w:bottom w:val="none" w:sz="0" w:space="0" w:color="auto"/>
        <w:right w:val="none" w:sz="0" w:space="0" w:color="auto"/>
      </w:divBdr>
    </w:div>
    <w:div w:id="1297418692">
      <w:bodyDiv w:val="1"/>
      <w:marLeft w:val="0"/>
      <w:marRight w:val="0"/>
      <w:marTop w:val="0"/>
      <w:marBottom w:val="0"/>
      <w:divBdr>
        <w:top w:val="none" w:sz="0" w:space="0" w:color="auto"/>
        <w:left w:val="none" w:sz="0" w:space="0" w:color="auto"/>
        <w:bottom w:val="none" w:sz="0" w:space="0" w:color="auto"/>
        <w:right w:val="none" w:sz="0" w:space="0" w:color="auto"/>
      </w:divBdr>
    </w:div>
    <w:div w:id="1305155998">
      <w:bodyDiv w:val="1"/>
      <w:marLeft w:val="0"/>
      <w:marRight w:val="0"/>
      <w:marTop w:val="0"/>
      <w:marBottom w:val="0"/>
      <w:divBdr>
        <w:top w:val="none" w:sz="0" w:space="0" w:color="auto"/>
        <w:left w:val="none" w:sz="0" w:space="0" w:color="auto"/>
        <w:bottom w:val="none" w:sz="0" w:space="0" w:color="auto"/>
        <w:right w:val="none" w:sz="0" w:space="0" w:color="auto"/>
      </w:divBdr>
    </w:div>
    <w:div w:id="1354918593">
      <w:bodyDiv w:val="1"/>
      <w:marLeft w:val="0"/>
      <w:marRight w:val="0"/>
      <w:marTop w:val="0"/>
      <w:marBottom w:val="0"/>
      <w:divBdr>
        <w:top w:val="none" w:sz="0" w:space="0" w:color="auto"/>
        <w:left w:val="none" w:sz="0" w:space="0" w:color="auto"/>
        <w:bottom w:val="none" w:sz="0" w:space="0" w:color="auto"/>
        <w:right w:val="none" w:sz="0" w:space="0" w:color="auto"/>
      </w:divBdr>
    </w:div>
    <w:div w:id="1370030285">
      <w:bodyDiv w:val="1"/>
      <w:marLeft w:val="0"/>
      <w:marRight w:val="0"/>
      <w:marTop w:val="0"/>
      <w:marBottom w:val="0"/>
      <w:divBdr>
        <w:top w:val="none" w:sz="0" w:space="0" w:color="auto"/>
        <w:left w:val="none" w:sz="0" w:space="0" w:color="auto"/>
        <w:bottom w:val="none" w:sz="0" w:space="0" w:color="auto"/>
        <w:right w:val="none" w:sz="0" w:space="0" w:color="auto"/>
      </w:divBdr>
    </w:div>
    <w:div w:id="1376544229">
      <w:bodyDiv w:val="1"/>
      <w:marLeft w:val="0"/>
      <w:marRight w:val="0"/>
      <w:marTop w:val="0"/>
      <w:marBottom w:val="0"/>
      <w:divBdr>
        <w:top w:val="none" w:sz="0" w:space="0" w:color="auto"/>
        <w:left w:val="none" w:sz="0" w:space="0" w:color="auto"/>
        <w:bottom w:val="none" w:sz="0" w:space="0" w:color="auto"/>
        <w:right w:val="none" w:sz="0" w:space="0" w:color="auto"/>
      </w:divBdr>
    </w:div>
    <w:div w:id="1389180513">
      <w:bodyDiv w:val="1"/>
      <w:marLeft w:val="0"/>
      <w:marRight w:val="0"/>
      <w:marTop w:val="0"/>
      <w:marBottom w:val="0"/>
      <w:divBdr>
        <w:top w:val="none" w:sz="0" w:space="0" w:color="auto"/>
        <w:left w:val="none" w:sz="0" w:space="0" w:color="auto"/>
        <w:bottom w:val="none" w:sz="0" w:space="0" w:color="auto"/>
        <w:right w:val="none" w:sz="0" w:space="0" w:color="auto"/>
      </w:divBdr>
    </w:div>
    <w:div w:id="1435251705">
      <w:bodyDiv w:val="1"/>
      <w:marLeft w:val="0"/>
      <w:marRight w:val="0"/>
      <w:marTop w:val="0"/>
      <w:marBottom w:val="0"/>
      <w:divBdr>
        <w:top w:val="none" w:sz="0" w:space="0" w:color="auto"/>
        <w:left w:val="none" w:sz="0" w:space="0" w:color="auto"/>
        <w:bottom w:val="none" w:sz="0" w:space="0" w:color="auto"/>
        <w:right w:val="none" w:sz="0" w:space="0" w:color="auto"/>
      </w:divBdr>
    </w:div>
    <w:div w:id="1464958189">
      <w:bodyDiv w:val="1"/>
      <w:marLeft w:val="0"/>
      <w:marRight w:val="0"/>
      <w:marTop w:val="0"/>
      <w:marBottom w:val="0"/>
      <w:divBdr>
        <w:top w:val="none" w:sz="0" w:space="0" w:color="auto"/>
        <w:left w:val="none" w:sz="0" w:space="0" w:color="auto"/>
        <w:bottom w:val="none" w:sz="0" w:space="0" w:color="auto"/>
        <w:right w:val="none" w:sz="0" w:space="0" w:color="auto"/>
      </w:divBdr>
    </w:div>
    <w:div w:id="1483430344">
      <w:bodyDiv w:val="1"/>
      <w:marLeft w:val="0"/>
      <w:marRight w:val="0"/>
      <w:marTop w:val="0"/>
      <w:marBottom w:val="0"/>
      <w:divBdr>
        <w:top w:val="none" w:sz="0" w:space="0" w:color="auto"/>
        <w:left w:val="none" w:sz="0" w:space="0" w:color="auto"/>
        <w:bottom w:val="none" w:sz="0" w:space="0" w:color="auto"/>
        <w:right w:val="none" w:sz="0" w:space="0" w:color="auto"/>
      </w:divBdr>
    </w:div>
    <w:div w:id="1495563651">
      <w:bodyDiv w:val="1"/>
      <w:marLeft w:val="0"/>
      <w:marRight w:val="0"/>
      <w:marTop w:val="0"/>
      <w:marBottom w:val="0"/>
      <w:divBdr>
        <w:top w:val="none" w:sz="0" w:space="0" w:color="auto"/>
        <w:left w:val="none" w:sz="0" w:space="0" w:color="auto"/>
        <w:bottom w:val="none" w:sz="0" w:space="0" w:color="auto"/>
        <w:right w:val="none" w:sz="0" w:space="0" w:color="auto"/>
      </w:divBdr>
    </w:div>
    <w:div w:id="1519466479">
      <w:bodyDiv w:val="1"/>
      <w:marLeft w:val="0"/>
      <w:marRight w:val="0"/>
      <w:marTop w:val="0"/>
      <w:marBottom w:val="0"/>
      <w:divBdr>
        <w:top w:val="none" w:sz="0" w:space="0" w:color="auto"/>
        <w:left w:val="none" w:sz="0" w:space="0" w:color="auto"/>
        <w:bottom w:val="none" w:sz="0" w:space="0" w:color="auto"/>
        <w:right w:val="none" w:sz="0" w:space="0" w:color="auto"/>
      </w:divBdr>
    </w:div>
    <w:div w:id="1523472928">
      <w:bodyDiv w:val="1"/>
      <w:marLeft w:val="0"/>
      <w:marRight w:val="0"/>
      <w:marTop w:val="0"/>
      <w:marBottom w:val="0"/>
      <w:divBdr>
        <w:top w:val="none" w:sz="0" w:space="0" w:color="auto"/>
        <w:left w:val="none" w:sz="0" w:space="0" w:color="auto"/>
        <w:bottom w:val="none" w:sz="0" w:space="0" w:color="auto"/>
        <w:right w:val="none" w:sz="0" w:space="0" w:color="auto"/>
      </w:divBdr>
    </w:div>
    <w:div w:id="1526554552">
      <w:bodyDiv w:val="1"/>
      <w:marLeft w:val="0"/>
      <w:marRight w:val="0"/>
      <w:marTop w:val="0"/>
      <w:marBottom w:val="0"/>
      <w:divBdr>
        <w:top w:val="none" w:sz="0" w:space="0" w:color="auto"/>
        <w:left w:val="none" w:sz="0" w:space="0" w:color="auto"/>
        <w:bottom w:val="none" w:sz="0" w:space="0" w:color="auto"/>
        <w:right w:val="none" w:sz="0" w:space="0" w:color="auto"/>
      </w:divBdr>
    </w:div>
    <w:div w:id="1575582304">
      <w:bodyDiv w:val="1"/>
      <w:marLeft w:val="0"/>
      <w:marRight w:val="0"/>
      <w:marTop w:val="0"/>
      <w:marBottom w:val="0"/>
      <w:divBdr>
        <w:top w:val="none" w:sz="0" w:space="0" w:color="auto"/>
        <w:left w:val="none" w:sz="0" w:space="0" w:color="auto"/>
        <w:bottom w:val="none" w:sz="0" w:space="0" w:color="auto"/>
        <w:right w:val="none" w:sz="0" w:space="0" w:color="auto"/>
      </w:divBdr>
    </w:div>
    <w:div w:id="1612318675">
      <w:bodyDiv w:val="1"/>
      <w:marLeft w:val="0"/>
      <w:marRight w:val="0"/>
      <w:marTop w:val="0"/>
      <w:marBottom w:val="0"/>
      <w:divBdr>
        <w:top w:val="none" w:sz="0" w:space="0" w:color="auto"/>
        <w:left w:val="none" w:sz="0" w:space="0" w:color="auto"/>
        <w:bottom w:val="none" w:sz="0" w:space="0" w:color="auto"/>
        <w:right w:val="none" w:sz="0" w:space="0" w:color="auto"/>
      </w:divBdr>
    </w:div>
    <w:div w:id="1612938221">
      <w:bodyDiv w:val="1"/>
      <w:marLeft w:val="0"/>
      <w:marRight w:val="0"/>
      <w:marTop w:val="0"/>
      <w:marBottom w:val="0"/>
      <w:divBdr>
        <w:top w:val="none" w:sz="0" w:space="0" w:color="auto"/>
        <w:left w:val="none" w:sz="0" w:space="0" w:color="auto"/>
        <w:bottom w:val="none" w:sz="0" w:space="0" w:color="auto"/>
        <w:right w:val="none" w:sz="0" w:space="0" w:color="auto"/>
      </w:divBdr>
    </w:div>
    <w:div w:id="1619679500">
      <w:bodyDiv w:val="1"/>
      <w:marLeft w:val="0"/>
      <w:marRight w:val="0"/>
      <w:marTop w:val="0"/>
      <w:marBottom w:val="0"/>
      <w:divBdr>
        <w:top w:val="none" w:sz="0" w:space="0" w:color="auto"/>
        <w:left w:val="none" w:sz="0" w:space="0" w:color="auto"/>
        <w:bottom w:val="none" w:sz="0" w:space="0" w:color="auto"/>
        <w:right w:val="none" w:sz="0" w:space="0" w:color="auto"/>
      </w:divBdr>
    </w:div>
    <w:div w:id="1650134863">
      <w:bodyDiv w:val="1"/>
      <w:marLeft w:val="0"/>
      <w:marRight w:val="0"/>
      <w:marTop w:val="0"/>
      <w:marBottom w:val="0"/>
      <w:divBdr>
        <w:top w:val="none" w:sz="0" w:space="0" w:color="auto"/>
        <w:left w:val="none" w:sz="0" w:space="0" w:color="auto"/>
        <w:bottom w:val="none" w:sz="0" w:space="0" w:color="auto"/>
        <w:right w:val="none" w:sz="0" w:space="0" w:color="auto"/>
      </w:divBdr>
    </w:div>
    <w:div w:id="1668746298">
      <w:bodyDiv w:val="1"/>
      <w:marLeft w:val="0"/>
      <w:marRight w:val="0"/>
      <w:marTop w:val="0"/>
      <w:marBottom w:val="0"/>
      <w:divBdr>
        <w:top w:val="none" w:sz="0" w:space="0" w:color="auto"/>
        <w:left w:val="none" w:sz="0" w:space="0" w:color="auto"/>
        <w:bottom w:val="none" w:sz="0" w:space="0" w:color="auto"/>
        <w:right w:val="none" w:sz="0" w:space="0" w:color="auto"/>
      </w:divBdr>
    </w:div>
    <w:div w:id="1674601798">
      <w:bodyDiv w:val="1"/>
      <w:marLeft w:val="0"/>
      <w:marRight w:val="0"/>
      <w:marTop w:val="0"/>
      <w:marBottom w:val="0"/>
      <w:divBdr>
        <w:top w:val="none" w:sz="0" w:space="0" w:color="auto"/>
        <w:left w:val="none" w:sz="0" w:space="0" w:color="auto"/>
        <w:bottom w:val="none" w:sz="0" w:space="0" w:color="auto"/>
        <w:right w:val="none" w:sz="0" w:space="0" w:color="auto"/>
      </w:divBdr>
    </w:div>
    <w:div w:id="1688096791">
      <w:bodyDiv w:val="1"/>
      <w:marLeft w:val="0"/>
      <w:marRight w:val="0"/>
      <w:marTop w:val="0"/>
      <w:marBottom w:val="0"/>
      <w:divBdr>
        <w:top w:val="none" w:sz="0" w:space="0" w:color="auto"/>
        <w:left w:val="none" w:sz="0" w:space="0" w:color="auto"/>
        <w:bottom w:val="none" w:sz="0" w:space="0" w:color="auto"/>
        <w:right w:val="none" w:sz="0" w:space="0" w:color="auto"/>
      </w:divBdr>
    </w:div>
    <w:div w:id="1693798388">
      <w:bodyDiv w:val="1"/>
      <w:marLeft w:val="0"/>
      <w:marRight w:val="0"/>
      <w:marTop w:val="0"/>
      <w:marBottom w:val="0"/>
      <w:divBdr>
        <w:top w:val="none" w:sz="0" w:space="0" w:color="auto"/>
        <w:left w:val="none" w:sz="0" w:space="0" w:color="auto"/>
        <w:bottom w:val="none" w:sz="0" w:space="0" w:color="auto"/>
        <w:right w:val="none" w:sz="0" w:space="0" w:color="auto"/>
      </w:divBdr>
    </w:div>
    <w:div w:id="1699310093">
      <w:bodyDiv w:val="1"/>
      <w:marLeft w:val="0"/>
      <w:marRight w:val="0"/>
      <w:marTop w:val="0"/>
      <w:marBottom w:val="0"/>
      <w:divBdr>
        <w:top w:val="none" w:sz="0" w:space="0" w:color="auto"/>
        <w:left w:val="none" w:sz="0" w:space="0" w:color="auto"/>
        <w:bottom w:val="none" w:sz="0" w:space="0" w:color="auto"/>
        <w:right w:val="none" w:sz="0" w:space="0" w:color="auto"/>
      </w:divBdr>
    </w:div>
    <w:div w:id="1699744849">
      <w:bodyDiv w:val="1"/>
      <w:marLeft w:val="0"/>
      <w:marRight w:val="0"/>
      <w:marTop w:val="0"/>
      <w:marBottom w:val="0"/>
      <w:divBdr>
        <w:top w:val="none" w:sz="0" w:space="0" w:color="auto"/>
        <w:left w:val="none" w:sz="0" w:space="0" w:color="auto"/>
        <w:bottom w:val="none" w:sz="0" w:space="0" w:color="auto"/>
        <w:right w:val="none" w:sz="0" w:space="0" w:color="auto"/>
      </w:divBdr>
    </w:div>
    <w:div w:id="1728528635">
      <w:bodyDiv w:val="1"/>
      <w:marLeft w:val="0"/>
      <w:marRight w:val="0"/>
      <w:marTop w:val="0"/>
      <w:marBottom w:val="0"/>
      <w:divBdr>
        <w:top w:val="none" w:sz="0" w:space="0" w:color="auto"/>
        <w:left w:val="none" w:sz="0" w:space="0" w:color="auto"/>
        <w:bottom w:val="none" w:sz="0" w:space="0" w:color="auto"/>
        <w:right w:val="none" w:sz="0" w:space="0" w:color="auto"/>
      </w:divBdr>
      <w:divsChild>
        <w:div w:id="1108279365">
          <w:marLeft w:val="0"/>
          <w:marRight w:val="0"/>
          <w:marTop w:val="0"/>
          <w:marBottom w:val="0"/>
          <w:divBdr>
            <w:top w:val="none" w:sz="0" w:space="0" w:color="auto"/>
            <w:left w:val="none" w:sz="0" w:space="0" w:color="auto"/>
            <w:bottom w:val="none" w:sz="0" w:space="0" w:color="auto"/>
            <w:right w:val="none" w:sz="0" w:space="0" w:color="auto"/>
          </w:divBdr>
          <w:divsChild>
            <w:div w:id="2048866123">
              <w:marLeft w:val="0"/>
              <w:marRight w:val="0"/>
              <w:marTop w:val="0"/>
              <w:marBottom w:val="0"/>
              <w:divBdr>
                <w:top w:val="none" w:sz="0" w:space="0" w:color="auto"/>
                <w:left w:val="none" w:sz="0" w:space="0" w:color="auto"/>
                <w:bottom w:val="none" w:sz="0" w:space="0" w:color="auto"/>
                <w:right w:val="none" w:sz="0" w:space="0" w:color="auto"/>
              </w:divBdr>
              <w:divsChild>
                <w:div w:id="714428792">
                  <w:marLeft w:val="0"/>
                  <w:marRight w:val="0"/>
                  <w:marTop w:val="0"/>
                  <w:marBottom w:val="0"/>
                  <w:divBdr>
                    <w:top w:val="none" w:sz="0" w:space="0" w:color="auto"/>
                    <w:left w:val="none" w:sz="0" w:space="0" w:color="auto"/>
                    <w:bottom w:val="none" w:sz="0" w:space="0" w:color="auto"/>
                    <w:right w:val="none" w:sz="0" w:space="0" w:color="auto"/>
                  </w:divBdr>
                  <w:divsChild>
                    <w:div w:id="1190416017">
                      <w:marLeft w:val="0"/>
                      <w:marRight w:val="0"/>
                      <w:marTop w:val="0"/>
                      <w:marBottom w:val="0"/>
                      <w:divBdr>
                        <w:top w:val="none" w:sz="0" w:space="0" w:color="auto"/>
                        <w:left w:val="none" w:sz="0" w:space="0" w:color="auto"/>
                        <w:bottom w:val="none" w:sz="0" w:space="0" w:color="auto"/>
                        <w:right w:val="none" w:sz="0" w:space="0" w:color="auto"/>
                      </w:divBdr>
                      <w:divsChild>
                        <w:div w:id="968438279">
                          <w:marLeft w:val="0"/>
                          <w:marRight w:val="0"/>
                          <w:marTop w:val="0"/>
                          <w:marBottom w:val="0"/>
                          <w:divBdr>
                            <w:top w:val="none" w:sz="0" w:space="0" w:color="auto"/>
                            <w:left w:val="none" w:sz="0" w:space="0" w:color="auto"/>
                            <w:bottom w:val="none" w:sz="0" w:space="0" w:color="auto"/>
                            <w:right w:val="none" w:sz="0" w:space="0" w:color="auto"/>
                          </w:divBdr>
                          <w:divsChild>
                            <w:div w:id="1631547344">
                              <w:marLeft w:val="0"/>
                              <w:marRight w:val="0"/>
                              <w:marTop w:val="0"/>
                              <w:marBottom w:val="0"/>
                              <w:divBdr>
                                <w:top w:val="none" w:sz="0" w:space="0" w:color="auto"/>
                                <w:left w:val="none" w:sz="0" w:space="0" w:color="auto"/>
                                <w:bottom w:val="none" w:sz="0" w:space="0" w:color="auto"/>
                                <w:right w:val="none" w:sz="0" w:space="0" w:color="auto"/>
                              </w:divBdr>
                              <w:divsChild>
                                <w:div w:id="1263680542">
                                  <w:marLeft w:val="0"/>
                                  <w:marRight w:val="0"/>
                                  <w:marTop w:val="0"/>
                                  <w:marBottom w:val="0"/>
                                  <w:divBdr>
                                    <w:top w:val="none" w:sz="0" w:space="0" w:color="auto"/>
                                    <w:left w:val="none" w:sz="0" w:space="0" w:color="auto"/>
                                    <w:bottom w:val="none" w:sz="0" w:space="0" w:color="auto"/>
                                    <w:right w:val="none" w:sz="0" w:space="0" w:color="auto"/>
                                  </w:divBdr>
                                  <w:divsChild>
                                    <w:div w:id="10304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748482">
      <w:bodyDiv w:val="1"/>
      <w:marLeft w:val="0"/>
      <w:marRight w:val="0"/>
      <w:marTop w:val="0"/>
      <w:marBottom w:val="0"/>
      <w:divBdr>
        <w:top w:val="none" w:sz="0" w:space="0" w:color="auto"/>
        <w:left w:val="none" w:sz="0" w:space="0" w:color="auto"/>
        <w:bottom w:val="none" w:sz="0" w:space="0" w:color="auto"/>
        <w:right w:val="none" w:sz="0" w:space="0" w:color="auto"/>
      </w:divBdr>
    </w:div>
    <w:div w:id="1745568957">
      <w:bodyDiv w:val="1"/>
      <w:marLeft w:val="0"/>
      <w:marRight w:val="0"/>
      <w:marTop w:val="0"/>
      <w:marBottom w:val="0"/>
      <w:divBdr>
        <w:top w:val="none" w:sz="0" w:space="0" w:color="auto"/>
        <w:left w:val="none" w:sz="0" w:space="0" w:color="auto"/>
        <w:bottom w:val="none" w:sz="0" w:space="0" w:color="auto"/>
        <w:right w:val="none" w:sz="0" w:space="0" w:color="auto"/>
      </w:divBdr>
    </w:div>
    <w:div w:id="1779905404">
      <w:bodyDiv w:val="1"/>
      <w:marLeft w:val="0"/>
      <w:marRight w:val="0"/>
      <w:marTop w:val="0"/>
      <w:marBottom w:val="0"/>
      <w:divBdr>
        <w:top w:val="none" w:sz="0" w:space="0" w:color="auto"/>
        <w:left w:val="none" w:sz="0" w:space="0" w:color="auto"/>
        <w:bottom w:val="none" w:sz="0" w:space="0" w:color="auto"/>
        <w:right w:val="none" w:sz="0" w:space="0" w:color="auto"/>
      </w:divBdr>
    </w:div>
    <w:div w:id="1785926337">
      <w:bodyDiv w:val="1"/>
      <w:marLeft w:val="0"/>
      <w:marRight w:val="0"/>
      <w:marTop w:val="0"/>
      <w:marBottom w:val="0"/>
      <w:divBdr>
        <w:top w:val="none" w:sz="0" w:space="0" w:color="auto"/>
        <w:left w:val="none" w:sz="0" w:space="0" w:color="auto"/>
        <w:bottom w:val="none" w:sz="0" w:space="0" w:color="auto"/>
        <w:right w:val="none" w:sz="0" w:space="0" w:color="auto"/>
      </w:divBdr>
    </w:div>
    <w:div w:id="1798329414">
      <w:bodyDiv w:val="1"/>
      <w:marLeft w:val="0"/>
      <w:marRight w:val="0"/>
      <w:marTop w:val="0"/>
      <w:marBottom w:val="0"/>
      <w:divBdr>
        <w:top w:val="none" w:sz="0" w:space="0" w:color="auto"/>
        <w:left w:val="none" w:sz="0" w:space="0" w:color="auto"/>
        <w:bottom w:val="none" w:sz="0" w:space="0" w:color="auto"/>
        <w:right w:val="none" w:sz="0" w:space="0" w:color="auto"/>
      </w:divBdr>
    </w:div>
    <w:div w:id="1799831376">
      <w:bodyDiv w:val="1"/>
      <w:marLeft w:val="0"/>
      <w:marRight w:val="0"/>
      <w:marTop w:val="0"/>
      <w:marBottom w:val="0"/>
      <w:divBdr>
        <w:top w:val="none" w:sz="0" w:space="0" w:color="auto"/>
        <w:left w:val="none" w:sz="0" w:space="0" w:color="auto"/>
        <w:bottom w:val="none" w:sz="0" w:space="0" w:color="auto"/>
        <w:right w:val="none" w:sz="0" w:space="0" w:color="auto"/>
      </w:divBdr>
    </w:div>
    <w:div w:id="1847207479">
      <w:bodyDiv w:val="1"/>
      <w:marLeft w:val="0"/>
      <w:marRight w:val="0"/>
      <w:marTop w:val="0"/>
      <w:marBottom w:val="0"/>
      <w:divBdr>
        <w:top w:val="none" w:sz="0" w:space="0" w:color="auto"/>
        <w:left w:val="none" w:sz="0" w:space="0" w:color="auto"/>
        <w:bottom w:val="none" w:sz="0" w:space="0" w:color="auto"/>
        <w:right w:val="none" w:sz="0" w:space="0" w:color="auto"/>
      </w:divBdr>
    </w:div>
    <w:div w:id="1855874981">
      <w:bodyDiv w:val="1"/>
      <w:marLeft w:val="0"/>
      <w:marRight w:val="0"/>
      <w:marTop w:val="0"/>
      <w:marBottom w:val="0"/>
      <w:divBdr>
        <w:top w:val="none" w:sz="0" w:space="0" w:color="auto"/>
        <w:left w:val="none" w:sz="0" w:space="0" w:color="auto"/>
        <w:bottom w:val="none" w:sz="0" w:space="0" w:color="auto"/>
        <w:right w:val="none" w:sz="0" w:space="0" w:color="auto"/>
      </w:divBdr>
    </w:div>
    <w:div w:id="1868253544">
      <w:bodyDiv w:val="1"/>
      <w:marLeft w:val="0"/>
      <w:marRight w:val="0"/>
      <w:marTop w:val="0"/>
      <w:marBottom w:val="0"/>
      <w:divBdr>
        <w:top w:val="none" w:sz="0" w:space="0" w:color="auto"/>
        <w:left w:val="none" w:sz="0" w:space="0" w:color="auto"/>
        <w:bottom w:val="none" w:sz="0" w:space="0" w:color="auto"/>
        <w:right w:val="none" w:sz="0" w:space="0" w:color="auto"/>
      </w:divBdr>
    </w:div>
    <w:div w:id="1878468789">
      <w:bodyDiv w:val="1"/>
      <w:marLeft w:val="0"/>
      <w:marRight w:val="0"/>
      <w:marTop w:val="0"/>
      <w:marBottom w:val="0"/>
      <w:divBdr>
        <w:top w:val="none" w:sz="0" w:space="0" w:color="auto"/>
        <w:left w:val="none" w:sz="0" w:space="0" w:color="auto"/>
        <w:bottom w:val="none" w:sz="0" w:space="0" w:color="auto"/>
        <w:right w:val="none" w:sz="0" w:space="0" w:color="auto"/>
      </w:divBdr>
    </w:div>
    <w:div w:id="1883906693">
      <w:bodyDiv w:val="1"/>
      <w:marLeft w:val="0"/>
      <w:marRight w:val="0"/>
      <w:marTop w:val="0"/>
      <w:marBottom w:val="0"/>
      <w:divBdr>
        <w:top w:val="none" w:sz="0" w:space="0" w:color="auto"/>
        <w:left w:val="none" w:sz="0" w:space="0" w:color="auto"/>
        <w:bottom w:val="none" w:sz="0" w:space="0" w:color="auto"/>
        <w:right w:val="none" w:sz="0" w:space="0" w:color="auto"/>
      </w:divBdr>
    </w:div>
    <w:div w:id="1921330221">
      <w:bodyDiv w:val="1"/>
      <w:marLeft w:val="0"/>
      <w:marRight w:val="0"/>
      <w:marTop w:val="0"/>
      <w:marBottom w:val="0"/>
      <w:divBdr>
        <w:top w:val="none" w:sz="0" w:space="0" w:color="auto"/>
        <w:left w:val="none" w:sz="0" w:space="0" w:color="auto"/>
        <w:bottom w:val="none" w:sz="0" w:space="0" w:color="auto"/>
        <w:right w:val="none" w:sz="0" w:space="0" w:color="auto"/>
      </w:divBdr>
    </w:div>
    <w:div w:id="1928466104">
      <w:bodyDiv w:val="1"/>
      <w:marLeft w:val="0"/>
      <w:marRight w:val="0"/>
      <w:marTop w:val="0"/>
      <w:marBottom w:val="0"/>
      <w:divBdr>
        <w:top w:val="none" w:sz="0" w:space="0" w:color="auto"/>
        <w:left w:val="none" w:sz="0" w:space="0" w:color="auto"/>
        <w:bottom w:val="none" w:sz="0" w:space="0" w:color="auto"/>
        <w:right w:val="none" w:sz="0" w:space="0" w:color="auto"/>
      </w:divBdr>
    </w:div>
    <w:div w:id="1931280500">
      <w:bodyDiv w:val="1"/>
      <w:marLeft w:val="0"/>
      <w:marRight w:val="0"/>
      <w:marTop w:val="0"/>
      <w:marBottom w:val="0"/>
      <w:divBdr>
        <w:top w:val="none" w:sz="0" w:space="0" w:color="auto"/>
        <w:left w:val="none" w:sz="0" w:space="0" w:color="auto"/>
        <w:bottom w:val="none" w:sz="0" w:space="0" w:color="auto"/>
        <w:right w:val="none" w:sz="0" w:space="0" w:color="auto"/>
      </w:divBdr>
    </w:div>
    <w:div w:id="1937250660">
      <w:bodyDiv w:val="1"/>
      <w:marLeft w:val="0"/>
      <w:marRight w:val="0"/>
      <w:marTop w:val="0"/>
      <w:marBottom w:val="0"/>
      <w:divBdr>
        <w:top w:val="none" w:sz="0" w:space="0" w:color="auto"/>
        <w:left w:val="none" w:sz="0" w:space="0" w:color="auto"/>
        <w:bottom w:val="none" w:sz="0" w:space="0" w:color="auto"/>
        <w:right w:val="none" w:sz="0" w:space="0" w:color="auto"/>
      </w:divBdr>
    </w:div>
    <w:div w:id="1942764088">
      <w:bodyDiv w:val="1"/>
      <w:marLeft w:val="0"/>
      <w:marRight w:val="0"/>
      <w:marTop w:val="0"/>
      <w:marBottom w:val="0"/>
      <w:divBdr>
        <w:top w:val="none" w:sz="0" w:space="0" w:color="auto"/>
        <w:left w:val="none" w:sz="0" w:space="0" w:color="auto"/>
        <w:bottom w:val="none" w:sz="0" w:space="0" w:color="auto"/>
        <w:right w:val="none" w:sz="0" w:space="0" w:color="auto"/>
      </w:divBdr>
    </w:div>
    <w:div w:id="1955015673">
      <w:bodyDiv w:val="1"/>
      <w:marLeft w:val="0"/>
      <w:marRight w:val="0"/>
      <w:marTop w:val="0"/>
      <w:marBottom w:val="0"/>
      <w:divBdr>
        <w:top w:val="none" w:sz="0" w:space="0" w:color="auto"/>
        <w:left w:val="none" w:sz="0" w:space="0" w:color="auto"/>
        <w:bottom w:val="none" w:sz="0" w:space="0" w:color="auto"/>
        <w:right w:val="none" w:sz="0" w:space="0" w:color="auto"/>
      </w:divBdr>
    </w:div>
    <w:div w:id="1971087859">
      <w:bodyDiv w:val="1"/>
      <w:marLeft w:val="0"/>
      <w:marRight w:val="0"/>
      <w:marTop w:val="0"/>
      <w:marBottom w:val="0"/>
      <w:divBdr>
        <w:top w:val="none" w:sz="0" w:space="0" w:color="auto"/>
        <w:left w:val="none" w:sz="0" w:space="0" w:color="auto"/>
        <w:bottom w:val="none" w:sz="0" w:space="0" w:color="auto"/>
        <w:right w:val="none" w:sz="0" w:space="0" w:color="auto"/>
      </w:divBdr>
    </w:div>
    <w:div w:id="2005862057">
      <w:bodyDiv w:val="1"/>
      <w:marLeft w:val="0"/>
      <w:marRight w:val="0"/>
      <w:marTop w:val="0"/>
      <w:marBottom w:val="0"/>
      <w:divBdr>
        <w:top w:val="none" w:sz="0" w:space="0" w:color="auto"/>
        <w:left w:val="none" w:sz="0" w:space="0" w:color="auto"/>
        <w:bottom w:val="none" w:sz="0" w:space="0" w:color="auto"/>
        <w:right w:val="none" w:sz="0" w:space="0" w:color="auto"/>
      </w:divBdr>
    </w:div>
    <w:div w:id="2013606104">
      <w:bodyDiv w:val="1"/>
      <w:marLeft w:val="0"/>
      <w:marRight w:val="0"/>
      <w:marTop w:val="0"/>
      <w:marBottom w:val="0"/>
      <w:divBdr>
        <w:top w:val="none" w:sz="0" w:space="0" w:color="auto"/>
        <w:left w:val="none" w:sz="0" w:space="0" w:color="auto"/>
        <w:bottom w:val="none" w:sz="0" w:space="0" w:color="auto"/>
        <w:right w:val="none" w:sz="0" w:space="0" w:color="auto"/>
      </w:divBdr>
    </w:div>
    <w:div w:id="2026707638">
      <w:bodyDiv w:val="1"/>
      <w:marLeft w:val="0"/>
      <w:marRight w:val="0"/>
      <w:marTop w:val="0"/>
      <w:marBottom w:val="0"/>
      <w:divBdr>
        <w:top w:val="none" w:sz="0" w:space="0" w:color="auto"/>
        <w:left w:val="none" w:sz="0" w:space="0" w:color="auto"/>
        <w:bottom w:val="none" w:sz="0" w:space="0" w:color="auto"/>
        <w:right w:val="none" w:sz="0" w:space="0" w:color="auto"/>
      </w:divBdr>
    </w:div>
    <w:div w:id="2060394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Hp\Desktop\VEPHLA\TECHNICAL%20REPORTS\PROJECT%208\Expanded_Dataset.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Hp\Desktop\VEPHLA\TECHNICAL%20REPORTS\PROJECT%208\Expanded_Dataset.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Hp\Desktop\VEPHLA\TECHNICAL%20REPORTS\PROJECT%208\Expanded_Dataset.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Hp\Desktop\VEPHLA\TECHNICAL%20REPORTS\PROJECT%208\Expanded_Dataset.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Hp\Desktop\VEPHLA\TECHNICAL%20REPORTS\PROJECT%208\Expanded_Datas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[Expanded_Dataset.xlsx]YEARLY REVENUE GROWTH!PivotTable1</c:name>
    <c:fmtId val="-1"/>
  </c:pivotSource>
  <c:chart>
    <c:title>
      <c:tx>
        <c:rich>
          <a:bodyPr rot="0" spcFirstLastPara="1" vertOverflow="ellipsis" vert="horz" wrap="square" anchor="ctr" anchorCtr="1"/>
          <a:lstStyle/>
          <a:p>
            <a:pPr>
              <a:defRPr sz="1800" b="1" i="0" u="none" strike="noStrike" kern="1200" spc="0" baseline="0">
                <a:solidFill>
                  <a:schemeClr val="accent4">
                    <a:lumMod val="50000"/>
                  </a:schemeClr>
                </a:solidFill>
                <a:latin typeface="+mn-lt"/>
                <a:ea typeface="+mn-ea"/>
                <a:cs typeface="+mn-cs"/>
              </a:defRPr>
            </a:pPr>
            <a:r>
              <a:rPr lang="en-US" sz="1800" b="1" i="0" baseline="0">
                <a:solidFill>
                  <a:schemeClr val="accent4">
                    <a:lumMod val="50000"/>
                  </a:schemeClr>
                </a:solidFill>
              </a:rPr>
              <a:t>Yearly Revenue Growth</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accent4">
                  <a:lumMod val="50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4">
              <a:lumMod val="50000"/>
            </a:schemeClr>
          </a:solidFill>
          <a:ln>
            <a:noFill/>
          </a:ln>
          <a:effectLst/>
        </c:spPr>
      </c:pivotFmt>
      <c:pivotFmt>
        <c:idx val="2"/>
        <c:spPr>
          <a:solidFill>
            <a:schemeClr val="accent4">
              <a:lumMod val="75000"/>
            </a:schemeClr>
          </a:solidFill>
          <a:ln>
            <a:noFill/>
          </a:ln>
          <a:effectLst/>
        </c:spPr>
      </c:pivotFmt>
      <c:pivotFmt>
        <c:idx val="3"/>
        <c:spPr>
          <a:solidFill>
            <a:schemeClr val="accent4">
              <a:lumMod val="60000"/>
              <a:lumOff val="40000"/>
            </a:schemeClr>
          </a:solidFill>
          <a:ln>
            <a:noFill/>
          </a:ln>
          <a:effectLst/>
        </c:spPr>
      </c:pivotFmt>
      <c:pivotFmt>
        <c:idx val="4"/>
        <c:spPr>
          <a:solidFill>
            <a:schemeClr val="accent4">
              <a:lumMod val="40000"/>
              <a:lumOff val="60000"/>
            </a:schemeClr>
          </a:solidFill>
          <a:ln>
            <a:noFill/>
          </a:ln>
          <a:effectLst/>
        </c:spPr>
      </c:pivotFmt>
      <c:pivotFmt>
        <c:idx val="5"/>
        <c:spPr>
          <a:solidFill>
            <a:schemeClr val="accent4">
              <a:lumMod val="20000"/>
              <a:lumOff val="80000"/>
            </a:schemeClr>
          </a:solidFill>
          <a:ln>
            <a:noFill/>
          </a:ln>
          <a:effectLst/>
        </c:spPr>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4">
              <a:lumMod val="50000"/>
            </a:schemeClr>
          </a:solidFill>
          <a:ln>
            <a:noFill/>
          </a:ln>
          <a:effectLst/>
        </c:spPr>
      </c:pivotFmt>
      <c:pivotFmt>
        <c:idx val="8"/>
        <c:spPr>
          <a:solidFill>
            <a:schemeClr val="accent4">
              <a:lumMod val="75000"/>
            </a:schemeClr>
          </a:solidFill>
          <a:ln>
            <a:noFill/>
          </a:ln>
          <a:effectLst/>
        </c:spPr>
      </c:pivotFmt>
      <c:pivotFmt>
        <c:idx val="9"/>
        <c:spPr>
          <a:solidFill>
            <a:schemeClr val="accent4">
              <a:lumMod val="60000"/>
              <a:lumOff val="40000"/>
            </a:schemeClr>
          </a:solidFill>
          <a:ln>
            <a:noFill/>
          </a:ln>
          <a:effectLst/>
        </c:spPr>
      </c:pivotFmt>
      <c:pivotFmt>
        <c:idx val="10"/>
        <c:spPr>
          <a:solidFill>
            <a:schemeClr val="accent4">
              <a:lumMod val="40000"/>
              <a:lumOff val="60000"/>
            </a:schemeClr>
          </a:solidFill>
          <a:ln>
            <a:noFill/>
          </a:ln>
          <a:effectLst/>
        </c:spPr>
      </c:pivotFmt>
      <c:pivotFmt>
        <c:idx val="11"/>
        <c:spPr>
          <a:solidFill>
            <a:schemeClr val="accent4">
              <a:lumMod val="20000"/>
              <a:lumOff val="80000"/>
            </a:schemeClr>
          </a:solidFill>
          <a:ln>
            <a:noFill/>
          </a:ln>
          <a:effectLst/>
        </c:spPr>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4">
              <a:lumMod val="50000"/>
            </a:schemeClr>
          </a:solidFill>
          <a:ln>
            <a:noFill/>
          </a:ln>
          <a:effectLst/>
        </c:spPr>
      </c:pivotFmt>
      <c:pivotFmt>
        <c:idx val="15"/>
        <c:spPr>
          <a:solidFill>
            <a:schemeClr val="accent4">
              <a:lumMod val="75000"/>
            </a:schemeClr>
          </a:solidFill>
          <a:ln>
            <a:noFill/>
          </a:ln>
          <a:effectLst/>
        </c:spPr>
      </c:pivotFmt>
      <c:pivotFmt>
        <c:idx val="16"/>
        <c:spPr>
          <a:solidFill>
            <a:schemeClr val="accent4">
              <a:lumMod val="60000"/>
              <a:lumOff val="40000"/>
            </a:schemeClr>
          </a:solidFill>
          <a:ln>
            <a:noFill/>
          </a:ln>
          <a:effectLst/>
        </c:spPr>
      </c:pivotFmt>
      <c:pivotFmt>
        <c:idx val="17"/>
        <c:spPr>
          <a:solidFill>
            <a:schemeClr val="accent4">
              <a:lumMod val="40000"/>
              <a:lumOff val="60000"/>
            </a:schemeClr>
          </a:solidFill>
          <a:ln>
            <a:noFill/>
          </a:ln>
          <a:effectLst/>
        </c:spPr>
      </c:pivotFmt>
      <c:pivotFmt>
        <c:idx val="18"/>
        <c:spPr>
          <a:solidFill>
            <a:schemeClr val="accent4">
              <a:lumMod val="20000"/>
              <a:lumOff val="80000"/>
            </a:schemeClr>
          </a:solidFill>
          <a:ln>
            <a:noFill/>
          </a:ln>
          <a:effectLst/>
        </c:spPr>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4">
              <a:lumMod val="50000"/>
            </a:schemeClr>
          </a:solidFill>
          <a:ln>
            <a:noFill/>
          </a:ln>
          <a:effectLst/>
        </c:spPr>
      </c:pivotFmt>
      <c:pivotFmt>
        <c:idx val="21"/>
        <c:spPr>
          <a:solidFill>
            <a:schemeClr val="accent4">
              <a:lumMod val="75000"/>
            </a:schemeClr>
          </a:solidFill>
          <a:ln>
            <a:noFill/>
          </a:ln>
          <a:effectLst/>
        </c:spPr>
      </c:pivotFmt>
      <c:pivotFmt>
        <c:idx val="22"/>
        <c:spPr>
          <a:solidFill>
            <a:schemeClr val="accent4">
              <a:lumMod val="60000"/>
              <a:lumOff val="40000"/>
            </a:schemeClr>
          </a:solidFill>
          <a:ln>
            <a:noFill/>
          </a:ln>
          <a:effectLst/>
        </c:spPr>
      </c:pivotFmt>
      <c:pivotFmt>
        <c:idx val="23"/>
        <c:spPr>
          <a:solidFill>
            <a:schemeClr val="accent4">
              <a:lumMod val="40000"/>
              <a:lumOff val="60000"/>
            </a:schemeClr>
          </a:solidFill>
          <a:ln>
            <a:noFill/>
          </a:ln>
          <a:effectLst/>
        </c:spPr>
      </c:pivotFmt>
      <c:pivotFmt>
        <c:idx val="24"/>
        <c:spPr>
          <a:solidFill>
            <a:schemeClr val="accent4">
              <a:lumMod val="20000"/>
              <a:lumOff val="80000"/>
            </a:schemeClr>
          </a:solidFill>
          <a:ln>
            <a:noFill/>
          </a:ln>
          <a:effectLst/>
        </c:spPr>
      </c:pivotFmt>
      <c:pivotFmt>
        <c:idx val="25"/>
        <c:spPr>
          <a:solidFill>
            <a:schemeClr val="accent1"/>
          </a:solidFill>
          <a:ln w="28575" cap="rnd">
            <a:solidFill>
              <a:schemeClr val="accent4">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8575" cap="rnd">
            <a:solidFill>
              <a:schemeClr val="accent4">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1"/>
          </a:solidFill>
          <a:ln w="28575" cap="rnd">
            <a:solidFill>
              <a:schemeClr val="accent4">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accent4">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8"/>
        <c:spPr>
          <a:solidFill>
            <a:schemeClr val="accent1"/>
          </a:solidFill>
          <a:ln w="28575" cap="rnd">
            <a:solidFill>
              <a:schemeClr val="accent4">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accent4">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9"/>
        <c:spPr>
          <a:solidFill>
            <a:schemeClr val="accent1"/>
          </a:solidFill>
          <a:ln w="28575" cap="rnd">
            <a:solidFill>
              <a:schemeClr val="accent4">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accent4">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'YEARLY REVENUE GROWTH'!$B$3</c:f>
              <c:strCache>
                <c:ptCount val="1"/>
                <c:pt idx="0">
                  <c:v>Total</c:v>
                </c:pt>
              </c:strCache>
            </c:strRef>
          </c:tx>
          <c:spPr>
            <a:ln w="28575" cap="rnd">
              <a:solidFill>
                <a:schemeClr val="accent4">
                  <a:lumMod val="50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accent4">
                        <a:lumMod val="5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'YEARLY REVENUE GROWTH'!$A$4:$A$10</c:f>
              <c:strCache>
                <c:ptCount val="6"/>
                <c:pt idx="0">
                  <c:v>2019</c:v>
                </c:pt>
                <c:pt idx="1">
                  <c:v>2020</c:v>
                </c:pt>
                <c:pt idx="2">
                  <c:v>2021</c:v>
                </c:pt>
                <c:pt idx="3">
                  <c:v>2022</c:v>
                </c:pt>
                <c:pt idx="4">
                  <c:v>2023</c:v>
                </c:pt>
                <c:pt idx="5">
                  <c:v>2024</c:v>
                </c:pt>
              </c:strCache>
            </c:strRef>
          </c:cat>
          <c:val>
            <c:numRef>
              <c:f>'YEARLY REVENUE GROWTH'!$B$4:$B$10</c:f>
              <c:numCache>
                <c:formatCode>#,##0</c:formatCode>
                <c:ptCount val="6"/>
                <c:pt idx="0">
                  <c:v>1939221646.6019998</c:v>
                </c:pt>
                <c:pt idx="1">
                  <c:v>1955988271.3010004</c:v>
                </c:pt>
                <c:pt idx="2">
                  <c:v>1817545128.8969998</c:v>
                </c:pt>
                <c:pt idx="3">
                  <c:v>1604446610.2710001</c:v>
                </c:pt>
                <c:pt idx="4">
                  <c:v>1533226728.6669998</c:v>
                </c:pt>
                <c:pt idx="5">
                  <c:v>1916199646.5229998</c:v>
                </c:pt>
              </c:numCache>
            </c:numRef>
          </c:val>
          <c:smooth val="0"/>
          <c:extLst>
            <c:ext xmlns:c16="http://schemas.microsoft.com/office/drawing/2014/chart" uri="{C3380CC4-5D6E-409C-BE32-E72D297353CC}">
              <c16:uniqueId val="{00000000-0C89-4AFC-8FA9-C41601B4CCC8}"/>
            </c:ext>
          </c:extLst>
        </c:ser>
        <c:dLbls>
          <c:showLegendKey val="0"/>
          <c:showVal val="1"/>
          <c:showCatName val="0"/>
          <c:showSerName val="0"/>
          <c:showPercent val="0"/>
          <c:showBubbleSize val="0"/>
        </c:dLbls>
        <c:smooth val="0"/>
        <c:axId val="883735215"/>
        <c:axId val="883728495"/>
      </c:lineChart>
      <c:catAx>
        <c:axId val="883735215"/>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accent4">
                    <a:lumMod val="50000"/>
                  </a:schemeClr>
                </a:solidFill>
                <a:latin typeface="+mn-lt"/>
                <a:ea typeface="+mn-ea"/>
                <a:cs typeface="+mn-cs"/>
              </a:defRPr>
            </a:pPr>
            <a:endParaRPr lang="en-US"/>
          </a:p>
        </c:txPr>
        <c:crossAx val="883728495"/>
        <c:crosses val="autoZero"/>
        <c:auto val="1"/>
        <c:lblAlgn val="ctr"/>
        <c:lblOffset val="100"/>
        <c:noMultiLvlLbl val="0"/>
      </c:catAx>
      <c:valAx>
        <c:axId val="883728495"/>
        <c:scaling>
          <c:orientation val="minMax"/>
        </c:scaling>
        <c:delete val="1"/>
        <c:axPos val="l"/>
        <c:numFmt formatCode="#,##0" sourceLinked="1"/>
        <c:majorTickMark val="out"/>
        <c:minorTickMark val="none"/>
        <c:tickLblPos val="nextTo"/>
        <c:crossAx val="8837352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[Expanded_Dataset.xlsx]REGIONAL REVENUE CONTRIBUTION!PivotTable1</c:name>
    <c:fmtId val="-1"/>
  </c:pivotSource>
  <c:chart>
    <c:title>
      <c:tx>
        <c:rich>
          <a:bodyPr rot="0" spcFirstLastPara="1" vertOverflow="ellipsis" vert="horz" wrap="square" anchor="ctr" anchorCtr="1"/>
          <a:lstStyle/>
          <a:p>
            <a:pPr>
              <a:defRPr sz="1800" b="1" i="0" u="none" strike="noStrike" kern="1200" spc="0" baseline="0">
                <a:solidFill>
                  <a:schemeClr val="accent4">
                    <a:lumMod val="50000"/>
                  </a:schemeClr>
                </a:solidFill>
                <a:latin typeface="+mn-lt"/>
                <a:ea typeface="+mn-ea"/>
                <a:cs typeface="+mn-cs"/>
              </a:defRPr>
            </a:pPr>
            <a:r>
              <a:rPr lang="en-US" sz="1800" b="1" i="0" baseline="0">
                <a:solidFill>
                  <a:schemeClr val="accent4">
                    <a:lumMod val="50000"/>
                  </a:schemeClr>
                </a:solidFill>
              </a:rPr>
              <a:t>Regional Revenue Contribution</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accent4">
                  <a:lumMod val="50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4">
              <a:lumMod val="50000"/>
            </a:schemeClr>
          </a:solidFill>
          <a:ln>
            <a:noFill/>
          </a:ln>
          <a:effectLst/>
        </c:spPr>
      </c:pivotFmt>
      <c:pivotFmt>
        <c:idx val="2"/>
        <c:spPr>
          <a:solidFill>
            <a:schemeClr val="accent4">
              <a:lumMod val="75000"/>
            </a:schemeClr>
          </a:solidFill>
          <a:ln>
            <a:noFill/>
          </a:ln>
          <a:effectLst/>
        </c:spPr>
      </c:pivotFmt>
      <c:pivotFmt>
        <c:idx val="3"/>
        <c:spPr>
          <a:solidFill>
            <a:schemeClr val="accent4">
              <a:lumMod val="60000"/>
              <a:lumOff val="40000"/>
            </a:schemeClr>
          </a:solidFill>
          <a:ln>
            <a:noFill/>
          </a:ln>
          <a:effectLst/>
        </c:spPr>
      </c:pivotFmt>
      <c:pivotFmt>
        <c:idx val="4"/>
        <c:spPr>
          <a:solidFill>
            <a:schemeClr val="accent4">
              <a:lumMod val="40000"/>
              <a:lumOff val="60000"/>
            </a:schemeClr>
          </a:solidFill>
          <a:ln>
            <a:noFill/>
          </a:ln>
          <a:effectLst/>
        </c:spPr>
      </c:pivotFmt>
      <c:pivotFmt>
        <c:idx val="5"/>
        <c:spPr>
          <a:solidFill>
            <a:schemeClr val="accent4">
              <a:lumMod val="20000"/>
              <a:lumOff val="80000"/>
            </a:schemeClr>
          </a:solidFill>
          <a:ln>
            <a:noFill/>
          </a:ln>
          <a:effectLst/>
        </c:spPr>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4">
              <a:lumMod val="50000"/>
            </a:schemeClr>
          </a:solidFill>
          <a:ln>
            <a:noFill/>
          </a:ln>
          <a:effectLst/>
        </c:spPr>
      </c:pivotFmt>
      <c:pivotFmt>
        <c:idx val="8"/>
        <c:spPr>
          <a:solidFill>
            <a:schemeClr val="accent4">
              <a:lumMod val="75000"/>
            </a:schemeClr>
          </a:solidFill>
          <a:ln>
            <a:noFill/>
          </a:ln>
          <a:effectLst/>
        </c:spPr>
      </c:pivotFmt>
      <c:pivotFmt>
        <c:idx val="9"/>
        <c:spPr>
          <a:solidFill>
            <a:schemeClr val="accent4">
              <a:lumMod val="60000"/>
              <a:lumOff val="40000"/>
            </a:schemeClr>
          </a:solidFill>
          <a:ln>
            <a:noFill/>
          </a:ln>
          <a:effectLst/>
        </c:spPr>
      </c:pivotFmt>
      <c:pivotFmt>
        <c:idx val="10"/>
        <c:spPr>
          <a:solidFill>
            <a:schemeClr val="accent4">
              <a:lumMod val="40000"/>
              <a:lumOff val="60000"/>
            </a:schemeClr>
          </a:solidFill>
          <a:ln>
            <a:noFill/>
          </a:ln>
          <a:effectLst/>
        </c:spPr>
      </c:pivotFmt>
      <c:pivotFmt>
        <c:idx val="11"/>
        <c:spPr>
          <a:solidFill>
            <a:schemeClr val="accent4">
              <a:lumMod val="20000"/>
              <a:lumOff val="80000"/>
            </a:schemeClr>
          </a:solidFill>
          <a:ln>
            <a:noFill/>
          </a:ln>
          <a:effectLst/>
        </c:spPr>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4">
              <a:lumMod val="50000"/>
            </a:schemeClr>
          </a:solidFill>
          <a:ln>
            <a:noFill/>
          </a:ln>
          <a:effectLst/>
        </c:spPr>
      </c:pivotFmt>
      <c:pivotFmt>
        <c:idx val="15"/>
        <c:spPr>
          <a:solidFill>
            <a:schemeClr val="accent4">
              <a:lumMod val="75000"/>
            </a:schemeClr>
          </a:solidFill>
          <a:ln>
            <a:noFill/>
          </a:ln>
          <a:effectLst/>
        </c:spPr>
      </c:pivotFmt>
      <c:pivotFmt>
        <c:idx val="16"/>
        <c:spPr>
          <a:solidFill>
            <a:schemeClr val="accent4">
              <a:lumMod val="60000"/>
              <a:lumOff val="40000"/>
            </a:schemeClr>
          </a:solidFill>
          <a:ln>
            <a:noFill/>
          </a:ln>
          <a:effectLst/>
        </c:spPr>
      </c:pivotFmt>
      <c:pivotFmt>
        <c:idx val="17"/>
        <c:spPr>
          <a:solidFill>
            <a:schemeClr val="accent4">
              <a:lumMod val="40000"/>
              <a:lumOff val="60000"/>
            </a:schemeClr>
          </a:solidFill>
          <a:ln>
            <a:noFill/>
          </a:ln>
          <a:effectLst/>
        </c:spPr>
      </c:pivotFmt>
      <c:pivotFmt>
        <c:idx val="18"/>
        <c:spPr>
          <a:solidFill>
            <a:schemeClr val="accent4">
              <a:lumMod val="20000"/>
              <a:lumOff val="80000"/>
            </a:schemeClr>
          </a:solidFill>
          <a:ln>
            <a:noFill/>
          </a:ln>
          <a:effectLst/>
        </c:spPr>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4">
              <a:lumMod val="50000"/>
            </a:schemeClr>
          </a:solidFill>
          <a:ln>
            <a:noFill/>
          </a:ln>
          <a:effectLst/>
        </c:spPr>
      </c:pivotFmt>
      <c:pivotFmt>
        <c:idx val="21"/>
        <c:spPr>
          <a:solidFill>
            <a:schemeClr val="accent4">
              <a:lumMod val="75000"/>
            </a:schemeClr>
          </a:solidFill>
          <a:ln>
            <a:noFill/>
          </a:ln>
          <a:effectLst/>
        </c:spPr>
      </c:pivotFmt>
      <c:pivotFmt>
        <c:idx val="22"/>
        <c:spPr>
          <a:solidFill>
            <a:schemeClr val="accent4">
              <a:lumMod val="60000"/>
              <a:lumOff val="40000"/>
            </a:schemeClr>
          </a:solidFill>
          <a:ln>
            <a:noFill/>
          </a:ln>
          <a:effectLst/>
        </c:spPr>
      </c:pivotFmt>
      <c:pivotFmt>
        <c:idx val="23"/>
        <c:spPr>
          <a:solidFill>
            <a:schemeClr val="accent4">
              <a:lumMod val="40000"/>
              <a:lumOff val="60000"/>
            </a:schemeClr>
          </a:solidFill>
          <a:ln>
            <a:noFill/>
          </a:ln>
          <a:effectLst/>
        </c:spPr>
      </c:pivotFmt>
      <c:pivotFmt>
        <c:idx val="24"/>
        <c:spPr>
          <a:solidFill>
            <a:schemeClr val="accent4">
              <a:lumMod val="20000"/>
              <a:lumOff val="80000"/>
            </a:schemeClr>
          </a:solidFill>
          <a:ln>
            <a:noFill/>
          </a:ln>
          <a:effectLst/>
        </c:spPr>
      </c:pivotFmt>
      <c:pivotFmt>
        <c:idx val="25"/>
        <c:spPr>
          <a:solidFill>
            <a:schemeClr val="accent1"/>
          </a:solidFill>
          <a:ln w="28575" cap="rnd">
            <a:solidFill>
              <a:schemeClr val="accent4">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8575" cap="rnd">
            <a:solidFill>
              <a:schemeClr val="accent4">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1"/>
          </a:solidFill>
          <a:ln w="28575" cap="rnd">
            <a:solidFill>
              <a:schemeClr val="accent4">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1"/>
        <c:spPr>
          <a:solidFill>
            <a:schemeClr val="accent4">
              <a:lumMod val="50000"/>
            </a:schemeClr>
          </a:solidFill>
          <a:ln>
            <a:noFill/>
          </a:ln>
          <a:effectLst/>
        </c:spPr>
        <c:dLbl>
          <c:idx val="0"/>
          <c:layout>
            <c:manualLayout>
              <c:x val="0.15498575498575506"/>
              <c:y val="-5.2757793764988056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2"/>
        <c:spPr>
          <a:solidFill>
            <a:schemeClr val="accent4">
              <a:lumMod val="75000"/>
            </a:schemeClr>
          </a:solidFill>
          <a:ln>
            <a:noFill/>
          </a:ln>
          <a:effectLst/>
        </c:spPr>
        <c:dLbl>
          <c:idx val="0"/>
          <c:layout>
            <c:manualLayout>
              <c:x val="0.18233618233618243"/>
              <c:y val="0.1380608105804956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3"/>
        <c:spPr>
          <a:solidFill>
            <a:schemeClr val="accent4">
              <a:lumMod val="60000"/>
              <a:lumOff val="40000"/>
            </a:schemeClr>
          </a:solidFill>
          <a:ln>
            <a:noFill/>
          </a:ln>
          <a:effectLst/>
        </c:spPr>
        <c:dLbl>
          <c:idx val="0"/>
          <c:layout>
            <c:manualLayout>
              <c:x val="-0.17549857549857553"/>
              <c:y val="5.1948051948051792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4"/>
        <c:spPr>
          <a:solidFill>
            <a:schemeClr val="accent4">
              <a:lumMod val="40000"/>
              <a:lumOff val="60000"/>
            </a:schemeClr>
          </a:solidFill>
          <a:ln>
            <a:noFill/>
          </a:ln>
          <a:effectLst/>
        </c:spPr>
        <c:dLbl>
          <c:idx val="0"/>
          <c:layout>
            <c:manualLayout>
              <c:x val="-0.16638176638176638"/>
              <c:y val="4.3165467625899283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5"/>
        <c:spPr>
          <a:solidFill>
            <a:schemeClr val="accent4">
              <a:lumMod val="20000"/>
              <a:lumOff val="80000"/>
            </a:schemeClr>
          </a:solidFill>
          <a:ln>
            <a:noFill/>
          </a:ln>
          <a:effectLst/>
        </c:spPr>
        <c:dLbl>
          <c:idx val="0"/>
          <c:layout>
            <c:manualLayout>
              <c:x val="-0.15498575498575498"/>
              <c:y val="-5.7553956834532377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6"/>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7"/>
        <c:spPr>
          <a:solidFill>
            <a:schemeClr val="accent4">
              <a:lumMod val="50000"/>
            </a:schemeClr>
          </a:solidFill>
          <a:ln>
            <a:noFill/>
          </a:ln>
          <a:effectLst/>
        </c:spPr>
        <c:dLbl>
          <c:idx val="0"/>
          <c:layout>
            <c:manualLayout>
              <c:x val="0.15498575498575506"/>
              <c:y val="-5.2757793764988056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8"/>
        <c:spPr>
          <a:solidFill>
            <a:schemeClr val="accent4">
              <a:lumMod val="75000"/>
            </a:schemeClr>
          </a:solidFill>
          <a:ln>
            <a:noFill/>
          </a:ln>
          <a:effectLst/>
        </c:spPr>
        <c:dLbl>
          <c:idx val="0"/>
          <c:layout>
            <c:manualLayout>
              <c:x val="0.18233618233618243"/>
              <c:y val="0.1380608105804956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9"/>
        <c:spPr>
          <a:solidFill>
            <a:schemeClr val="accent4">
              <a:lumMod val="60000"/>
              <a:lumOff val="40000"/>
            </a:schemeClr>
          </a:solidFill>
          <a:ln>
            <a:noFill/>
          </a:ln>
          <a:effectLst/>
        </c:spPr>
        <c:dLbl>
          <c:idx val="0"/>
          <c:layout>
            <c:manualLayout>
              <c:x val="-0.17549857549857553"/>
              <c:y val="5.1948051948051792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40"/>
        <c:spPr>
          <a:solidFill>
            <a:schemeClr val="accent4">
              <a:lumMod val="40000"/>
              <a:lumOff val="60000"/>
            </a:schemeClr>
          </a:solidFill>
          <a:ln>
            <a:noFill/>
          </a:ln>
          <a:effectLst/>
        </c:spPr>
        <c:dLbl>
          <c:idx val="0"/>
          <c:layout>
            <c:manualLayout>
              <c:x val="-0.16638176638176638"/>
              <c:y val="4.3165467625899283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41"/>
        <c:spPr>
          <a:solidFill>
            <a:schemeClr val="accent4">
              <a:lumMod val="20000"/>
              <a:lumOff val="80000"/>
            </a:schemeClr>
          </a:solidFill>
          <a:ln>
            <a:noFill/>
          </a:ln>
          <a:effectLst/>
        </c:spPr>
        <c:dLbl>
          <c:idx val="0"/>
          <c:layout>
            <c:manualLayout>
              <c:x val="-0.15498575498575498"/>
              <c:y val="-5.7553956834532377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4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accent4">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3"/>
        <c:spPr>
          <a:solidFill>
            <a:schemeClr val="accent4">
              <a:lumMod val="50000"/>
            </a:schemeClr>
          </a:solidFill>
          <a:ln>
            <a:noFill/>
          </a:ln>
          <a:effectLst/>
        </c:spPr>
        <c:dLbl>
          <c:idx val="0"/>
          <c:layout>
            <c:manualLayout>
              <c:x val="0.15178038908592581"/>
              <c:y val="-0.11014497781352407"/>
            </c:manualLayout>
          </c:layout>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accent4">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4"/>
        <c:spPr>
          <a:solidFill>
            <a:schemeClr val="accent4">
              <a:lumMod val="75000"/>
            </a:schemeClr>
          </a:solidFill>
          <a:ln>
            <a:noFill/>
          </a:ln>
          <a:effectLst/>
        </c:spPr>
        <c:dLbl>
          <c:idx val="0"/>
          <c:layout>
            <c:manualLayout>
              <c:x val="0.16262184544920621"/>
              <c:y val="3.4782624572691809E-2"/>
            </c:manualLayout>
          </c:layout>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accent4">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5"/>
        <c:spPr>
          <a:solidFill>
            <a:schemeClr val="accent4">
              <a:lumMod val="60000"/>
              <a:lumOff val="40000"/>
            </a:schemeClr>
          </a:solidFill>
          <a:ln>
            <a:noFill/>
          </a:ln>
          <a:effectLst/>
        </c:spPr>
        <c:dLbl>
          <c:idx val="0"/>
          <c:layout>
            <c:manualLayout>
              <c:x val="-0.18791857696352718"/>
              <c:y val="8.1159457336280771E-2"/>
            </c:manualLayout>
          </c:layout>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accent4">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6"/>
        <c:spPr>
          <a:solidFill>
            <a:schemeClr val="accent4">
              <a:lumMod val="40000"/>
              <a:lumOff val="60000"/>
            </a:schemeClr>
          </a:solidFill>
          <a:ln>
            <a:noFill/>
          </a:ln>
          <a:effectLst/>
        </c:spPr>
        <c:dLbl>
          <c:idx val="0"/>
          <c:layout>
            <c:manualLayout>
              <c:x val="-0.16262184544920621"/>
              <c:y val="-2.3188416381794537E-2"/>
            </c:manualLayout>
          </c:layout>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accent4">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7"/>
        <c:spPr>
          <a:solidFill>
            <a:schemeClr val="accent4">
              <a:lumMod val="20000"/>
              <a:lumOff val="80000"/>
            </a:schemeClr>
          </a:solidFill>
          <a:ln>
            <a:noFill/>
          </a:ln>
          <a:effectLst/>
        </c:spPr>
        <c:dLbl>
          <c:idx val="0"/>
          <c:layout>
            <c:manualLayout>
              <c:x val="-0.20237385211456776"/>
              <c:y val="-0.12753629009986994"/>
            </c:manualLayout>
          </c:layout>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accent4">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accent4">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9"/>
        <c:spPr>
          <a:solidFill>
            <a:schemeClr val="accent4">
              <a:lumMod val="50000"/>
            </a:schemeClr>
          </a:solidFill>
          <a:ln>
            <a:noFill/>
          </a:ln>
          <a:effectLst/>
        </c:spPr>
        <c:dLbl>
          <c:idx val="0"/>
          <c:layout>
            <c:manualLayout>
              <c:x val="0.15178038908592581"/>
              <c:y val="-0.11014497781352407"/>
            </c:manualLayout>
          </c:layout>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accent4">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0"/>
        <c:spPr>
          <a:solidFill>
            <a:schemeClr val="accent4">
              <a:lumMod val="75000"/>
            </a:schemeClr>
          </a:solidFill>
          <a:ln>
            <a:noFill/>
          </a:ln>
          <a:effectLst/>
        </c:spPr>
        <c:dLbl>
          <c:idx val="0"/>
          <c:layout>
            <c:manualLayout>
              <c:x val="0.16262184544920621"/>
              <c:y val="3.4782624572691809E-2"/>
            </c:manualLayout>
          </c:layout>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accent4">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1"/>
        <c:spPr>
          <a:solidFill>
            <a:schemeClr val="accent4">
              <a:lumMod val="60000"/>
              <a:lumOff val="40000"/>
            </a:schemeClr>
          </a:solidFill>
          <a:ln>
            <a:noFill/>
          </a:ln>
          <a:effectLst/>
        </c:spPr>
        <c:dLbl>
          <c:idx val="0"/>
          <c:layout>
            <c:manualLayout>
              <c:x val="-0.18791857696352718"/>
              <c:y val="8.1159457336280771E-2"/>
            </c:manualLayout>
          </c:layout>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accent4">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2"/>
        <c:spPr>
          <a:solidFill>
            <a:schemeClr val="accent4">
              <a:lumMod val="40000"/>
              <a:lumOff val="60000"/>
            </a:schemeClr>
          </a:solidFill>
          <a:ln>
            <a:noFill/>
          </a:ln>
          <a:effectLst/>
        </c:spPr>
        <c:dLbl>
          <c:idx val="0"/>
          <c:layout>
            <c:manualLayout>
              <c:x val="-0.16262184544920621"/>
              <c:y val="-2.3188416381794537E-2"/>
            </c:manualLayout>
          </c:layout>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accent4">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3"/>
        <c:spPr>
          <a:solidFill>
            <a:schemeClr val="accent4">
              <a:lumMod val="20000"/>
              <a:lumOff val="80000"/>
            </a:schemeClr>
          </a:solidFill>
          <a:ln>
            <a:noFill/>
          </a:ln>
          <a:effectLst/>
        </c:spPr>
        <c:dLbl>
          <c:idx val="0"/>
          <c:layout>
            <c:manualLayout>
              <c:x val="-0.20237385211456776"/>
              <c:y val="-0.12753629009986994"/>
            </c:manualLayout>
          </c:layout>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accent4">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accent4">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5"/>
        <c:spPr>
          <a:solidFill>
            <a:schemeClr val="accent4">
              <a:lumMod val="50000"/>
            </a:schemeClr>
          </a:solidFill>
          <a:ln>
            <a:noFill/>
          </a:ln>
          <a:effectLst/>
        </c:spPr>
        <c:dLbl>
          <c:idx val="0"/>
          <c:layout>
            <c:manualLayout>
              <c:x val="0.15178038908592581"/>
              <c:y val="-0.11014497781352407"/>
            </c:manualLayout>
          </c:layout>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accent4">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6"/>
        <c:spPr>
          <a:solidFill>
            <a:schemeClr val="accent4">
              <a:lumMod val="75000"/>
            </a:schemeClr>
          </a:solidFill>
          <a:ln>
            <a:noFill/>
          </a:ln>
          <a:effectLst/>
        </c:spPr>
        <c:dLbl>
          <c:idx val="0"/>
          <c:layout>
            <c:manualLayout>
              <c:x val="0.16262184544920621"/>
              <c:y val="3.4782624572691809E-2"/>
            </c:manualLayout>
          </c:layout>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accent4">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7"/>
        <c:spPr>
          <a:solidFill>
            <a:schemeClr val="accent4">
              <a:lumMod val="60000"/>
              <a:lumOff val="40000"/>
            </a:schemeClr>
          </a:solidFill>
          <a:ln>
            <a:noFill/>
          </a:ln>
          <a:effectLst/>
        </c:spPr>
        <c:dLbl>
          <c:idx val="0"/>
          <c:layout>
            <c:manualLayout>
              <c:x val="-0.18791857696352718"/>
              <c:y val="8.1159457336280771E-2"/>
            </c:manualLayout>
          </c:layout>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accent4">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8"/>
        <c:spPr>
          <a:solidFill>
            <a:schemeClr val="accent4">
              <a:lumMod val="40000"/>
              <a:lumOff val="60000"/>
            </a:schemeClr>
          </a:solidFill>
          <a:ln>
            <a:noFill/>
          </a:ln>
          <a:effectLst/>
        </c:spPr>
        <c:dLbl>
          <c:idx val="0"/>
          <c:layout>
            <c:manualLayout>
              <c:x val="-0.16262184544920621"/>
              <c:y val="-2.3188416381794537E-2"/>
            </c:manualLayout>
          </c:layout>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accent4">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9"/>
        <c:spPr>
          <a:solidFill>
            <a:schemeClr val="accent4">
              <a:lumMod val="20000"/>
              <a:lumOff val="80000"/>
            </a:schemeClr>
          </a:solidFill>
          <a:ln>
            <a:noFill/>
          </a:ln>
          <a:effectLst/>
        </c:spPr>
        <c:dLbl>
          <c:idx val="0"/>
          <c:layout>
            <c:manualLayout>
              <c:x val="-0.20237385211456776"/>
              <c:y val="-0.12753629009986994"/>
            </c:manualLayout>
          </c:layout>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accent4">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218926531619445"/>
          <c:y val="0.30649992606889676"/>
          <c:w val="0.31361292411182501"/>
          <c:h val="0.56743372197254327"/>
        </c:manualLayout>
      </c:layout>
      <c:doughnutChart>
        <c:varyColors val="1"/>
        <c:ser>
          <c:idx val="0"/>
          <c:order val="0"/>
          <c:tx>
            <c:strRef>
              <c:f>'REGIONAL REVENUE CONTRIBUTION'!$B$3</c:f>
              <c:strCache>
                <c:ptCount val="1"/>
                <c:pt idx="0">
                  <c:v>Total</c:v>
                </c:pt>
              </c:strCache>
            </c:strRef>
          </c:tx>
          <c:dPt>
            <c:idx val="0"/>
            <c:bubble3D val="0"/>
            <c:spPr>
              <a:solidFill>
                <a:schemeClr val="accent4">
                  <a:lumMod val="50000"/>
                </a:schemeClr>
              </a:solidFill>
              <a:ln>
                <a:noFill/>
              </a:ln>
              <a:effectLst/>
            </c:spPr>
            <c:extLst>
              <c:ext xmlns:c16="http://schemas.microsoft.com/office/drawing/2014/chart" uri="{C3380CC4-5D6E-409C-BE32-E72D297353CC}">
                <c16:uniqueId val="{00000001-496E-4966-A895-EC8B2B1EFADD}"/>
              </c:ext>
            </c:extLst>
          </c:dPt>
          <c:dPt>
            <c:idx val="1"/>
            <c:bubble3D val="0"/>
            <c:spPr>
              <a:solidFill>
                <a:schemeClr val="accent4">
                  <a:lumMod val="75000"/>
                </a:schemeClr>
              </a:solidFill>
              <a:ln>
                <a:noFill/>
              </a:ln>
              <a:effectLst/>
            </c:spPr>
            <c:extLst>
              <c:ext xmlns:c16="http://schemas.microsoft.com/office/drawing/2014/chart" uri="{C3380CC4-5D6E-409C-BE32-E72D297353CC}">
                <c16:uniqueId val="{00000003-496E-4966-A895-EC8B2B1EFADD}"/>
              </c:ext>
            </c:extLst>
          </c:dPt>
          <c:dPt>
            <c:idx val="2"/>
            <c:bubble3D val="0"/>
            <c:spPr>
              <a:solidFill>
                <a:schemeClr val="accent4">
                  <a:lumMod val="60000"/>
                  <a:lumOff val="40000"/>
                </a:schemeClr>
              </a:solidFill>
              <a:ln>
                <a:noFill/>
              </a:ln>
              <a:effectLst/>
            </c:spPr>
            <c:extLst>
              <c:ext xmlns:c16="http://schemas.microsoft.com/office/drawing/2014/chart" uri="{C3380CC4-5D6E-409C-BE32-E72D297353CC}">
                <c16:uniqueId val="{00000005-496E-4966-A895-EC8B2B1EFADD}"/>
              </c:ext>
            </c:extLst>
          </c:dPt>
          <c:dPt>
            <c:idx val="3"/>
            <c:bubble3D val="0"/>
            <c:spPr>
              <a:solidFill>
                <a:schemeClr val="accent4">
                  <a:lumMod val="40000"/>
                  <a:lumOff val="60000"/>
                </a:schemeClr>
              </a:solidFill>
              <a:ln>
                <a:noFill/>
              </a:ln>
              <a:effectLst/>
            </c:spPr>
            <c:extLst>
              <c:ext xmlns:c16="http://schemas.microsoft.com/office/drawing/2014/chart" uri="{C3380CC4-5D6E-409C-BE32-E72D297353CC}">
                <c16:uniqueId val="{00000007-496E-4966-A895-EC8B2B1EFADD}"/>
              </c:ext>
            </c:extLst>
          </c:dPt>
          <c:dPt>
            <c:idx val="4"/>
            <c:bubble3D val="0"/>
            <c:spPr>
              <a:solidFill>
                <a:schemeClr val="accent4">
                  <a:lumMod val="20000"/>
                  <a:lumOff val="80000"/>
                </a:schemeClr>
              </a:solidFill>
              <a:ln>
                <a:noFill/>
              </a:ln>
              <a:effectLst/>
            </c:spPr>
            <c:extLst>
              <c:ext xmlns:c16="http://schemas.microsoft.com/office/drawing/2014/chart" uri="{C3380CC4-5D6E-409C-BE32-E72D297353CC}">
                <c16:uniqueId val="{00000009-496E-4966-A895-EC8B2B1EFADD}"/>
              </c:ext>
            </c:extLst>
          </c:dPt>
          <c:dLbls>
            <c:dLbl>
              <c:idx val="0"/>
              <c:layout>
                <c:manualLayout>
                  <c:x val="0.15178038908592581"/>
                  <c:y val="-0.1101449778135240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96E-4966-A895-EC8B2B1EFADD}"/>
                </c:ext>
              </c:extLst>
            </c:dLbl>
            <c:dLbl>
              <c:idx val="1"/>
              <c:layout>
                <c:manualLayout>
                  <c:x val="0.16262184544920621"/>
                  <c:y val="3.478262457269180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96E-4966-A895-EC8B2B1EFADD}"/>
                </c:ext>
              </c:extLst>
            </c:dLbl>
            <c:dLbl>
              <c:idx val="2"/>
              <c:layout>
                <c:manualLayout>
                  <c:x val="-0.18791857696352718"/>
                  <c:y val="8.115945733628077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96E-4966-A895-EC8B2B1EFADD}"/>
                </c:ext>
              </c:extLst>
            </c:dLbl>
            <c:dLbl>
              <c:idx val="3"/>
              <c:layout>
                <c:manualLayout>
                  <c:x val="-0.16262184544920621"/>
                  <c:y val="-2.318841638179453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96E-4966-A895-EC8B2B1EFADD}"/>
                </c:ext>
              </c:extLst>
            </c:dLbl>
            <c:dLbl>
              <c:idx val="4"/>
              <c:layout>
                <c:manualLayout>
                  <c:x val="-0.20237385211456776"/>
                  <c:y val="-0.12753629009986994"/>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496E-4966-A895-EC8B2B1EFADD}"/>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accent4">
                        <a:lumMod val="50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'REGIONAL REVENUE CONTRIBUTION'!$A$4:$A$9</c:f>
              <c:strCache>
                <c:ptCount val="5"/>
                <c:pt idx="0">
                  <c:v>Latin America</c:v>
                </c:pt>
                <c:pt idx="1">
                  <c:v>North America</c:v>
                </c:pt>
                <c:pt idx="2">
                  <c:v>Asia-Pacific</c:v>
                </c:pt>
                <c:pt idx="3">
                  <c:v>Europe</c:v>
                </c:pt>
                <c:pt idx="4">
                  <c:v>Middle East &amp; Africa</c:v>
                </c:pt>
              </c:strCache>
            </c:strRef>
          </c:cat>
          <c:val>
            <c:numRef>
              <c:f>'REGIONAL REVENUE CONTRIBUTION'!$B$4:$B$9</c:f>
              <c:numCache>
                <c:formatCode>#,##0.00</c:formatCode>
                <c:ptCount val="5"/>
                <c:pt idx="0">
                  <c:v>2442049419.2949996</c:v>
                </c:pt>
                <c:pt idx="1">
                  <c:v>2323814337.5730004</c:v>
                </c:pt>
                <c:pt idx="2">
                  <c:v>2085855500.1009994</c:v>
                </c:pt>
                <c:pt idx="3">
                  <c:v>2044056723.3779998</c:v>
                </c:pt>
                <c:pt idx="4">
                  <c:v>1870852051.9140003</c:v>
                </c:pt>
              </c:numCache>
            </c:numRef>
          </c:val>
          <c:extLst>
            <c:ext xmlns:c16="http://schemas.microsoft.com/office/drawing/2014/chart" uri="{C3380CC4-5D6E-409C-BE32-E72D297353CC}">
              <c16:uniqueId val="{0000000A-496E-4966-A895-EC8B2B1EFADD}"/>
            </c:ext>
          </c:extLst>
        </c:ser>
        <c:dLbls>
          <c:showLegendKey val="0"/>
          <c:showVal val="1"/>
          <c:showCatName val="0"/>
          <c:showSerName val="0"/>
          <c:showPercent val="0"/>
          <c:showBubbleSize val="0"/>
          <c:showLeaderLines val="1"/>
        </c:dLbls>
        <c:firstSliceAng val="0"/>
        <c:holeSize val="50"/>
      </c:doughnutChart>
      <c:spPr>
        <a:noFill/>
        <a:ln>
          <a:noFill/>
        </a:ln>
        <a:effectLst/>
      </c:spPr>
    </c:plotArea>
    <c:legend>
      <c:legendPos val="r"/>
      <c:layout>
        <c:manualLayout>
          <c:xMode val="edge"/>
          <c:yMode val="edge"/>
          <c:x val="0.7221517230007044"/>
          <c:y val="0.23537475082722853"/>
          <c:w val="0.25619597624985907"/>
          <c:h val="0.6956972250129978"/>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accent4">
                  <a:lumMod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[Expanded_Dataset.xlsx]QUATERLY REVENUE GROWTH!PivotTable1</c:name>
    <c:fmtId val="-1"/>
  </c:pivotSource>
  <c:chart>
    <c:title>
      <c:tx>
        <c:rich>
          <a:bodyPr rot="0" spcFirstLastPara="1" vertOverflow="ellipsis" vert="horz" wrap="square" anchor="ctr" anchorCtr="1"/>
          <a:lstStyle/>
          <a:p>
            <a:pPr>
              <a:defRPr sz="1800" b="1" i="0" u="none" strike="noStrike" kern="1200" spc="0" baseline="0">
                <a:solidFill>
                  <a:schemeClr val="accent4">
                    <a:lumMod val="50000"/>
                  </a:schemeClr>
                </a:solidFill>
                <a:latin typeface="+mn-lt"/>
                <a:ea typeface="+mn-ea"/>
                <a:cs typeface="+mn-cs"/>
              </a:defRPr>
            </a:pPr>
            <a:r>
              <a:rPr lang="en-US" sz="1800" b="1" i="0" baseline="0">
                <a:solidFill>
                  <a:schemeClr val="accent4">
                    <a:lumMod val="50000"/>
                  </a:schemeClr>
                </a:solidFill>
              </a:rPr>
              <a:t>Quaterly Revenue Growth </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accent4">
                  <a:lumMod val="50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4">
              <a:lumMod val="50000"/>
            </a:schemeClr>
          </a:solidFill>
          <a:ln>
            <a:noFill/>
          </a:ln>
          <a:effectLst/>
        </c:spPr>
      </c:pivotFmt>
      <c:pivotFmt>
        <c:idx val="2"/>
        <c:spPr>
          <a:solidFill>
            <a:schemeClr val="accent4">
              <a:lumMod val="75000"/>
            </a:schemeClr>
          </a:solidFill>
          <a:ln>
            <a:noFill/>
          </a:ln>
          <a:effectLst/>
        </c:spPr>
      </c:pivotFmt>
      <c:pivotFmt>
        <c:idx val="3"/>
        <c:spPr>
          <a:solidFill>
            <a:schemeClr val="accent4">
              <a:lumMod val="60000"/>
              <a:lumOff val="40000"/>
            </a:schemeClr>
          </a:solidFill>
          <a:ln>
            <a:noFill/>
          </a:ln>
          <a:effectLst/>
        </c:spPr>
      </c:pivotFmt>
      <c:pivotFmt>
        <c:idx val="4"/>
        <c:spPr>
          <a:solidFill>
            <a:schemeClr val="accent4">
              <a:lumMod val="40000"/>
              <a:lumOff val="60000"/>
            </a:schemeClr>
          </a:solidFill>
          <a:ln>
            <a:noFill/>
          </a:ln>
          <a:effectLst/>
        </c:spPr>
      </c:pivotFmt>
      <c:pivotFmt>
        <c:idx val="5"/>
        <c:spPr>
          <a:solidFill>
            <a:schemeClr val="accent4">
              <a:lumMod val="20000"/>
              <a:lumOff val="80000"/>
            </a:schemeClr>
          </a:solidFill>
          <a:ln>
            <a:noFill/>
          </a:ln>
          <a:effectLst/>
        </c:spPr>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4">
              <a:lumMod val="50000"/>
            </a:schemeClr>
          </a:solidFill>
          <a:ln>
            <a:noFill/>
          </a:ln>
          <a:effectLst/>
        </c:spPr>
      </c:pivotFmt>
      <c:pivotFmt>
        <c:idx val="8"/>
        <c:spPr>
          <a:solidFill>
            <a:schemeClr val="accent4">
              <a:lumMod val="75000"/>
            </a:schemeClr>
          </a:solidFill>
          <a:ln>
            <a:noFill/>
          </a:ln>
          <a:effectLst/>
        </c:spPr>
      </c:pivotFmt>
      <c:pivotFmt>
        <c:idx val="9"/>
        <c:spPr>
          <a:solidFill>
            <a:schemeClr val="accent4">
              <a:lumMod val="60000"/>
              <a:lumOff val="40000"/>
            </a:schemeClr>
          </a:solidFill>
          <a:ln>
            <a:noFill/>
          </a:ln>
          <a:effectLst/>
        </c:spPr>
      </c:pivotFmt>
      <c:pivotFmt>
        <c:idx val="10"/>
        <c:spPr>
          <a:solidFill>
            <a:schemeClr val="accent4">
              <a:lumMod val="40000"/>
              <a:lumOff val="60000"/>
            </a:schemeClr>
          </a:solidFill>
          <a:ln>
            <a:noFill/>
          </a:ln>
          <a:effectLst/>
        </c:spPr>
      </c:pivotFmt>
      <c:pivotFmt>
        <c:idx val="11"/>
        <c:spPr>
          <a:solidFill>
            <a:schemeClr val="accent4">
              <a:lumMod val="20000"/>
              <a:lumOff val="80000"/>
            </a:schemeClr>
          </a:solidFill>
          <a:ln>
            <a:noFill/>
          </a:ln>
          <a:effectLst/>
        </c:spPr>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4">
              <a:lumMod val="50000"/>
            </a:schemeClr>
          </a:solidFill>
          <a:ln>
            <a:noFill/>
          </a:ln>
          <a:effectLst/>
        </c:spPr>
      </c:pivotFmt>
      <c:pivotFmt>
        <c:idx val="15"/>
        <c:spPr>
          <a:solidFill>
            <a:schemeClr val="accent4">
              <a:lumMod val="75000"/>
            </a:schemeClr>
          </a:solidFill>
          <a:ln>
            <a:noFill/>
          </a:ln>
          <a:effectLst/>
        </c:spPr>
      </c:pivotFmt>
      <c:pivotFmt>
        <c:idx val="16"/>
        <c:spPr>
          <a:solidFill>
            <a:schemeClr val="accent4">
              <a:lumMod val="60000"/>
              <a:lumOff val="40000"/>
            </a:schemeClr>
          </a:solidFill>
          <a:ln>
            <a:noFill/>
          </a:ln>
          <a:effectLst/>
        </c:spPr>
      </c:pivotFmt>
      <c:pivotFmt>
        <c:idx val="17"/>
        <c:spPr>
          <a:solidFill>
            <a:schemeClr val="accent4">
              <a:lumMod val="40000"/>
              <a:lumOff val="60000"/>
            </a:schemeClr>
          </a:solidFill>
          <a:ln>
            <a:noFill/>
          </a:ln>
          <a:effectLst/>
        </c:spPr>
      </c:pivotFmt>
      <c:pivotFmt>
        <c:idx val="18"/>
        <c:spPr>
          <a:solidFill>
            <a:schemeClr val="accent4">
              <a:lumMod val="20000"/>
              <a:lumOff val="80000"/>
            </a:schemeClr>
          </a:solidFill>
          <a:ln>
            <a:noFill/>
          </a:ln>
          <a:effectLst/>
        </c:spPr>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4">
              <a:lumMod val="50000"/>
            </a:schemeClr>
          </a:solidFill>
          <a:ln>
            <a:noFill/>
          </a:ln>
          <a:effectLst/>
        </c:spPr>
      </c:pivotFmt>
      <c:pivotFmt>
        <c:idx val="21"/>
        <c:spPr>
          <a:solidFill>
            <a:schemeClr val="accent4">
              <a:lumMod val="75000"/>
            </a:schemeClr>
          </a:solidFill>
          <a:ln>
            <a:noFill/>
          </a:ln>
          <a:effectLst/>
        </c:spPr>
      </c:pivotFmt>
      <c:pivotFmt>
        <c:idx val="22"/>
        <c:spPr>
          <a:solidFill>
            <a:schemeClr val="accent4">
              <a:lumMod val="60000"/>
              <a:lumOff val="40000"/>
            </a:schemeClr>
          </a:solidFill>
          <a:ln>
            <a:noFill/>
          </a:ln>
          <a:effectLst/>
        </c:spPr>
      </c:pivotFmt>
      <c:pivotFmt>
        <c:idx val="23"/>
        <c:spPr>
          <a:solidFill>
            <a:schemeClr val="accent4">
              <a:lumMod val="40000"/>
              <a:lumOff val="60000"/>
            </a:schemeClr>
          </a:solidFill>
          <a:ln>
            <a:noFill/>
          </a:ln>
          <a:effectLst/>
        </c:spPr>
      </c:pivotFmt>
      <c:pivotFmt>
        <c:idx val="24"/>
        <c:spPr>
          <a:solidFill>
            <a:schemeClr val="accent4">
              <a:lumMod val="20000"/>
              <a:lumOff val="80000"/>
            </a:schemeClr>
          </a:solidFill>
          <a:ln>
            <a:noFill/>
          </a:ln>
          <a:effectLst/>
        </c:spPr>
      </c:pivotFmt>
      <c:pivotFmt>
        <c:idx val="25"/>
        <c:spPr>
          <a:solidFill>
            <a:schemeClr val="accent1"/>
          </a:solidFill>
          <a:ln w="28575" cap="rnd">
            <a:solidFill>
              <a:schemeClr val="accent4">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8575" cap="rnd">
            <a:solidFill>
              <a:schemeClr val="accent4">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1"/>
          </a:solidFill>
          <a:ln w="28575" cap="rnd">
            <a:solidFill>
              <a:schemeClr val="accent4">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8"/>
        <c:spPr>
          <a:solidFill>
            <a:schemeClr val="accent1"/>
          </a:solidFill>
          <a:ln w="28575" cap="rnd">
            <a:solidFill>
              <a:schemeClr val="accent4">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accent4">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9"/>
        <c:spPr>
          <a:solidFill>
            <a:schemeClr val="accent1"/>
          </a:solidFill>
          <a:ln w="28575" cap="rnd">
            <a:solidFill>
              <a:schemeClr val="accent4">
                <a:lumMod val="50000"/>
              </a:schemeClr>
            </a:solidFill>
            <a:round/>
          </a:ln>
          <a:effectLst/>
        </c:spPr>
        <c:marker>
          <c:symbol val="none"/>
        </c:marker>
        <c:dLbl>
          <c:idx val="0"/>
          <c:layout>
            <c:manualLayout>
              <c:x val="-0.12252252904106528"/>
              <c:y val="-8.6636284007673134E-2"/>
            </c:manualLayout>
          </c:layout>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accent4">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0.32824551295907878"/>
                  <c:h val="0.18655728788153034"/>
                </c:manualLayout>
              </c15:layout>
            </c:ext>
          </c:extLst>
        </c:dLbl>
      </c:pivotFmt>
      <c:pivotFmt>
        <c:idx val="30"/>
        <c:spPr>
          <a:solidFill>
            <a:schemeClr val="accent1"/>
          </a:solidFill>
          <a:ln w="28575" cap="rnd">
            <a:solidFill>
              <a:schemeClr val="accent4">
                <a:lumMod val="50000"/>
              </a:schemeClr>
            </a:solidFill>
            <a:round/>
          </a:ln>
          <a:effectLst/>
        </c:spPr>
        <c:marker>
          <c:symbol val="none"/>
        </c:marker>
        <c:dLbl>
          <c:idx val="0"/>
          <c:layout>
            <c:manualLayout>
              <c:x val="-0.20675661701549719"/>
              <c:y val="2.3103297099109441E-2"/>
            </c:manualLayout>
          </c:layout>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accent4">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0.36270497425187836"/>
                  <c:h val="0.18655728788153034"/>
                </c:manualLayout>
              </c15:layout>
            </c:ext>
          </c:extLst>
        </c:dLbl>
      </c:pivotFmt>
      <c:pivotFmt>
        <c:idx val="31"/>
        <c:spPr>
          <a:solidFill>
            <a:schemeClr val="accent1"/>
          </a:solidFill>
          <a:ln w="28575" cap="rnd">
            <a:solidFill>
              <a:schemeClr val="accent4">
                <a:lumMod val="50000"/>
              </a:schemeClr>
            </a:solidFill>
            <a:round/>
          </a:ln>
          <a:effectLst/>
        </c:spPr>
        <c:marker>
          <c:symbol val="none"/>
        </c:marker>
        <c:dLbl>
          <c:idx val="0"/>
          <c:layout>
            <c:manualLayout>
              <c:x val="-0.18378364282029738"/>
              <c:y val="-0.12706665599438255"/>
            </c:manualLayout>
          </c:layout>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accent4">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0.34738965812174522"/>
                  <c:h val="0.18655728788153034"/>
                </c:manualLayout>
              </c15:layout>
            </c:ext>
          </c:extLst>
        </c:dLbl>
      </c:pivotFmt>
      <c:pivotFmt>
        <c:idx val="32"/>
        <c:spPr>
          <a:solidFill>
            <a:schemeClr val="accent1"/>
          </a:solidFill>
          <a:ln w="28575" cap="rnd">
            <a:solidFill>
              <a:schemeClr val="accent4">
                <a:lumMod val="50000"/>
              </a:schemeClr>
            </a:solidFill>
            <a:round/>
          </a:ln>
          <a:effectLst/>
        </c:spPr>
        <c:marker>
          <c:symbol val="none"/>
        </c:marker>
        <c:dLbl>
          <c:idx val="0"/>
          <c:layout>
            <c:manualLayout>
              <c:x val="-2.010150316210026E-2"/>
              <c:y val="9.2412051434345846E-2"/>
            </c:manualLayout>
          </c:layout>
          <c:spPr>
            <a:noFill/>
            <a:ln>
              <a:noFill/>
            </a:ln>
            <a:effectLst/>
          </c:spPr>
          <c:txPr>
            <a:bodyPr rot="0" spcFirstLastPara="1" vertOverflow="ellipsis" vert="horz" wrap="square" lIns="38100" tIns="19050" rIns="38100" bIns="19050" anchor="ctr" anchorCtr="1">
              <a:noAutofit/>
            </a:bodyPr>
            <a:lstStyle/>
            <a:p>
              <a:pPr>
                <a:defRPr sz="1200" b="0" i="0" u="none" strike="noStrike" kern="1200" baseline="0">
                  <a:solidFill>
                    <a:schemeClr val="accent4">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0.30718665179754473"/>
                  <c:h val="0.18655728788153034"/>
                </c:manualLayout>
              </c15:layout>
            </c:ext>
          </c:extLst>
        </c:dLbl>
      </c:pivotFmt>
      <c:pivotFmt>
        <c:idx val="33"/>
        <c:spPr>
          <a:solidFill>
            <a:schemeClr val="accent1"/>
          </a:solidFill>
          <a:ln w="28575" cap="rnd">
            <a:solidFill>
              <a:schemeClr val="accent4">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accent4">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4"/>
        <c:spPr>
          <a:solidFill>
            <a:schemeClr val="accent1"/>
          </a:solidFill>
          <a:ln w="28575" cap="rnd">
            <a:solidFill>
              <a:schemeClr val="accent4">
                <a:lumMod val="50000"/>
              </a:schemeClr>
            </a:solidFill>
            <a:round/>
          </a:ln>
          <a:effectLst/>
        </c:spPr>
        <c:marker>
          <c:symbol val="none"/>
        </c:marker>
        <c:dLbl>
          <c:idx val="0"/>
          <c:layout>
            <c:manualLayout>
              <c:x val="-0.12252252904106528"/>
              <c:y val="-8.6636284007673134E-2"/>
            </c:manualLayout>
          </c:layout>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accent4">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0.32824551295907878"/>
                  <c:h val="0.18655728788153034"/>
                </c:manualLayout>
              </c15:layout>
            </c:ext>
          </c:extLst>
        </c:dLbl>
      </c:pivotFmt>
      <c:pivotFmt>
        <c:idx val="35"/>
        <c:spPr>
          <a:solidFill>
            <a:schemeClr val="accent1"/>
          </a:solidFill>
          <a:ln w="28575" cap="rnd">
            <a:solidFill>
              <a:schemeClr val="accent4">
                <a:lumMod val="50000"/>
              </a:schemeClr>
            </a:solidFill>
            <a:round/>
          </a:ln>
          <a:effectLst/>
        </c:spPr>
        <c:marker>
          <c:symbol val="none"/>
        </c:marker>
        <c:dLbl>
          <c:idx val="0"/>
          <c:layout>
            <c:manualLayout>
              <c:x val="-0.20675661701549719"/>
              <c:y val="2.3103297099109441E-2"/>
            </c:manualLayout>
          </c:layout>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accent4">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0.36270497425187836"/>
                  <c:h val="0.18655728788153034"/>
                </c:manualLayout>
              </c15:layout>
            </c:ext>
          </c:extLst>
        </c:dLbl>
      </c:pivotFmt>
      <c:pivotFmt>
        <c:idx val="36"/>
        <c:spPr>
          <a:solidFill>
            <a:schemeClr val="accent1"/>
          </a:solidFill>
          <a:ln w="28575" cap="rnd">
            <a:solidFill>
              <a:schemeClr val="accent4">
                <a:lumMod val="50000"/>
              </a:schemeClr>
            </a:solidFill>
            <a:round/>
          </a:ln>
          <a:effectLst/>
        </c:spPr>
        <c:marker>
          <c:symbol val="none"/>
        </c:marker>
        <c:dLbl>
          <c:idx val="0"/>
          <c:layout>
            <c:manualLayout>
              <c:x val="-0.18378364282029738"/>
              <c:y val="-0.12706665599438255"/>
            </c:manualLayout>
          </c:layout>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accent4">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0.34738965812174522"/>
                  <c:h val="0.18655728788153034"/>
                </c:manualLayout>
              </c15:layout>
            </c:ext>
          </c:extLst>
        </c:dLbl>
      </c:pivotFmt>
      <c:pivotFmt>
        <c:idx val="37"/>
        <c:spPr>
          <a:solidFill>
            <a:schemeClr val="accent1"/>
          </a:solidFill>
          <a:ln w="28575" cap="rnd">
            <a:solidFill>
              <a:schemeClr val="accent4">
                <a:lumMod val="50000"/>
              </a:schemeClr>
            </a:solidFill>
            <a:round/>
          </a:ln>
          <a:effectLst/>
        </c:spPr>
        <c:marker>
          <c:symbol val="none"/>
        </c:marker>
        <c:dLbl>
          <c:idx val="0"/>
          <c:layout>
            <c:manualLayout>
              <c:x val="-2.010150316210026E-2"/>
              <c:y val="9.2412051434345846E-2"/>
            </c:manualLayout>
          </c:layout>
          <c:spPr>
            <a:noFill/>
            <a:ln>
              <a:noFill/>
            </a:ln>
            <a:effectLst/>
          </c:spPr>
          <c:txPr>
            <a:bodyPr rot="0" spcFirstLastPara="1" vertOverflow="ellipsis" vert="horz" wrap="square" lIns="38100" tIns="19050" rIns="38100" bIns="19050" anchor="ctr" anchorCtr="1">
              <a:noAutofit/>
            </a:bodyPr>
            <a:lstStyle/>
            <a:p>
              <a:pPr>
                <a:defRPr sz="1200" b="0" i="0" u="none" strike="noStrike" kern="1200" baseline="0">
                  <a:solidFill>
                    <a:schemeClr val="accent4">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0.30718665179754473"/>
                  <c:h val="0.18655728788153034"/>
                </c:manualLayout>
              </c15:layout>
            </c:ext>
          </c:extLst>
        </c:dLbl>
      </c:pivotFmt>
      <c:pivotFmt>
        <c:idx val="38"/>
        <c:spPr>
          <a:solidFill>
            <a:schemeClr val="accent1"/>
          </a:solidFill>
          <a:ln w="28575" cap="rnd">
            <a:solidFill>
              <a:schemeClr val="accent4">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accent4">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9"/>
        <c:spPr>
          <a:solidFill>
            <a:schemeClr val="accent1"/>
          </a:solidFill>
          <a:ln w="28575" cap="rnd">
            <a:solidFill>
              <a:schemeClr val="accent4">
                <a:lumMod val="50000"/>
              </a:schemeClr>
            </a:solidFill>
            <a:round/>
          </a:ln>
          <a:effectLst/>
        </c:spPr>
        <c:marker>
          <c:symbol val="none"/>
        </c:marker>
        <c:dLbl>
          <c:idx val="0"/>
          <c:layout>
            <c:manualLayout>
              <c:x val="-0.12252252904106528"/>
              <c:y val="-8.6636284007673134E-2"/>
            </c:manualLayout>
          </c:layout>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accent4">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0.32824551295907878"/>
                  <c:h val="0.18655728788153034"/>
                </c:manualLayout>
              </c15:layout>
            </c:ext>
          </c:extLst>
        </c:dLbl>
      </c:pivotFmt>
      <c:pivotFmt>
        <c:idx val="40"/>
        <c:spPr>
          <a:solidFill>
            <a:schemeClr val="accent1"/>
          </a:solidFill>
          <a:ln w="28575" cap="rnd">
            <a:solidFill>
              <a:schemeClr val="accent4">
                <a:lumMod val="50000"/>
              </a:schemeClr>
            </a:solidFill>
            <a:round/>
          </a:ln>
          <a:effectLst/>
        </c:spPr>
        <c:marker>
          <c:symbol val="none"/>
        </c:marker>
        <c:dLbl>
          <c:idx val="0"/>
          <c:layout>
            <c:manualLayout>
              <c:x val="-0.20675661701549719"/>
              <c:y val="2.3103297099109441E-2"/>
            </c:manualLayout>
          </c:layout>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accent4">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0.36270497425187836"/>
                  <c:h val="0.18655728788153034"/>
                </c:manualLayout>
              </c15:layout>
            </c:ext>
          </c:extLst>
        </c:dLbl>
      </c:pivotFmt>
      <c:pivotFmt>
        <c:idx val="41"/>
        <c:spPr>
          <a:solidFill>
            <a:schemeClr val="accent1"/>
          </a:solidFill>
          <a:ln w="28575" cap="rnd">
            <a:solidFill>
              <a:schemeClr val="accent4">
                <a:lumMod val="50000"/>
              </a:schemeClr>
            </a:solidFill>
            <a:round/>
          </a:ln>
          <a:effectLst/>
        </c:spPr>
        <c:marker>
          <c:symbol val="none"/>
        </c:marker>
        <c:dLbl>
          <c:idx val="0"/>
          <c:layout>
            <c:manualLayout>
              <c:x val="-0.18378364282029738"/>
              <c:y val="-0.12706665599438255"/>
            </c:manualLayout>
          </c:layout>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accent4">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0.34738965812174522"/>
                  <c:h val="0.18655728788153034"/>
                </c:manualLayout>
              </c15:layout>
            </c:ext>
          </c:extLst>
        </c:dLbl>
      </c:pivotFmt>
      <c:pivotFmt>
        <c:idx val="42"/>
        <c:spPr>
          <a:solidFill>
            <a:schemeClr val="accent1"/>
          </a:solidFill>
          <a:ln w="28575" cap="rnd">
            <a:solidFill>
              <a:schemeClr val="accent4">
                <a:lumMod val="50000"/>
              </a:schemeClr>
            </a:solidFill>
            <a:round/>
          </a:ln>
          <a:effectLst/>
        </c:spPr>
        <c:marker>
          <c:symbol val="none"/>
        </c:marker>
        <c:dLbl>
          <c:idx val="0"/>
          <c:layout>
            <c:manualLayout>
              <c:x val="-2.010150316210026E-2"/>
              <c:y val="9.2412051434345846E-2"/>
            </c:manualLayout>
          </c:layout>
          <c:spPr>
            <a:noFill/>
            <a:ln>
              <a:noFill/>
            </a:ln>
            <a:effectLst/>
          </c:spPr>
          <c:txPr>
            <a:bodyPr rot="0" spcFirstLastPara="1" vertOverflow="ellipsis" vert="horz" wrap="square" lIns="38100" tIns="19050" rIns="38100" bIns="19050" anchor="ctr" anchorCtr="1">
              <a:noAutofit/>
            </a:bodyPr>
            <a:lstStyle/>
            <a:p>
              <a:pPr>
                <a:defRPr sz="1200" b="0" i="0" u="none" strike="noStrike" kern="1200" baseline="0">
                  <a:solidFill>
                    <a:schemeClr val="accent4">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0.30718665179754473"/>
                  <c:h val="0.18655728788153034"/>
                </c:manualLayout>
              </c15:layout>
            </c:ext>
          </c:extLst>
        </c:dLbl>
      </c:pivotFmt>
    </c:pivotFmts>
    <c:plotArea>
      <c:layout>
        <c:manualLayout>
          <c:layoutTarget val="inner"/>
          <c:xMode val="edge"/>
          <c:yMode val="edge"/>
          <c:x val="4.2117119357866176E-2"/>
          <c:y val="0.37273937827274545"/>
          <c:w val="0.91576576128426768"/>
          <c:h val="0.46170848110050655"/>
        </c:manualLayout>
      </c:layout>
      <c:lineChart>
        <c:grouping val="standard"/>
        <c:varyColors val="0"/>
        <c:ser>
          <c:idx val="0"/>
          <c:order val="0"/>
          <c:tx>
            <c:strRef>
              <c:f>'QUATERLY REVENUE GROWTH'!$B$3</c:f>
              <c:strCache>
                <c:ptCount val="1"/>
                <c:pt idx="0">
                  <c:v>Total</c:v>
                </c:pt>
              </c:strCache>
            </c:strRef>
          </c:tx>
          <c:spPr>
            <a:ln w="28575" cap="rnd">
              <a:solidFill>
                <a:schemeClr val="accent4">
                  <a:lumMod val="50000"/>
                </a:schemeClr>
              </a:solidFill>
              <a:round/>
            </a:ln>
            <a:effectLst/>
          </c:spPr>
          <c:marker>
            <c:symbol val="none"/>
          </c:marker>
          <c:dPt>
            <c:idx val="0"/>
            <c:marker>
              <c:symbol val="none"/>
            </c:marker>
            <c:bubble3D val="0"/>
            <c:spPr>
              <a:ln w="28575" cap="rnd">
                <a:solidFill>
                  <a:schemeClr val="accent4">
                    <a:lumMod val="50000"/>
                  </a:schemeClr>
                </a:solidFill>
                <a:round/>
              </a:ln>
              <a:effectLst/>
            </c:spPr>
            <c:extLst>
              <c:ext xmlns:c16="http://schemas.microsoft.com/office/drawing/2014/chart" uri="{C3380CC4-5D6E-409C-BE32-E72D297353CC}">
                <c16:uniqueId val="{00000001-C7B3-4125-80A9-3738F56DA64D}"/>
              </c:ext>
            </c:extLst>
          </c:dPt>
          <c:dPt>
            <c:idx val="1"/>
            <c:marker>
              <c:symbol val="none"/>
            </c:marker>
            <c:bubble3D val="0"/>
            <c:spPr>
              <a:ln w="28575" cap="rnd">
                <a:solidFill>
                  <a:schemeClr val="accent4">
                    <a:lumMod val="50000"/>
                  </a:schemeClr>
                </a:solidFill>
                <a:round/>
              </a:ln>
              <a:effectLst/>
            </c:spPr>
            <c:extLst>
              <c:ext xmlns:c16="http://schemas.microsoft.com/office/drawing/2014/chart" uri="{C3380CC4-5D6E-409C-BE32-E72D297353CC}">
                <c16:uniqueId val="{00000003-C7B3-4125-80A9-3738F56DA64D}"/>
              </c:ext>
            </c:extLst>
          </c:dPt>
          <c:dPt>
            <c:idx val="2"/>
            <c:marker>
              <c:symbol val="none"/>
            </c:marker>
            <c:bubble3D val="0"/>
            <c:spPr>
              <a:ln w="28575" cap="rnd">
                <a:solidFill>
                  <a:schemeClr val="accent4">
                    <a:lumMod val="50000"/>
                  </a:schemeClr>
                </a:solidFill>
                <a:round/>
              </a:ln>
              <a:effectLst/>
            </c:spPr>
            <c:extLst>
              <c:ext xmlns:c16="http://schemas.microsoft.com/office/drawing/2014/chart" uri="{C3380CC4-5D6E-409C-BE32-E72D297353CC}">
                <c16:uniqueId val="{00000005-C7B3-4125-80A9-3738F56DA64D}"/>
              </c:ext>
            </c:extLst>
          </c:dPt>
          <c:dPt>
            <c:idx val="3"/>
            <c:marker>
              <c:symbol val="none"/>
            </c:marker>
            <c:bubble3D val="0"/>
            <c:spPr>
              <a:ln w="28575" cap="rnd">
                <a:solidFill>
                  <a:schemeClr val="accent4">
                    <a:lumMod val="50000"/>
                  </a:schemeClr>
                </a:solidFill>
                <a:round/>
              </a:ln>
              <a:effectLst/>
            </c:spPr>
            <c:extLst>
              <c:ext xmlns:c16="http://schemas.microsoft.com/office/drawing/2014/chart" uri="{C3380CC4-5D6E-409C-BE32-E72D297353CC}">
                <c16:uniqueId val="{00000007-C7B3-4125-80A9-3738F56DA64D}"/>
              </c:ext>
            </c:extLst>
          </c:dPt>
          <c:dLbls>
            <c:dLbl>
              <c:idx val="0"/>
              <c:layout>
                <c:manualLayout>
                  <c:x val="-0.12252252904106528"/>
                  <c:y val="-8.6636284007673134E-2"/>
                </c:manualLayout>
              </c:layout>
              <c:showLegendKey val="0"/>
              <c:showVal val="1"/>
              <c:showCatName val="0"/>
              <c:showSerName val="0"/>
              <c:showPercent val="0"/>
              <c:showBubbleSize val="0"/>
              <c:extLst>
                <c:ext xmlns:c15="http://schemas.microsoft.com/office/drawing/2012/chart" uri="{CE6537A1-D6FC-4f65-9D91-7224C49458BB}">
                  <c15:layout>
                    <c:manualLayout>
                      <c:w val="0.32824551295907878"/>
                      <c:h val="0.18655728788153034"/>
                    </c:manualLayout>
                  </c15:layout>
                </c:ext>
                <c:ext xmlns:c16="http://schemas.microsoft.com/office/drawing/2014/chart" uri="{C3380CC4-5D6E-409C-BE32-E72D297353CC}">
                  <c16:uniqueId val="{00000001-C7B3-4125-80A9-3738F56DA64D}"/>
                </c:ext>
              </c:extLst>
            </c:dLbl>
            <c:dLbl>
              <c:idx val="1"/>
              <c:layout>
                <c:manualLayout>
                  <c:x val="-0.20675661701549719"/>
                  <c:y val="2.3103297099109441E-2"/>
                </c:manualLayout>
              </c:layout>
              <c:showLegendKey val="0"/>
              <c:showVal val="1"/>
              <c:showCatName val="0"/>
              <c:showSerName val="0"/>
              <c:showPercent val="0"/>
              <c:showBubbleSize val="0"/>
              <c:extLst>
                <c:ext xmlns:c15="http://schemas.microsoft.com/office/drawing/2012/chart" uri="{CE6537A1-D6FC-4f65-9D91-7224C49458BB}">
                  <c15:layout>
                    <c:manualLayout>
                      <c:w val="0.36270497425187836"/>
                      <c:h val="0.18655728788153034"/>
                    </c:manualLayout>
                  </c15:layout>
                </c:ext>
                <c:ext xmlns:c16="http://schemas.microsoft.com/office/drawing/2014/chart" uri="{C3380CC4-5D6E-409C-BE32-E72D297353CC}">
                  <c16:uniqueId val="{00000003-C7B3-4125-80A9-3738F56DA64D}"/>
                </c:ext>
              </c:extLst>
            </c:dLbl>
            <c:dLbl>
              <c:idx val="2"/>
              <c:layout>
                <c:manualLayout>
                  <c:x val="-0.18378364282029738"/>
                  <c:y val="-0.12706665599438255"/>
                </c:manualLayout>
              </c:layout>
              <c:showLegendKey val="0"/>
              <c:showVal val="1"/>
              <c:showCatName val="0"/>
              <c:showSerName val="0"/>
              <c:showPercent val="0"/>
              <c:showBubbleSize val="0"/>
              <c:extLst>
                <c:ext xmlns:c15="http://schemas.microsoft.com/office/drawing/2012/chart" uri="{CE6537A1-D6FC-4f65-9D91-7224C49458BB}">
                  <c15:layout>
                    <c:manualLayout>
                      <c:w val="0.34738965812174522"/>
                      <c:h val="0.18655728788153034"/>
                    </c:manualLayout>
                  </c15:layout>
                </c:ext>
                <c:ext xmlns:c16="http://schemas.microsoft.com/office/drawing/2014/chart" uri="{C3380CC4-5D6E-409C-BE32-E72D297353CC}">
                  <c16:uniqueId val="{00000005-C7B3-4125-80A9-3738F56DA64D}"/>
                </c:ext>
              </c:extLst>
            </c:dLbl>
            <c:dLbl>
              <c:idx val="3"/>
              <c:layout>
                <c:manualLayout>
                  <c:x val="-2.010150316210026E-2"/>
                  <c:y val="9.2412051434345846E-2"/>
                </c:manualLayout>
              </c:layout>
              <c:spPr>
                <a:noFill/>
                <a:ln>
                  <a:noFill/>
                </a:ln>
                <a:effectLst/>
              </c:spPr>
              <c:txPr>
                <a:bodyPr rot="0" spcFirstLastPara="1" vertOverflow="ellipsis" vert="horz" wrap="square" lIns="38100" tIns="19050" rIns="38100" bIns="19050" anchor="ctr" anchorCtr="1">
                  <a:noAutofit/>
                </a:bodyPr>
                <a:lstStyle/>
                <a:p>
                  <a:pPr>
                    <a:defRPr sz="1200" b="0" i="0" u="none" strike="noStrike" kern="1200" baseline="0">
                      <a:solidFill>
                        <a:schemeClr val="accent4">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0.30718665179754473"/>
                      <c:h val="0.18655728788153034"/>
                    </c:manualLayout>
                  </c15:layout>
                </c:ext>
                <c:ext xmlns:c16="http://schemas.microsoft.com/office/drawing/2014/chart" uri="{C3380CC4-5D6E-409C-BE32-E72D297353CC}">
                  <c16:uniqueId val="{00000007-C7B3-4125-80A9-3738F56DA64D}"/>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accent4">
                        <a:lumMod val="5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'QUATERLY REVENUE GROWTH'!$A$4:$A$8</c:f>
              <c:strCache>
                <c:ptCount val="4"/>
                <c:pt idx="0">
                  <c:v>Q1</c:v>
                </c:pt>
                <c:pt idx="1">
                  <c:v>Q2</c:v>
                </c:pt>
                <c:pt idx="2">
                  <c:v>Q3</c:v>
                </c:pt>
                <c:pt idx="3">
                  <c:v>Q4</c:v>
                </c:pt>
              </c:strCache>
            </c:strRef>
          </c:cat>
          <c:val>
            <c:numRef>
              <c:f>'QUATERLY REVENUE GROWTH'!$B$4:$B$8</c:f>
              <c:numCache>
                <c:formatCode>#,##0</c:formatCode>
                <c:ptCount val="4"/>
                <c:pt idx="0">
                  <c:v>2969131976.8450003</c:v>
                </c:pt>
                <c:pt idx="1">
                  <c:v>2665370311.6430001</c:v>
                </c:pt>
                <c:pt idx="2">
                  <c:v>2425467082.8250003</c:v>
                </c:pt>
                <c:pt idx="3">
                  <c:v>2706658660.947998</c:v>
                </c:pt>
              </c:numCache>
            </c:numRef>
          </c:val>
          <c:smooth val="0"/>
          <c:extLst>
            <c:ext xmlns:c16="http://schemas.microsoft.com/office/drawing/2014/chart" uri="{C3380CC4-5D6E-409C-BE32-E72D297353CC}">
              <c16:uniqueId val="{00000008-C7B3-4125-80A9-3738F56DA64D}"/>
            </c:ext>
          </c:extLst>
        </c:ser>
        <c:dLbls>
          <c:showLegendKey val="0"/>
          <c:showVal val="1"/>
          <c:showCatName val="0"/>
          <c:showSerName val="0"/>
          <c:showPercent val="0"/>
          <c:showBubbleSize val="0"/>
        </c:dLbls>
        <c:smooth val="0"/>
        <c:axId val="883735215"/>
        <c:axId val="883728495"/>
      </c:lineChart>
      <c:catAx>
        <c:axId val="883735215"/>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accent4">
                    <a:lumMod val="50000"/>
                  </a:schemeClr>
                </a:solidFill>
                <a:latin typeface="+mn-lt"/>
                <a:ea typeface="+mn-ea"/>
                <a:cs typeface="+mn-cs"/>
              </a:defRPr>
            </a:pPr>
            <a:endParaRPr lang="en-US"/>
          </a:p>
        </c:txPr>
        <c:crossAx val="883728495"/>
        <c:crosses val="autoZero"/>
        <c:auto val="1"/>
        <c:lblAlgn val="ctr"/>
        <c:lblOffset val="100"/>
        <c:noMultiLvlLbl val="0"/>
      </c:catAx>
      <c:valAx>
        <c:axId val="883728495"/>
        <c:scaling>
          <c:orientation val="minMax"/>
        </c:scaling>
        <c:delete val="1"/>
        <c:axPos val="l"/>
        <c:numFmt formatCode="#,##0" sourceLinked="1"/>
        <c:majorTickMark val="out"/>
        <c:minorTickMark val="none"/>
        <c:tickLblPos val="nextTo"/>
        <c:crossAx val="8837352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[Expanded_Dataset.xlsx]TOP 5 PRODUCT MODELS BY REVENUE!PivotTable1</c:name>
    <c:fmtId val="-1"/>
  </c:pivotSource>
  <c:chart>
    <c:title>
      <c:tx>
        <c:rich>
          <a:bodyPr rot="0" spcFirstLastPara="1" vertOverflow="ellipsis" vert="horz" wrap="square" anchor="ctr" anchorCtr="1"/>
          <a:lstStyle/>
          <a:p>
            <a:pPr>
              <a:defRPr sz="1800" b="1" i="0" u="none" strike="noStrike" kern="1200" spc="0" baseline="0">
                <a:solidFill>
                  <a:schemeClr val="accent4">
                    <a:lumMod val="50000"/>
                  </a:schemeClr>
                </a:solidFill>
                <a:latin typeface="+mn-lt"/>
                <a:ea typeface="+mn-ea"/>
                <a:cs typeface="+mn-cs"/>
              </a:defRPr>
            </a:pPr>
            <a:r>
              <a:rPr lang="en-US" sz="1800" b="1" i="0" baseline="0">
                <a:solidFill>
                  <a:schemeClr val="accent4">
                    <a:lumMod val="50000"/>
                  </a:schemeClr>
                </a:solidFill>
              </a:rPr>
              <a:t>Top 5 Product Models by Revenue</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accent4">
                  <a:lumMod val="50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4">
              <a:lumMod val="50000"/>
            </a:schemeClr>
          </a:solidFill>
          <a:ln>
            <a:noFill/>
          </a:ln>
          <a:effectLst/>
        </c:spPr>
      </c:pivotFmt>
      <c:pivotFmt>
        <c:idx val="2"/>
        <c:spPr>
          <a:solidFill>
            <a:schemeClr val="accent4">
              <a:lumMod val="75000"/>
            </a:schemeClr>
          </a:solidFill>
          <a:ln>
            <a:noFill/>
          </a:ln>
          <a:effectLst/>
        </c:spPr>
      </c:pivotFmt>
      <c:pivotFmt>
        <c:idx val="3"/>
        <c:spPr>
          <a:solidFill>
            <a:schemeClr val="accent4">
              <a:lumMod val="60000"/>
              <a:lumOff val="40000"/>
            </a:schemeClr>
          </a:solidFill>
          <a:ln>
            <a:noFill/>
          </a:ln>
          <a:effectLst/>
        </c:spPr>
      </c:pivotFmt>
      <c:pivotFmt>
        <c:idx val="4"/>
        <c:spPr>
          <a:solidFill>
            <a:schemeClr val="accent4">
              <a:lumMod val="40000"/>
              <a:lumOff val="60000"/>
            </a:schemeClr>
          </a:solidFill>
          <a:ln>
            <a:noFill/>
          </a:ln>
          <a:effectLst/>
        </c:spPr>
      </c:pivotFmt>
      <c:pivotFmt>
        <c:idx val="5"/>
        <c:spPr>
          <a:solidFill>
            <a:schemeClr val="accent4">
              <a:lumMod val="20000"/>
              <a:lumOff val="80000"/>
            </a:schemeClr>
          </a:solidFill>
          <a:ln>
            <a:noFill/>
          </a:ln>
          <a:effectLst/>
        </c:spPr>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4">
              <a:lumMod val="50000"/>
            </a:schemeClr>
          </a:solidFill>
          <a:ln>
            <a:noFill/>
          </a:ln>
          <a:effectLst/>
        </c:spPr>
      </c:pivotFmt>
      <c:pivotFmt>
        <c:idx val="8"/>
        <c:spPr>
          <a:solidFill>
            <a:schemeClr val="accent4">
              <a:lumMod val="75000"/>
            </a:schemeClr>
          </a:solidFill>
          <a:ln>
            <a:noFill/>
          </a:ln>
          <a:effectLst/>
        </c:spPr>
      </c:pivotFmt>
      <c:pivotFmt>
        <c:idx val="9"/>
        <c:spPr>
          <a:solidFill>
            <a:schemeClr val="accent4">
              <a:lumMod val="60000"/>
              <a:lumOff val="40000"/>
            </a:schemeClr>
          </a:solidFill>
          <a:ln>
            <a:noFill/>
          </a:ln>
          <a:effectLst/>
        </c:spPr>
      </c:pivotFmt>
      <c:pivotFmt>
        <c:idx val="10"/>
        <c:spPr>
          <a:solidFill>
            <a:schemeClr val="accent4">
              <a:lumMod val="40000"/>
              <a:lumOff val="60000"/>
            </a:schemeClr>
          </a:solidFill>
          <a:ln>
            <a:noFill/>
          </a:ln>
          <a:effectLst/>
        </c:spPr>
      </c:pivotFmt>
      <c:pivotFmt>
        <c:idx val="11"/>
        <c:spPr>
          <a:solidFill>
            <a:schemeClr val="accent4">
              <a:lumMod val="20000"/>
              <a:lumOff val="80000"/>
            </a:schemeClr>
          </a:solidFill>
          <a:ln>
            <a:noFill/>
          </a:ln>
          <a:effectLst/>
        </c:spPr>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accent4">
                      <a:lumMod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4">
              <a:lumMod val="50000"/>
            </a:schemeClr>
          </a:solidFill>
          <a:ln>
            <a:noFill/>
          </a:ln>
          <a:effectLst/>
        </c:spPr>
      </c:pivotFmt>
      <c:pivotFmt>
        <c:idx val="14"/>
        <c:spPr>
          <a:solidFill>
            <a:schemeClr val="accent4">
              <a:lumMod val="75000"/>
            </a:schemeClr>
          </a:solidFill>
          <a:ln>
            <a:noFill/>
          </a:ln>
          <a:effectLst/>
        </c:spPr>
      </c:pivotFmt>
      <c:pivotFmt>
        <c:idx val="15"/>
        <c:spPr>
          <a:solidFill>
            <a:schemeClr val="accent4">
              <a:lumMod val="60000"/>
              <a:lumOff val="40000"/>
            </a:schemeClr>
          </a:solidFill>
          <a:ln>
            <a:noFill/>
          </a:ln>
          <a:effectLst/>
        </c:spPr>
      </c:pivotFmt>
      <c:pivotFmt>
        <c:idx val="16"/>
        <c:spPr>
          <a:solidFill>
            <a:schemeClr val="accent4">
              <a:lumMod val="40000"/>
              <a:lumOff val="60000"/>
            </a:schemeClr>
          </a:solidFill>
          <a:ln>
            <a:noFill/>
          </a:ln>
          <a:effectLst/>
        </c:spPr>
      </c:pivotFmt>
      <c:pivotFmt>
        <c:idx val="17"/>
        <c:spPr>
          <a:solidFill>
            <a:schemeClr val="accent4">
              <a:lumMod val="20000"/>
              <a:lumOff val="80000"/>
            </a:schemeClr>
          </a:solidFill>
          <a:ln>
            <a:noFill/>
          </a:ln>
          <a:effectLst/>
        </c:spPr>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accent4">
                      <a:lumMod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4">
              <a:lumMod val="50000"/>
            </a:schemeClr>
          </a:solidFill>
          <a:ln>
            <a:noFill/>
          </a:ln>
          <a:effectLst/>
        </c:spPr>
      </c:pivotFmt>
      <c:pivotFmt>
        <c:idx val="20"/>
        <c:spPr>
          <a:solidFill>
            <a:schemeClr val="accent4">
              <a:lumMod val="75000"/>
            </a:schemeClr>
          </a:solidFill>
          <a:ln>
            <a:noFill/>
          </a:ln>
          <a:effectLst/>
        </c:spPr>
      </c:pivotFmt>
      <c:pivotFmt>
        <c:idx val="21"/>
        <c:spPr>
          <a:solidFill>
            <a:schemeClr val="accent4">
              <a:lumMod val="60000"/>
              <a:lumOff val="40000"/>
            </a:schemeClr>
          </a:solidFill>
          <a:ln>
            <a:noFill/>
          </a:ln>
          <a:effectLst/>
        </c:spPr>
      </c:pivotFmt>
      <c:pivotFmt>
        <c:idx val="22"/>
        <c:spPr>
          <a:solidFill>
            <a:schemeClr val="accent4">
              <a:lumMod val="40000"/>
              <a:lumOff val="60000"/>
            </a:schemeClr>
          </a:solidFill>
          <a:ln>
            <a:noFill/>
          </a:ln>
          <a:effectLst/>
        </c:spPr>
      </c:pivotFmt>
      <c:pivotFmt>
        <c:idx val="23"/>
        <c:spPr>
          <a:solidFill>
            <a:schemeClr val="accent4">
              <a:lumMod val="20000"/>
              <a:lumOff val="80000"/>
            </a:schemeClr>
          </a:solidFill>
          <a:ln>
            <a:noFill/>
          </a:ln>
          <a:effectLst/>
        </c:spPr>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accent4">
                      <a:lumMod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4">
              <a:lumMod val="50000"/>
            </a:schemeClr>
          </a:solidFill>
          <a:ln>
            <a:noFill/>
          </a:ln>
          <a:effectLst/>
        </c:spPr>
      </c:pivotFmt>
      <c:pivotFmt>
        <c:idx val="26"/>
        <c:spPr>
          <a:solidFill>
            <a:schemeClr val="accent4">
              <a:lumMod val="75000"/>
            </a:schemeClr>
          </a:solidFill>
          <a:ln>
            <a:noFill/>
          </a:ln>
          <a:effectLst/>
        </c:spPr>
      </c:pivotFmt>
      <c:pivotFmt>
        <c:idx val="27"/>
        <c:spPr>
          <a:solidFill>
            <a:schemeClr val="accent4">
              <a:lumMod val="60000"/>
              <a:lumOff val="40000"/>
            </a:schemeClr>
          </a:solidFill>
          <a:ln>
            <a:noFill/>
          </a:ln>
          <a:effectLst/>
        </c:spPr>
      </c:pivotFmt>
      <c:pivotFmt>
        <c:idx val="28"/>
        <c:spPr>
          <a:solidFill>
            <a:schemeClr val="accent4">
              <a:lumMod val="40000"/>
              <a:lumOff val="60000"/>
            </a:schemeClr>
          </a:solidFill>
          <a:ln>
            <a:noFill/>
          </a:ln>
          <a:effectLst/>
        </c:spPr>
      </c:pivotFmt>
      <c:pivotFmt>
        <c:idx val="29"/>
        <c:spPr>
          <a:solidFill>
            <a:schemeClr val="accent4">
              <a:lumMod val="20000"/>
              <a:lumOff val="80000"/>
            </a:schemeClr>
          </a:solidFill>
          <a:ln>
            <a:noFill/>
          </a:ln>
          <a:effectLst/>
        </c:spPr>
      </c:pivotFmt>
    </c:pivotFmts>
    <c:plotArea>
      <c:layout>
        <c:manualLayout>
          <c:layoutTarget val="inner"/>
          <c:xMode val="edge"/>
          <c:yMode val="edge"/>
          <c:x val="3.3969125784973735E-2"/>
          <c:y val="0.40913166138616852"/>
          <c:w val="0.93206174843005252"/>
          <c:h val="0.36863616994358994"/>
        </c:manualLayout>
      </c:layout>
      <c:barChart>
        <c:barDir val="col"/>
        <c:grouping val="clustered"/>
        <c:varyColors val="0"/>
        <c:ser>
          <c:idx val="0"/>
          <c:order val="0"/>
          <c:tx>
            <c:strRef>
              <c:f>'TOP 5 PRODUCT MODELS BY REVENUE'!$B$3</c:f>
              <c:strCache>
                <c:ptCount val="1"/>
                <c:pt idx="0">
                  <c:v>Total</c:v>
                </c:pt>
              </c:strCache>
            </c:strRef>
          </c:tx>
          <c:spPr>
            <a:solidFill>
              <a:schemeClr val="accent1"/>
            </a:solidFill>
            <a:ln>
              <a:noFill/>
            </a:ln>
            <a:effectLst/>
          </c:spPr>
          <c:invertIfNegative val="0"/>
          <c:dPt>
            <c:idx val="0"/>
            <c:invertIfNegative val="0"/>
            <c:bubble3D val="0"/>
            <c:spPr>
              <a:solidFill>
                <a:schemeClr val="accent4">
                  <a:lumMod val="50000"/>
                </a:schemeClr>
              </a:solidFill>
              <a:ln>
                <a:noFill/>
              </a:ln>
              <a:effectLst/>
            </c:spPr>
            <c:extLst>
              <c:ext xmlns:c16="http://schemas.microsoft.com/office/drawing/2014/chart" uri="{C3380CC4-5D6E-409C-BE32-E72D297353CC}">
                <c16:uniqueId val="{00000001-2E33-485A-98B7-C978BB870A27}"/>
              </c:ext>
            </c:extLst>
          </c:dPt>
          <c:dPt>
            <c:idx val="1"/>
            <c:invertIfNegative val="0"/>
            <c:bubble3D val="0"/>
            <c:spPr>
              <a:solidFill>
                <a:schemeClr val="accent4">
                  <a:lumMod val="75000"/>
                </a:schemeClr>
              </a:solidFill>
              <a:ln>
                <a:noFill/>
              </a:ln>
              <a:effectLst/>
            </c:spPr>
            <c:extLst>
              <c:ext xmlns:c16="http://schemas.microsoft.com/office/drawing/2014/chart" uri="{C3380CC4-5D6E-409C-BE32-E72D297353CC}">
                <c16:uniqueId val="{00000003-2E33-485A-98B7-C978BB870A27}"/>
              </c:ext>
            </c:extLst>
          </c:dPt>
          <c:dPt>
            <c:idx val="2"/>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05-2E33-485A-98B7-C978BB870A27}"/>
              </c:ext>
            </c:extLst>
          </c:dPt>
          <c:dPt>
            <c:idx val="3"/>
            <c:invertIfNegative val="0"/>
            <c:bubble3D val="0"/>
            <c:spPr>
              <a:solidFill>
                <a:schemeClr val="accent4">
                  <a:lumMod val="40000"/>
                  <a:lumOff val="60000"/>
                </a:schemeClr>
              </a:solidFill>
              <a:ln>
                <a:noFill/>
              </a:ln>
              <a:effectLst/>
            </c:spPr>
            <c:extLst>
              <c:ext xmlns:c16="http://schemas.microsoft.com/office/drawing/2014/chart" uri="{C3380CC4-5D6E-409C-BE32-E72D297353CC}">
                <c16:uniqueId val="{00000007-2E33-485A-98B7-C978BB870A27}"/>
              </c:ext>
            </c:extLst>
          </c:dPt>
          <c:dPt>
            <c:idx val="4"/>
            <c:invertIfNegative val="0"/>
            <c:bubble3D val="0"/>
            <c:spPr>
              <a:solidFill>
                <a:schemeClr val="accent4">
                  <a:lumMod val="20000"/>
                  <a:lumOff val="80000"/>
                </a:schemeClr>
              </a:solidFill>
              <a:ln>
                <a:noFill/>
              </a:ln>
              <a:effectLst/>
            </c:spPr>
            <c:extLst>
              <c:ext xmlns:c16="http://schemas.microsoft.com/office/drawing/2014/chart" uri="{C3380CC4-5D6E-409C-BE32-E72D297353CC}">
                <c16:uniqueId val="{00000009-2E33-485A-98B7-C978BB870A27}"/>
              </c:ext>
            </c:extLst>
          </c:dPt>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accent4">
                        <a:lumMod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 5 PRODUCT MODELS BY REVENUE'!$A$4:$A$9</c:f>
              <c:strCache>
                <c:ptCount val="5"/>
                <c:pt idx="0">
                  <c:v>Galaxy A14 5G</c:v>
                </c:pt>
                <c:pt idx="1">
                  <c:v>Galaxy S23 5G</c:v>
                </c:pt>
                <c:pt idx="2">
                  <c:v>Galaxy S22 5G</c:v>
                </c:pt>
                <c:pt idx="3">
                  <c:v>Galaxy A52 5G</c:v>
                </c:pt>
                <c:pt idx="4">
                  <c:v>Galaxy Z Fold2 5G</c:v>
                </c:pt>
              </c:strCache>
            </c:strRef>
          </c:cat>
          <c:val>
            <c:numRef>
              <c:f>'TOP 5 PRODUCT MODELS BY REVENUE'!$B$4:$B$9</c:f>
              <c:numCache>
                <c:formatCode>"$"#,##0.00</c:formatCode>
                <c:ptCount val="5"/>
                <c:pt idx="0">
                  <c:v>913122400.15600002</c:v>
                </c:pt>
                <c:pt idx="1">
                  <c:v>894821860.85599947</c:v>
                </c:pt>
                <c:pt idx="2">
                  <c:v>870634307.43199968</c:v>
                </c:pt>
                <c:pt idx="3">
                  <c:v>863073279.52399993</c:v>
                </c:pt>
                <c:pt idx="4">
                  <c:v>824920697.29599988</c:v>
                </c:pt>
              </c:numCache>
            </c:numRef>
          </c:val>
          <c:extLst>
            <c:ext xmlns:c16="http://schemas.microsoft.com/office/drawing/2014/chart" uri="{C3380CC4-5D6E-409C-BE32-E72D297353CC}">
              <c16:uniqueId val="{0000000A-2E33-485A-98B7-C978BB870A27}"/>
            </c:ext>
          </c:extLst>
        </c:ser>
        <c:dLbls>
          <c:dLblPos val="outEnd"/>
          <c:showLegendKey val="0"/>
          <c:showVal val="1"/>
          <c:showCatName val="0"/>
          <c:showSerName val="0"/>
          <c:showPercent val="0"/>
          <c:showBubbleSize val="0"/>
        </c:dLbls>
        <c:gapWidth val="60"/>
        <c:overlap val="-27"/>
        <c:axId val="883735215"/>
        <c:axId val="883728495"/>
      </c:barChart>
      <c:catAx>
        <c:axId val="8837352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accent4">
                    <a:lumMod val="50000"/>
                  </a:schemeClr>
                </a:solidFill>
                <a:latin typeface="+mn-lt"/>
                <a:ea typeface="+mn-ea"/>
                <a:cs typeface="+mn-cs"/>
              </a:defRPr>
            </a:pPr>
            <a:endParaRPr lang="en-US"/>
          </a:p>
        </c:txPr>
        <c:crossAx val="883728495"/>
        <c:crosses val="autoZero"/>
        <c:auto val="1"/>
        <c:lblAlgn val="ctr"/>
        <c:lblOffset val="100"/>
        <c:noMultiLvlLbl val="0"/>
      </c:catAx>
      <c:valAx>
        <c:axId val="883728495"/>
        <c:scaling>
          <c:orientation val="minMax"/>
        </c:scaling>
        <c:delete val="1"/>
        <c:axPos val="l"/>
        <c:numFmt formatCode="&quot;$&quot;#,##0.00" sourceLinked="1"/>
        <c:majorTickMark val="none"/>
        <c:minorTickMark val="none"/>
        <c:tickLblPos val="nextTo"/>
        <c:crossAx val="8837352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[Expanded_Dataset.xlsx]TOP FIVE PRODUCT MODELS BY UNIT!PivotTable1</c:name>
    <c:fmtId val="-1"/>
  </c:pivotSource>
  <c:chart>
    <c:title>
      <c:tx>
        <c:rich>
          <a:bodyPr rot="0" spcFirstLastPara="1" vertOverflow="ellipsis" vert="horz" wrap="square" anchor="ctr" anchorCtr="1"/>
          <a:lstStyle/>
          <a:p>
            <a:pPr>
              <a:defRPr sz="1800" b="1" i="0" u="none" strike="noStrike" kern="1200" spc="0" baseline="0">
                <a:solidFill>
                  <a:schemeClr val="accent4">
                    <a:lumMod val="50000"/>
                  </a:schemeClr>
                </a:solidFill>
                <a:latin typeface="+mn-lt"/>
                <a:ea typeface="+mn-ea"/>
                <a:cs typeface="+mn-cs"/>
              </a:defRPr>
            </a:pPr>
            <a:r>
              <a:rPr lang="en-US" sz="1800" b="1" i="0" baseline="0">
                <a:solidFill>
                  <a:schemeClr val="accent4">
                    <a:lumMod val="50000"/>
                  </a:schemeClr>
                </a:solidFill>
              </a:rPr>
              <a:t>Top Five Product Models by Units Sold</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accent4">
                  <a:lumMod val="50000"/>
                </a:schemeClr>
              </a:solidFill>
              <a:latin typeface="+mn-lt"/>
              <a:ea typeface="+mn-ea"/>
              <a:cs typeface="+mn-cs"/>
            </a:defRPr>
          </a:pPr>
          <a:endParaRPr lang="en-US"/>
        </a:p>
      </c:txPr>
    </c:title>
    <c:autoTitleDeleted val="0"/>
    <c:pivotFmts>
      <c:pivotFmt>
        <c:idx val="0"/>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1"/>
        <c:spPr>
          <a:solidFill>
            <a:schemeClr val="accent4">
              <a:lumMod val="50000"/>
            </a:schemeClr>
          </a:solidFill>
          <a:ln>
            <a:noFill/>
          </a:ln>
          <a:effectLst/>
        </c:spPr>
      </c:pivotFmt>
      <c:pivotFmt>
        <c:idx val="2"/>
        <c:spPr>
          <a:solidFill>
            <a:schemeClr val="accent4">
              <a:lumMod val="75000"/>
            </a:schemeClr>
          </a:solidFill>
          <a:ln>
            <a:noFill/>
          </a:ln>
          <a:effectLst/>
        </c:spPr>
      </c:pivotFmt>
      <c:pivotFmt>
        <c:idx val="3"/>
        <c:spPr>
          <a:solidFill>
            <a:schemeClr val="accent4">
              <a:lumMod val="60000"/>
              <a:lumOff val="40000"/>
            </a:schemeClr>
          </a:solidFill>
          <a:ln>
            <a:noFill/>
          </a:ln>
          <a:effectLst/>
        </c:spPr>
      </c:pivotFmt>
      <c:pivotFmt>
        <c:idx val="4"/>
        <c:spPr>
          <a:solidFill>
            <a:schemeClr val="accent4">
              <a:lumMod val="40000"/>
              <a:lumOff val="60000"/>
            </a:schemeClr>
          </a:solidFill>
          <a:ln>
            <a:noFill/>
          </a:ln>
          <a:effectLst/>
        </c:spPr>
      </c:pivotFmt>
      <c:pivotFmt>
        <c:idx val="5"/>
        <c:spPr>
          <a:solidFill>
            <a:schemeClr val="accent4">
              <a:lumMod val="20000"/>
              <a:lumOff val="80000"/>
            </a:schemeClr>
          </a:solidFill>
          <a:ln>
            <a:noFill/>
          </a:ln>
          <a:effectLst/>
        </c:spPr>
      </c:pivotFmt>
      <c:pivotFmt>
        <c:idx val="6"/>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7"/>
        <c:spPr>
          <a:solidFill>
            <a:schemeClr val="accent4">
              <a:lumMod val="50000"/>
            </a:schemeClr>
          </a:solidFill>
          <a:ln>
            <a:noFill/>
          </a:ln>
          <a:effectLst/>
        </c:spPr>
      </c:pivotFmt>
      <c:pivotFmt>
        <c:idx val="8"/>
        <c:spPr>
          <a:solidFill>
            <a:schemeClr val="accent4">
              <a:lumMod val="75000"/>
            </a:schemeClr>
          </a:solidFill>
          <a:ln>
            <a:noFill/>
          </a:ln>
          <a:effectLst/>
        </c:spPr>
      </c:pivotFmt>
      <c:pivotFmt>
        <c:idx val="9"/>
        <c:spPr>
          <a:solidFill>
            <a:schemeClr val="accent4">
              <a:lumMod val="60000"/>
              <a:lumOff val="40000"/>
            </a:schemeClr>
          </a:solidFill>
          <a:ln>
            <a:noFill/>
          </a:ln>
          <a:effectLst/>
        </c:spPr>
      </c:pivotFmt>
      <c:pivotFmt>
        <c:idx val="10"/>
        <c:spPr>
          <a:solidFill>
            <a:schemeClr val="accent4">
              <a:lumMod val="40000"/>
              <a:lumOff val="60000"/>
            </a:schemeClr>
          </a:solidFill>
          <a:ln>
            <a:noFill/>
          </a:ln>
          <a:effectLst/>
        </c:spPr>
      </c:pivotFmt>
      <c:pivotFmt>
        <c:idx val="11"/>
        <c:spPr>
          <a:solidFill>
            <a:schemeClr val="accent4">
              <a:lumMod val="20000"/>
              <a:lumOff val="80000"/>
            </a:schemeClr>
          </a:solidFill>
          <a:ln>
            <a:noFill/>
          </a:ln>
          <a:effectLst/>
        </c:spPr>
      </c:pivotFmt>
      <c:pivotFmt>
        <c:idx val="12"/>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13"/>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14"/>
        <c:spPr>
          <a:solidFill>
            <a:schemeClr val="accent4">
              <a:lumMod val="50000"/>
            </a:schemeClr>
          </a:solidFill>
          <a:ln>
            <a:noFill/>
          </a:ln>
          <a:effectLst/>
        </c:spPr>
      </c:pivotFmt>
      <c:pivotFmt>
        <c:idx val="15"/>
        <c:spPr>
          <a:solidFill>
            <a:schemeClr val="accent4">
              <a:lumMod val="75000"/>
            </a:schemeClr>
          </a:solidFill>
          <a:ln>
            <a:noFill/>
          </a:ln>
          <a:effectLst/>
        </c:spPr>
      </c:pivotFmt>
      <c:pivotFmt>
        <c:idx val="16"/>
        <c:spPr>
          <a:solidFill>
            <a:schemeClr val="accent4">
              <a:lumMod val="60000"/>
              <a:lumOff val="40000"/>
            </a:schemeClr>
          </a:solidFill>
          <a:ln>
            <a:noFill/>
          </a:ln>
          <a:effectLst/>
        </c:spPr>
      </c:pivotFmt>
      <c:pivotFmt>
        <c:idx val="17"/>
        <c:spPr>
          <a:solidFill>
            <a:schemeClr val="accent4">
              <a:lumMod val="40000"/>
              <a:lumOff val="60000"/>
            </a:schemeClr>
          </a:solidFill>
          <a:ln>
            <a:noFill/>
          </a:ln>
          <a:effectLst/>
        </c:spPr>
      </c:pivotFmt>
      <c:pivotFmt>
        <c:idx val="18"/>
        <c:spPr>
          <a:solidFill>
            <a:schemeClr val="accent4">
              <a:lumMod val="20000"/>
              <a:lumOff val="80000"/>
            </a:schemeClr>
          </a:solidFill>
          <a:ln>
            <a:noFill/>
          </a:ln>
          <a:effectLst/>
        </c:spPr>
      </c:pivotFmt>
      <c:pivotFmt>
        <c:idx val="19"/>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20"/>
        <c:spPr>
          <a:solidFill>
            <a:schemeClr val="accent4">
              <a:lumMod val="50000"/>
            </a:schemeClr>
          </a:solidFill>
          <a:ln>
            <a:noFill/>
          </a:ln>
          <a:effectLst/>
        </c:spPr>
      </c:pivotFmt>
      <c:pivotFmt>
        <c:idx val="21"/>
        <c:spPr>
          <a:solidFill>
            <a:schemeClr val="accent4">
              <a:lumMod val="75000"/>
            </a:schemeClr>
          </a:solidFill>
          <a:ln>
            <a:noFill/>
          </a:ln>
          <a:effectLst/>
        </c:spPr>
      </c:pivotFmt>
      <c:pivotFmt>
        <c:idx val="22"/>
        <c:spPr>
          <a:solidFill>
            <a:schemeClr val="accent4">
              <a:lumMod val="60000"/>
              <a:lumOff val="40000"/>
            </a:schemeClr>
          </a:solidFill>
          <a:ln>
            <a:noFill/>
          </a:ln>
          <a:effectLst/>
        </c:spPr>
      </c:pivotFmt>
      <c:pivotFmt>
        <c:idx val="23"/>
        <c:spPr>
          <a:solidFill>
            <a:schemeClr val="accent4">
              <a:lumMod val="40000"/>
              <a:lumOff val="60000"/>
            </a:schemeClr>
          </a:solidFill>
          <a:ln>
            <a:noFill/>
          </a:ln>
          <a:effectLst/>
        </c:spPr>
      </c:pivotFmt>
      <c:pivotFmt>
        <c:idx val="24"/>
        <c:spPr>
          <a:solidFill>
            <a:schemeClr val="accent4">
              <a:lumMod val="20000"/>
              <a:lumOff val="80000"/>
            </a:schemeClr>
          </a:solidFill>
          <a:ln>
            <a:noFill/>
          </a:ln>
          <a:effectLst/>
        </c:spPr>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accent4">
                      <a:lumMod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4">
              <a:lumMod val="50000"/>
            </a:schemeClr>
          </a:solidFill>
          <a:ln>
            <a:noFill/>
          </a:ln>
          <a:effectLst/>
        </c:spPr>
        <c:dLbl>
          <c:idx val="0"/>
          <c:layout>
            <c:manualLayout>
              <c:x val="9.5485008060149944E-20"/>
              <c:y val="-3.3930259513051772E-2"/>
            </c:manualLayout>
          </c:layout>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accent4">
                      <a:lumMod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4">
              <a:lumMod val="75000"/>
            </a:schemeClr>
          </a:solidFill>
          <a:ln>
            <a:noFill/>
          </a:ln>
          <a:effectLst/>
        </c:spPr>
      </c:pivotFmt>
      <c:pivotFmt>
        <c:idx val="28"/>
        <c:spPr>
          <a:solidFill>
            <a:schemeClr val="accent4">
              <a:lumMod val="60000"/>
              <a:lumOff val="40000"/>
            </a:schemeClr>
          </a:solidFill>
          <a:ln>
            <a:noFill/>
          </a:ln>
          <a:effectLst/>
        </c:spPr>
      </c:pivotFmt>
      <c:pivotFmt>
        <c:idx val="29"/>
        <c:spPr>
          <a:solidFill>
            <a:schemeClr val="accent4">
              <a:lumMod val="40000"/>
              <a:lumOff val="60000"/>
            </a:schemeClr>
          </a:solidFill>
          <a:ln>
            <a:noFill/>
          </a:ln>
          <a:effectLst/>
        </c:spPr>
      </c:pivotFmt>
      <c:pivotFmt>
        <c:idx val="30"/>
        <c:spPr>
          <a:solidFill>
            <a:schemeClr val="accent4">
              <a:lumMod val="20000"/>
              <a:lumOff val="80000"/>
            </a:schemeClr>
          </a:solidFill>
          <a:ln>
            <a:noFill/>
          </a:ln>
          <a:effectLst/>
        </c:spPr>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accent4">
                      <a:lumMod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2"/>
        <c:spPr>
          <a:solidFill>
            <a:schemeClr val="accent4">
              <a:lumMod val="50000"/>
            </a:schemeClr>
          </a:solidFill>
          <a:ln>
            <a:noFill/>
          </a:ln>
          <a:effectLst/>
        </c:spPr>
        <c:dLbl>
          <c:idx val="0"/>
          <c:layout>
            <c:manualLayout>
              <c:x val="9.5485008060149944E-20"/>
              <c:y val="-3.3930259513051772E-2"/>
            </c:manualLayout>
          </c:layout>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accent4">
                      <a:lumMod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3"/>
        <c:spPr>
          <a:solidFill>
            <a:schemeClr val="accent4">
              <a:lumMod val="75000"/>
            </a:schemeClr>
          </a:solidFill>
          <a:ln>
            <a:noFill/>
          </a:ln>
          <a:effectLst/>
        </c:spPr>
      </c:pivotFmt>
      <c:pivotFmt>
        <c:idx val="34"/>
        <c:spPr>
          <a:solidFill>
            <a:schemeClr val="accent4">
              <a:lumMod val="60000"/>
              <a:lumOff val="40000"/>
            </a:schemeClr>
          </a:solidFill>
          <a:ln>
            <a:noFill/>
          </a:ln>
          <a:effectLst/>
        </c:spPr>
      </c:pivotFmt>
      <c:pivotFmt>
        <c:idx val="35"/>
        <c:spPr>
          <a:solidFill>
            <a:schemeClr val="accent4">
              <a:lumMod val="40000"/>
              <a:lumOff val="60000"/>
            </a:schemeClr>
          </a:solidFill>
          <a:ln>
            <a:noFill/>
          </a:ln>
          <a:effectLst/>
        </c:spPr>
      </c:pivotFmt>
      <c:pivotFmt>
        <c:idx val="36"/>
        <c:spPr>
          <a:solidFill>
            <a:schemeClr val="accent4">
              <a:lumMod val="20000"/>
              <a:lumOff val="80000"/>
            </a:schemeClr>
          </a:solidFill>
          <a:ln>
            <a:noFill/>
          </a:ln>
          <a:effectLst/>
        </c:spPr>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accent4">
                      <a:lumMod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8"/>
        <c:spPr>
          <a:solidFill>
            <a:schemeClr val="accent4">
              <a:lumMod val="50000"/>
            </a:schemeClr>
          </a:solidFill>
          <a:ln>
            <a:noFill/>
          </a:ln>
          <a:effectLst/>
        </c:spPr>
        <c:dLbl>
          <c:idx val="0"/>
          <c:layout>
            <c:manualLayout>
              <c:x val="9.5485008060149944E-20"/>
              <c:y val="-3.3930259513051772E-2"/>
            </c:manualLayout>
          </c:layout>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accent4">
                      <a:lumMod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9"/>
        <c:spPr>
          <a:solidFill>
            <a:schemeClr val="accent4">
              <a:lumMod val="75000"/>
            </a:schemeClr>
          </a:solidFill>
          <a:ln>
            <a:noFill/>
          </a:ln>
          <a:effectLst/>
        </c:spPr>
      </c:pivotFmt>
      <c:pivotFmt>
        <c:idx val="40"/>
        <c:spPr>
          <a:solidFill>
            <a:schemeClr val="accent4">
              <a:lumMod val="60000"/>
              <a:lumOff val="40000"/>
            </a:schemeClr>
          </a:solidFill>
          <a:ln>
            <a:noFill/>
          </a:ln>
          <a:effectLst/>
        </c:spPr>
      </c:pivotFmt>
      <c:pivotFmt>
        <c:idx val="41"/>
        <c:spPr>
          <a:solidFill>
            <a:schemeClr val="accent4">
              <a:lumMod val="40000"/>
              <a:lumOff val="60000"/>
            </a:schemeClr>
          </a:solidFill>
          <a:ln>
            <a:noFill/>
          </a:ln>
          <a:effectLst/>
        </c:spPr>
      </c:pivotFmt>
      <c:pivotFmt>
        <c:idx val="42"/>
        <c:spPr>
          <a:solidFill>
            <a:schemeClr val="accent4">
              <a:lumMod val="20000"/>
              <a:lumOff val="80000"/>
            </a:schemeClr>
          </a:solidFill>
          <a:ln>
            <a:noFill/>
          </a:ln>
          <a:effectLst/>
        </c:spPr>
      </c:pivotFmt>
    </c:pivotFmts>
    <c:plotArea>
      <c:layout>
        <c:manualLayout>
          <c:layoutTarget val="inner"/>
          <c:xMode val="edge"/>
          <c:yMode val="edge"/>
          <c:x val="1.340241469816273E-2"/>
          <c:y val="0.29708791989252747"/>
          <c:w val="0.68585658792650916"/>
          <c:h val="0.63459915762119501"/>
        </c:manualLayout>
      </c:layout>
      <c:barChart>
        <c:barDir val="col"/>
        <c:grouping val="clustered"/>
        <c:varyColors val="0"/>
        <c:ser>
          <c:idx val="0"/>
          <c:order val="0"/>
          <c:tx>
            <c:strRef>
              <c:f>'TOP FIVE PRODUCT MODELS BY UNIT'!$B$3</c:f>
              <c:strCache>
                <c:ptCount val="1"/>
                <c:pt idx="0">
                  <c:v>Total</c:v>
                </c:pt>
              </c:strCache>
            </c:strRef>
          </c:tx>
          <c:spPr>
            <a:solidFill>
              <a:schemeClr val="accent1"/>
            </a:solidFill>
            <a:ln>
              <a:noFill/>
            </a:ln>
            <a:effectLst/>
          </c:spPr>
          <c:invertIfNegative val="0"/>
          <c:dPt>
            <c:idx val="0"/>
            <c:invertIfNegative val="0"/>
            <c:bubble3D val="0"/>
            <c:spPr>
              <a:solidFill>
                <a:schemeClr val="accent4">
                  <a:lumMod val="50000"/>
                </a:schemeClr>
              </a:solidFill>
              <a:ln>
                <a:noFill/>
              </a:ln>
              <a:effectLst/>
            </c:spPr>
            <c:extLst>
              <c:ext xmlns:c16="http://schemas.microsoft.com/office/drawing/2014/chart" uri="{C3380CC4-5D6E-409C-BE32-E72D297353CC}">
                <c16:uniqueId val="{00000001-3253-4199-A905-6F1CAC4E741C}"/>
              </c:ext>
            </c:extLst>
          </c:dPt>
          <c:dPt>
            <c:idx val="1"/>
            <c:invertIfNegative val="0"/>
            <c:bubble3D val="0"/>
            <c:spPr>
              <a:solidFill>
                <a:schemeClr val="accent4">
                  <a:lumMod val="75000"/>
                </a:schemeClr>
              </a:solidFill>
              <a:ln>
                <a:noFill/>
              </a:ln>
              <a:effectLst/>
            </c:spPr>
            <c:extLst>
              <c:ext xmlns:c16="http://schemas.microsoft.com/office/drawing/2014/chart" uri="{C3380CC4-5D6E-409C-BE32-E72D297353CC}">
                <c16:uniqueId val="{00000003-3253-4199-A905-6F1CAC4E741C}"/>
              </c:ext>
            </c:extLst>
          </c:dPt>
          <c:dPt>
            <c:idx val="2"/>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05-3253-4199-A905-6F1CAC4E741C}"/>
              </c:ext>
            </c:extLst>
          </c:dPt>
          <c:dPt>
            <c:idx val="3"/>
            <c:invertIfNegative val="0"/>
            <c:bubble3D val="0"/>
            <c:spPr>
              <a:solidFill>
                <a:schemeClr val="accent4">
                  <a:lumMod val="40000"/>
                  <a:lumOff val="60000"/>
                </a:schemeClr>
              </a:solidFill>
              <a:ln>
                <a:noFill/>
              </a:ln>
              <a:effectLst/>
            </c:spPr>
            <c:extLst>
              <c:ext xmlns:c16="http://schemas.microsoft.com/office/drawing/2014/chart" uri="{C3380CC4-5D6E-409C-BE32-E72D297353CC}">
                <c16:uniqueId val="{00000007-3253-4199-A905-6F1CAC4E741C}"/>
              </c:ext>
            </c:extLst>
          </c:dPt>
          <c:dPt>
            <c:idx val="4"/>
            <c:invertIfNegative val="0"/>
            <c:bubble3D val="0"/>
            <c:spPr>
              <a:solidFill>
                <a:schemeClr val="accent4">
                  <a:lumMod val="20000"/>
                  <a:lumOff val="80000"/>
                </a:schemeClr>
              </a:solidFill>
              <a:ln>
                <a:noFill/>
              </a:ln>
              <a:effectLst/>
            </c:spPr>
            <c:extLst>
              <c:ext xmlns:c16="http://schemas.microsoft.com/office/drawing/2014/chart" uri="{C3380CC4-5D6E-409C-BE32-E72D297353CC}">
                <c16:uniqueId val="{00000009-3253-4199-A905-6F1CAC4E741C}"/>
              </c:ext>
            </c:extLst>
          </c:dPt>
          <c:dLbls>
            <c:dLbl>
              <c:idx val="0"/>
              <c:layout>
                <c:manualLayout>
                  <c:x val="9.5485008060149944E-20"/>
                  <c:y val="-3.393025951305177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253-4199-A905-6F1CAC4E741C}"/>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accent4">
                        <a:lumMod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 FIVE PRODUCT MODELS BY UNIT'!$A$4:$A$9</c:f>
              <c:strCache>
                <c:ptCount val="5"/>
                <c:pt idx="0">
                  <c:v>Galaxy Z Fold2 5G</c:v>
                </c:pt>
                <c:pt idx="1">
                  <c:v>Galaxy A73 5G</c:v>
                </c:pt>
                <c:pt idx="2">
                  <c:v>Galaxy Z Flip3 5G</c:v>
                </c:pt>
                <c:pt idx="3">
                  <c:v>Galaxy A52 5G</c:v>
                </c:pt>
                <c:pt idx="4">
                  <c:v>Galaxy A14 5G</c:v>
                </c:pt>
              </c:strCache>
            </c:strRef>
          </c:cat>
          <c:val>
            <c:numRef>
              <c:f>'TOP FIVE PRODUCT MODELS BY UNIT'!$B$4:$B$9</c:f>
              <c:numCache>
                <c:formatCode>#,##0.00</c:formatCode>
                <c:ptCount val="5"/>
                <c:pt idx="0">
                  <c:v>912096</c:v>
                </c:pt>
                <c:pt idx="1">
                  <c:v>909507</c:v>
                </c:pt>
                <c:pt idx="2">
                  <c:v>901892</c:v>
                </c:pt>
                <c:pt idx="3">
                  <c:v>891357</c:v>
                </c:pt>
                <c:pt idx="4">
                  <c:v>879660</c:v>
                </c:pt>
              </c:numCache>
            </c:numRef>
          </c:val>
          <c:extLst>
            <c:ext xmlns:c16="http://schemas.microsoft.com/office/drawing/2014/chart" uri="{C3380CC4-5D6E-409C-BE32-E72D297353CC}">
              <c16:uniqueId val="{0000000A-3253-4199-A905-6F1CAC4E741C}"/>
            </c:ext>
          </c:extLst>
        </c:ser>
        <c:dLbls>
          <c:dLblPos val="outEnd"/>
          <c:showLegendKey val="0"/>
          <c:showVal val="1"/>
          <c:showCatName val="0"/>
          <c:showSerName val="0"/>
          <c:showPercent val="0"/>
          <c:showBubbleSize val="0"/>
        </c:dLbls>
        <c:gapWidth val="40"/>
        <c:overlap val="-27"/>
        <c:axId val="883735215"/>
        <c:axId val="883728495"/>
      </c:barChart>
      <c:catAx>
        <c:axId val="883735215"/>
        <c:scaling>
          <c:orientation val="minMax"/>
        </c:scaling>
        <c:delete val="1"/>
        <c:axPos val="b"/>
        <c:numFmt formatCode="General" sourceLinked="1"/>
        <c:majorTickMark val="none"/>
        <c:minorTickMark val="none"/>
        <c:tickLblPos val="nextTo"/>
        <c:crossAx val="883728495"/>
        <c:crosses val="autoZero"/>
        <c:auto val="1"/>
        <c:lblAlgn val="ctr"/>
        <c:lblOffset val="100"/>
        <c:noMultiLvlLbl val="0"/>
      </c:catAx>
      <c:valAx>
        <c:axId val="883728495"/>
        <c:scaling>
          <c:orientation val="minMax"/>
        </c:scaling>
        <c:delete val="1"/>
        <c:axPos val="l"/>
        <c:numFmt formatCode="#,##0.00" sourceLinked="1"/>
        <c:majorTickMark val="none"/>
        <c:minorTickMark val="none"/>
        <c:tickLblPos val="nextTo"/>
        <c:crossAx val="883735215"/>
        <c:crosses val="autoZero"/>
        <c:crossBetween val="between"/>
      </c:valAx>
      <c:spPr>
        <a:noFill/>
        <a:ln>
          <a:noFill/>
        </a:ln>
        <a:effectLst/>
      </c:spPr>
    </c:plotArea>
    <c:legend>
      <c:legendPos val="r"/>
      <c:layout>
        <c:manualLayout>
          <c:xMode val="edge"/>
          <c:yMode val="edge"/>
          <c:x val="0.70113301837270336"/>
          <c:y val="0.19821327349971035"/>
          <c:w val="0.28286698162729657"/>
          <c:h val="0.67445964280609483"/>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accent4">
                  <a:lumMod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1420</TotalTime>
  <Pages>23</Pages>
  <Words>3656</Words>
  <Characters>20844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Alo Save</cp:lastModifiedBy>
  <cp:revision>11</cp:revision>
  <cp:lastPrinted>2025-05-08T15:47:00Z</cp:lastPrinted>
  <dcterms:created xsi:type="dcterms:W3CDTF">2025-06-03T07:42:00Z</dcterms:created>
  <dcterms:modified xsi:type="dcterms:W3CDTF">2025-06-04T07:21:00Z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8A3F5A4FA4984585A1FBB3343D773E25_13</vt:lpwstr>
  </property>
</Properties>
</file>