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393" w:rsidRDefault="00C856A4">
      <w:pPr>
        <w:tabs>
          <w:tab w:val="left" w:pos="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Страница «</w:t>
      </w:r>
      <w:proofErr w:type="spellStart"/>
      <w:r>
        <w:rPr>
          <w:rFonts w:ascii="Times New Roman" w:eastAsia="Times New Roman" w:hAnsi="Times New Roman" w:cs="Times New Roman"/>
          <w:sz w:val="28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устройства» состоит из следующих полей, блоков и т.д.:</w:t>
      </w:r>
    </w:p>
    <w:p w:rsidR="00823393" w:rsidRDefault="00C856A4">
      <w:pPr>
        <w:numPr>
          <w:ilvl w:val="0"/>
          <w:numId w:val="1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«Категория надёжности, кВт» – разбита на три поля в зависимости от категории </w:t>
      </w:r>
      <w:r w:rsidRPr="00F51D75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(поле обязательно к заполнению хотя бы одной из категории</w:t>
      </w:r>
      <w:r w:rsidRPr="00C856A4"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В данных полях предусмотрен ввод только цифровых значений). Категория надёжности состоит из следующих категорий: I категория, II категория, III категория. По умолчанию поля пустые.</w:t>
      </w:r>
    </w:p>
    <w:p w:rsidR="00823393" w:rsidRDefault="00C856A4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Исключения:</w:t>
      </w:r>
    </w:p>
    <w:p w:rsidR="00823393" w:rsidRPr="00C2650E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 Если заявитель (</w:t>
      </w:r>
      <w:proofErr w:type="spell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Физ.лицо</w:t>
      </w:r>
      <w:proofErr w:type="spell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, </w:t>
      </w:r>
      <w:proofErr w:type="spellStart"/>
      <w:proofErr w:type="gram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Юр.лицо</w:t>
      </w:r>
      <w:proofErr w:type="spellEnd"/>
      <w:proofErr w:type="gram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, ИП) на вкладке «Вид присоединения» выбирает причину обращения «Объекты </w:t>
      </w:r>
      <w:proofErr w:type="spell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микрогенерации</w:t>
      </w:r>
      <w:proofErr w:type="spell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 (до 15 кВт, с учетом существующего тех. Присоединения, без увеличения мощности </w:t>
      </w:r>
      <w:proofErr w:type="spell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энергопринимающих</w:t>
      </w:r>
      <w:proofErr w:type="spell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 устройств)» то, во вкладке «</w:t>
      </w:r>
      <w:proofErr w:type="spell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Энергопринимающие</w:t>
      </w:r>
      <w:proofErr w:type="spell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 устройства»:</w:t>
      </w:r>
    </w:p>
    <w:p w:rsidR="00823393" w:rsidRPr="00C2650E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Убираются поля I и II категории, остаётся только III категория.</w:t>
      </w:r>
    </w:p>
    <w:p w:rsidR="00823393" w:rsidRPr="00C2650E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Если заявитель (</w:t>
      </w:r>
      <w:proofErr w:type="spell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Физ.лицо</w:t>
      </w:r>
      <w:proofErr w:type="spell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, </w:t>
      </w:r>
      <w:proofErr w:type="spellStart"/>
      <w:proofErr w:type="gram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Юр.лицо</w:t>
      </w:r>
      <w:proofErr w:type="spellEnd"/>
      <w:proofErr w:type="gram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, ИП) на вкладке «Вид присоединения» выбирает причину обращения «Объекты </w:t>
      </w:r>
      <w:proofErr w:type="spell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микрогенерации</w:t>
      </w:r>
      <w:proofErr w:type="spell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 и новое присоединение </w:t>
      </w:r>
      <w:proofErr w:type="spell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энергопринимающих</w:t>
      </w:r>
      <w:proofErr w:type="spell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 устройств (до 15 </w:t>
      </w:r>
      <w:proofErr w:type="spell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кВтмикрогенерация</w:t>
      </w:r>
      <w:proofErr w:type="spell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, по III кат </w:t>
      </w:r>
      <w:proofErr w:type="spell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энергопринимающих</w:t>
      </w:r>
      <w:proofErr w:type="spell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 устройств)» то, во вкладке «</w:t>
      </w:r>
      <w:proofErr w:type="spellStart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Энергопринимающие</w:t>
      </w:r>
      <w:proofErr w:type="spellEnd"/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 устройства»: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C2650E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Убираются поля I и II категории, остаётся только III категория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Если заявитель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Физ.лицо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Юр.лицо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, ИП) на вкладке «Вид присоединения» выбирает причину обращения «временное присоединение (до исполнения обязательств по заключенному договору ТП по постоянной схеме)» либо «временное присоединение передвижных объектов (до 150кВт, сроком до 12 месяцев)», а также выбран вариант «Для бытовых нужд» или «Для коммерческого использования» то, во вкладке «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устройства»: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Убираются поля I и II категории, остаётся только III категория. 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>Если заявитель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Физ.лицо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) на вкладке «Вид присоединения» выбирает причину обращения «новое присоединение» или «увеличение максимальной мощности», а также выбран вариант «Для бытовых нужд» то, во вкладке «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устройства»: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Убираются поля I и II категории, остаётся только III категория. 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Блок I «Ранее присоединённые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 состоит из следующих полей: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«Максимальная мощность, кВт» – не обязательно к заполнению. По умолчанию поле пустое. В данном поле предусмотрен ввод только цифровых значений;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«При напряжении,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 – выпадающий список из следующих значений: 0,23; 0,4; 6; 10. По умолчанию стоит значение 0,23.</w:t>
      </w:r>
    </w:p>
    <w:p w:rsidR="00823393" w:rsidRPr="00C856A4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856A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Если выбрана I или/и II категория надёжности (проставлено значение), то добавляется под блок «С распределением по точкам присоединения» дополнительные поля для ввода:</w:t>
      </w:r>
    </w:p>
    <w:p w:rsidR="00823393" w:rsidRPr="00C856A4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856A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Точка присоединения (1), кВт – не обязательно к заполнению (предусмотрен ввод только цифровых значений). По умолчанию поле пустое;</w:t>
      </w:r>
    </w:p>
    <w:p w:rsidR="00823393" w:rsidRPr="00C856A4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856A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Точка присоединения (2), кВт – не обязательно к заполнению (предусмотрен ввод только цифровых значений). По умолчанию поле пустое.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Исключения: </w:t>
      </w:r>
    </w:p>
    <w:p w:rsidR="00823393" w:rsidRPr="00FD01F4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856A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Если выбрана I или/и II категория надёжности (проставлено значение), то поле «Максимальная мощность, кВт» становится не доступно для ввода. </w:t>
      </w:r>
      <w:r w:rsidRPr="00FD01F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В данном поле происходит автоматическое суммирование значений из полей «Точка присоединения (1), кВт» и «Точка присоединения (2), кВт» блока I.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Если заявитель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Физ.лицо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Юр.лицо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ИП) на вкладке «Вид присоединения» выбирает причину обращения «Объекты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(до 15 кВт, с учетом существующего тех. Присоединения, без увеличения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 xml:space="preserve">мощности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устройств)» то, во вкладке «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 в блоке I: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Наименование блока меняется с «Ранее присоединённые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 на «Ранее присоединённые объекты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»;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«При напряжении,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 – выпадающий список из следующих значений: 0,23; 0,4.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Блок II «Присоединяемые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 состоит из следующих полей: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«Максимальная мощность, кВт» – обязательно к заполнению. В данном поле предусмотрен ввод только цифровых значений. По умолчанию поле пустое;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«При напряжении,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 – выпадающий список из следующих значений: 0,23; 0,4; 6; 10. По умолчанию стоит значение 0,23.</w:t>
      </w:r>
    </w:p>
    <w:p w:rsidR="00823393" w:rsidRPr="00C856A4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856A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Если выбрана I или/и II категория надёжности (проставлено значение), то добавляется под блок «С распределением по точкам присоединения» дополнительные поля для ввода:</w:t>
      </w:r>
    </w:p>
    <w:p w:rsidR="00823393" w:rsidRPr="00C856A4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856A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Точка присоединения (1), кВт – обязательно к заполнению (предусмотрен ввод только цифровых значений). По умолчанию поле пустое;</w:t>
      </w:r>
    </w:p>
    <w:p w:rsidR="00823393" w:rsidRPr="00C856A4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856A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Точка присоединения (2), кВт – обязательно к заполнению (предусмотрен ввод только цифровых значений). По умолчанию поле пустое.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Исключения: </w:t>
      </w:r>
    </w:p>
    <w:p w:rsidR="00823393" w:rsidRPr="00FD01F4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856A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Если выбрана I или/и II категория надёжности (проставлено значение), то поле «Максимальная мощность, кВт» становится не доступно для ввода.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 </w:t>
      </w:r>
      <w:r w:rsidRPr="00FD01F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В данном поле происходит автоматическое суммирование значений из полей «Точка присоединения (1), кВт» и «Точка присоединения (2), кВт» блока II.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Если заявитель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Физ.лицо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Юр.лицо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ИП) на вкладке «Вид присоединения» выбирает причину обращения 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 xml:space="preserve">«Объекты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(до 15 кВт, с учетом существующего тех. Присоединения, без увеличения мощности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устройств)» то, во вкладке «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 в блоке II: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Наименование блока меняется с «Присоединяемые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 на «Присоединяемые объекты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»;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«При напряжении,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 – выпадающий список из следующих значений: 0,23; 0,4.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Блок III «Присоединяемые и ранее присоединённые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 состоит из следующих полей: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«Максимальная мощность, кВт» – происходит автоматическое суммирование значений из полей «Максимальная мощность, кВт» блока I и блока II;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«При напряжении,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 – выпадающий список из следующих значений: 0,23; 0,4; 6; 10. По умолчанию стоит значение 0,23.</w:t>
      </w:r>
    </w:p>
    <w:p w:rsidR="00823393" w:rsidRPr="00C856A4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856A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Если выбрана I или/и II категория надёжности (проставлено значение), то добавляется под блок «С распределением по точкам присоединения» дополнительные поля для ввода:</w:t>
      </w:r>
    </w:p>
    <w:p w:rsidR="00823393" w:rsidRPr="00C856A4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856A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Точка присоединения (1), кВт – происходит автоматическое суммирование значений из полей «Точка присоединения (1), кВт» блока I и блока II;</w:t>
      </w:r>
    </w:p>
    <w:p w:rsidR="00823393" w:rsidRPr="00C856A4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</w:pPr>
      <w:r w:rsidRPr="00C856A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Точка присоединения (2), кВт – происходит автоматическое суммирование значений из полей «Точка присоединения (2), кВт» блока I и блока II.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Исключения: 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D01F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Если выбрана I или/и II категория надёжности (проставлено значение), то в поле «Максимальная мощность, кВт» происходит автоматическое суммирование значений из полей «Точка присоединения (1), кВт» и «Точка присоединения (2), кВт» блока III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>.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>Если заявитель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Физ.лицо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Юр.лицо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ИП) на вкладке «Вид присоединения» выбирает причину обращения «Объекты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(до 15 кВт, с учетом существующего тех. Присоединения, без увеличения мощности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устройств)» то, во вкладке «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 в блоке III: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Наименование блока меняется с «Присоединяемые и ранее присоединённые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 на «Присоединяемые и ранее присоединённые объекты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»;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bookmarkStart w:id="0" w:name="_GoBack"/>
      <w:r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«Максимальная мощность, кВт» – не должна превышать 15 кВт. Если Заявитель превышает 15 кВт, необходимо на экран вывести уведомление «Мощность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 не должна превышать 15 кВт»;</w:t>
      </w:r>
    </w:p>
    <w:bookmarkEnd w:id="0"/>
    <w:p w:rsidR="00823393" w:rsidRDefault="00C856A4">
      <w:pPr>
        <w:numPr>
          <w:ilvl w:val="0"/>
          <w:numId w:val="2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«При напряжении,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 – выпадающий список из следующих значений: 0,23; 0,4.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«Характер нагрузки» – поле обязательно для выбора. Происходит выбор из выпадающего списка. Список выбранных значений: 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для генераторов;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осветительная;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силовая;</w:t>
      </w:r>
    </w:p>
    <w:p w:rsidR="00823393" w:rsidRDefault="00C856A4">
      <w:pPr>
        <w:numPr>
          <w:ilvl w:val="0"/>
          <w:numId w:val="2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для производственной деятельности.</w:t>
      </w:r>
    </w:p>
    <w:p w:rsidR="00823393" w:rsidRDefault="00C856A4">
      <w:pPr>
        <w:spacing w:after="20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По умолчанию поле принимает значение «не выбрано».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«Продолжить» – кнопка становится активной если заполнены или выбраны все обязательные поля.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108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Исключения: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Если заявитель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Физ.лицо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Юр.лицо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ИП) на вкладке «Вид присоединения» выбирает причину обращения «Объекты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(до 15 кВт, с учетом существующего тех. Присоединения, без увеличения мощности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>энергопринимающих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устройств)» то, во вкладке «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устройства»: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Перед полем «Характер нагрузки» добавить следующие поля: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«Количество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микрогенераторов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шт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 – поле не обязательно к заполнению. По умолчанию поле пустое (предусмотрен ввод только цифровых значений);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«Мощность, кВт» – мощность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микрогенераторов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. Поле не обязательно к заполнению. По умолчанию поле пустое (предусмотрен ввод только цифровых значений);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«Возможная скорость набора или снижения нагрузки для объектов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в соответствии с паспортными характеристиками» – поле не обязательно к заполнению. Поле для ввода многострочного текста.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180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Если заявитель (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Физ.лицо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Юр.лицо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ИП) на вкладке «Вид присоединения» выбирает причину обращения «Объекты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 новое присоединение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 (до 15 кВт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микрогенерация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по III кат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энергопринимающих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устройств)» то, во вкладке «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Энергопринимающие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устройства» добавляются: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Блок IV «Ранее присоединённые объекты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»: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«Максимальная мощность, кВт» – не обязательно к заполнению. По умолчанию поле пустое. В данном поле предусмотрен ввод только цифровых значений;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«При напряжении,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 – выпадающий список из следующих значений: 0,23; 0,4. По умолчанию стоит значение 0,23.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Блок V «Присоединяемые объекты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»: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lastRenderedPageBreak/>
        <w:t>«Максимальная мощность, кВт» – обязательно к заполнению. По умолчанию поле пустое. В данном поле предусмотрен ввод только цифровых значений;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«При напряжении,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 – выпадающий список из следующих значений: 0,23; 0,4. По умолчанию стоит значение 0,23.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Блок VI «Присоединяемые и ранее присоединённые объекты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»: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</w:pPr>
      <w:r w:rsidRPr="00FD01F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мощность, кВт» – происходит автоматическое суммирование </w:t>
      </w:r>
      <w:proofErr w:type="spellStart"/>
      <w:proofErr w:type="gramStart"/>
      <w:r w:rsidRPr="00FD01F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з</w:t>
      </w:r>
      <w:r w:rsidR="00FD01F4" w:rsidRPr="00FD01F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«</w:t>
      </w:r>
      <w:proofErr w:type="gramEnd"/>
      <w:r w:rsidR="00FD01F4" w:rsidRPr="00FD01F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Максимальная</w:t>
      </w:r>
      <w:proofErr w:type="spellEnd"/>
      <w:r w:rsidR="00FD01F4" w:rsidRPr="00FD01F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 </w:t>
      </w:r>
      <w:proofErr w:type="spellStart"/>
      <w:r w:rsidRPr="00FD01F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>начений</w:t>
      </w:r>
      <w:proofErr w:type="spellEnd"/>
      <w:r w:rsidRPr="00FD01F4">
        <w:rPr>
          <w:rFonts w:ascii="Times New Roman" w:eastAsia="Times New Roman" w:hAnsi="Times New Roman" w:cs="Times New Roman"/>
          <w:color w:val="538135" w:themeColor="accent6" w:themeShade="BF"/>
          <w:sz w:val="28"/>
          <w:shd w:val="clear" w:color="auto" w:fill="FFFFFF"/>
        </w:rPr>
        <w:t xml:space="preserve"> из полей «Максимальная мощность, кВт» блока IV и блока V. Значение не должно превышать 15 кВт.</w:t>
      </w:r>
      <w:r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 Если Заявитель превышает 15 кВт, необходимо на экран вывести уведомление «Мощность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>микрогенерации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hd w:val="clear" w:color="auto" w:fill="FFFFFF"/>
        </w:rPr>
        <w:t xml:space="preserve"> не должна превышать 15 кВт»;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324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«При напряжении,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» – выпадающий список из следующих значений: 0,23; 0,4. По умолчанию стоит значение 0,23.</w:t>
      </w:r>
    </w:p>
    <w:p w:rsidR="00823393" w:rsidRDefault="00C856A4">
      <w:pPr>
        <w:numPr>
          <w:ilvl w:val="0"/>
          <w:numId w:val="3"/>
        </w:numPr>
        <w:spacing w:after="200" w:line="276" w:lineRule="auto"/>
        <w:ind w:left="2520" w:hanging="360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«ОКВЭД» – поле располагается после поля «Характер нагрузки». Вид экономической деятельности, только для Заявителей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Юр.лиц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ИП). Текстовое поле (одна строка). </w:t>
      </w:r>
    </w:p>
    <w:p w:rsidR="00823393" w:rsidRDefault="00823393">
      <w:pPr>
        <w:tabs>
          <w:tab w:val="left" w:pos="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823393" w:rsidRDefault="00823393">
      <w:pPr>
        <w:tabs>
          <w:tab w:val="left" w:pos="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823393" w:rsidRDefault="00823393">
      <w:pPr>
        <w:tabs>
          <w:tab w:val="left" w:pos="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823393" w:rsidRDefault="00823393">
      <w:pPr>
        <w:tabs>
          <w:tab w:val="left" w:pos="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823393" w:rsidRDefault="00823393">
      <w:pPr>
        <w:tabs>
          <w:tab w:val="left" w:pos="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823393" w:rsidRDefault="00823393">
      <w:pPr>
        <w:tabs>
          <w:tab w:val="left" w:pos="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823393" w:rsidRDefault="00823393">
      <w:pPr>
        <w:tabs>
          <w:tab w:val="left" w:pos="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823393" w:rsidRDefault="00823393">
      <w:pPr>
        <w:tabs>
          <w:tab w:val="left" w:pos="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sectPr w:rsidR="00823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340D"/>
    <w:multiLevelType w:val="multilevel"/>
    <w:tmpl w:val="0CB02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F23E94"/>
    <w:multiLevelType w:val="multilevel"/>
    <w:tmpl w:val="F67EF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924250"/>
    <w:multiLevelType w:val="multilevel"/>
    <w:tmpl w:val="5D46D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23393"/>
    <w:rsid w:val="00166C3F"/>
    <w:rsid w:val="001D0F1C"/>
    <w:rsid w:val="00823393"/>
    <w:rsid w:val="00C2650E"/>
    <w:rsid w:val="00C856A4"/>
    <w:rsid w:val="00F51D75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D0E967-66D0-49EC-B64B-71ABBE5F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Савелий Боровков</cp:lastModifiedBy>
  <cp:revision>7</cp:revision>
  <dcterms:created xsi:type="dcterms:W3CDTF">2021-12-08T07:18:00Z</dcterms:created>
  <dcterms:modified xsi:type="dcterms:W3CDTF">2021-12-11T13:58:00Z</dcterms:modified>
</cp:coreProperties>
</file>