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755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docs/RELAZIONE_DATAPOLIS.md</w:t>
      </w:r>
      <w:r>
        <w:t xml:space="preserve">. Il documento</w:t>
      </w:r>
      <w:r>
        <w:t xml:space="preserve"> </w:t>
      </w:r>
      <w:r>
        <w:t xml:space="preserve">si rigenera da zero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10. Cosa questa proposta non promette</w:t>
      </w:r>
    </w:p>
    <w:p>
      <w:r>
        <w:br w:type="page"/>
      </w:r>
    </w:p>
    <w:bookmarkEnd w:id="9"/>
    <w:bookmarkStart w:id="12" w:name="il-quadro-in-una-pagina"/>
    <w:p>
      <w:pPr>
        <w:pStyle w:val="Heading1"/>
      </w:pPr>
      <w:r>
        <w:t xml:space="preserve">Il quadro in una pagina</w:t>
      </w:r>
    </w:p>
    <w:p>
      <w:pPr>
        <w:pStyle w:val="BlockText"/>
      </w:pPr>
      <w:r>
        <w:rPr>
          <w:b/>
          <w:bCs/>
        </w:rPr>
        <w:t xml:space="preserve">A Bagheria il diploma arriva, il lavoro no. E chi resta fuori non è chi cerca lavoro.</w:t>
      </w:r>
      <w:r>
        <w:t xml:space="preserve"> </w:t>
      </w:r>
      <w:r>
        <w:t xml:space="preserve">Nel 2024 il 70,6% dei giovani fuori da lavoro e studio</w:t>
      </w:r>
      <w:r>
        <w:t xml:space="preserve"> </w:t>
      </w:r>
      <w:r>
        <w:t xml:space="preserve">non cerca nemmeno; fra il 2018 e il 2024 la quota di chi cerca è calata di</w:t>
      </w:r>
      <w:r>
        <w:t xml:space="preserve"> </w:t>
      </w:r>
      <w:r>
        <w:t xml:space="preserve">10,2 punti, quella degli inattivi non studenti soltanto di</w:t>
      </w:r>
      <w:r>
        <w:t xml:space="preserve"> </w:t>
      </w:r>
      <w:r>
        <w:t xml:space="preserve">0,6. Le ragazze arrivano al diploma</w:t>
      </w:r>
      <w:r>
        <w:t xml:space="preserve"> </w:t>
      </w:r>
      <w:r>
        <w:t xml:space="preserve">4,2 punti più dei coetanei e lavorano</w:t>
      </w:r>
      <w:r>
        <w:t xml:space="preserve"> </w:t>
      </w:r>
      <w:r>
        <w:t xml:space="preserve">alla metà: 8,2% contro</w:t>
      </w:r>
      <w:r>
        <w:t xml:space="preserve"> </w:t>
      </w:r>
      <w:r>
        <w:t xml:space="preserve">16,5%. Un servizio a domanda spontanea</w:t>
      </w:r>
      <w:r>
        <w:t xml:space="preserve"> </w:t>
      </w:r>
      <w:r>
        <w:t xml:space="preserve">raggiungerebbe il segmento che si sta già risolvendo da sé.</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di questa pagina sono la proposta</w:t>
      </w:r>
      <w:r>
        <w:t xml:space="preserve"> </w:t>
      </w:r>
      <w:r>
        <w:t xml:space="preserve">in 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lavoro Bagheria ha il divario più ampio dopo la Sicilia,</w:t>
      </w:r>
      <w:r>
        <w:t xml:space="preserve"> </w:t>
      </w:r>
      <w:r>
        <w:t xml:space="preserve">sullo studio è l’unico dei quattro territori in cui il segno si inverte a favore delle</w:t>
      </w:r>
      <w:r>
        <w:t xml:space="preserve"> </w:t>
      </w:r>
      <w:r>
        <w:t xml:space="preserve">ragazze.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superano i coetanei di 4,2 punti sul diploma e si fermano al 8,2% di occupazione, 9ª su 10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(potenza 90%).</w:t>
            </w:r>
          </w:p>
        </w:tc>
      </w:tr>
      <w:tr>
        <w:tc>
          <w:tcPr/>
          <w:p>
            <w:pPr>
              <w:pStyle w:val="Compact"/>
            </w:pPr>
            <w:r>
              <w:rPr>
                <w:i/>
                <w:iCs/>
              </w:rPr>
              <w:t xml:space="preserve">(§4-bis, F1)</w:t>
            </w:r>
            <w:r>
              <w:t xml:space="preserve"> </w:t>
            </w:r>
            <w:r>
              <w:t xml:space="preserve">387 ragazze fra i 15 e i 24 anni si dichiarano casalinghe, il 13,4% della fascia contro il 11,3% di Palermo, e le già coniugate sono 41 (1,4%): il canale non è il matrimonio ma la famiglia d’origine.</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93%).</w:t>
            </w:r>
          </w:p>
        </w:tc>
      </w:tr>
      <w:tr>
        <w:tc>
          <w:tcPr/>
          <w:p>
            <w:pPr>
              <w:pStyle w:val="Compact"/>
            </w:pPr>
            <w:r>
              <w:rPr>
                <w:i/>
                <w:iCs/>
              </w:rPr>
              <w:t xml:space="preserve">(§4-bis, F2)</w:t>
            </w:r>
            <w:r>
              <w:t xml:space="preserve"> </w:t>
            </w:r>
            <w:r>
              <w:t xml:space="preserve">Fra chi già si sposta per lavoro esce dal comune il 41,2% degli uomini e il 33,0% delle donne, e verso Palermo il treno vale il 31,5% degli spostamenti femminili contro il 16,4% di quelli maschili.</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i costi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Versione unificata di progetto, 2026-08-28, aggiornata il 2026-08-29. Sostituisce, ai fini della proposal, la</w:t>
      </w:r>
      <w:r>
        <w:t xml:space="preserve"> </w:t>
      </w:r>
      <w:r>
        <w:t xml:space="preserve">versione del solo thread educazione (</w:t>
      </w:r>
      <w:r>
        <w:rPr>
          <w:rStyle w:val="VerbatimChar"/>
        </w:rPr>
        <w:t xml:space="preserve">docs/edu/POLICY_PONTE_19_BAGHERIA.md</w:t>
      </w:r>
      <w:r>
        <w:t xml:space="preserve">, rigenerata</w:t>
      </w:r>
      <w:r>
        <w:t xml:space="preserve"> </w:t>
      </w:r>
      <w:r>
        <w:t xml:space="preserve">dalla pipeline:</w:t>
      </w:r>
      <w:r>
        <w:t xml:space="preserve"> </w:t>
      </w:r>
      <w:r>
        <w:rPr>
          <w:b/>
          <w:bCs/>
        </w:rPr>
        <w:t xml:space="preserve">non modificarla a mano</w:t>
      </w:r>
      <w:r>
        <w:t xml:space="preserve">). Rispetto a quella cambia in quattro punti, tutti</w:t>
      </w:r>
      <w:r>
        <w:t xml:space="preserve"> </w:t>
      </w:r>
      <w:r>
        <w:t xml:space="preserve">derivati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 raggiunto, non come lo si raggiunge.</w:t>
      </w:r>
    </w:p>
    <w:p>
      <w:pPr>
        <w:pStyle w:val="FirstParagraph"/>
      </w:pPr>
      <w:r>
        <w:t xml:space="preserve">Nessuna cifra qui è scritta a mano: ognuna punta al file che la produce.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Dove</w:t>
      </w:r>
      <w:r>
        <w:t xml:space="preserve"> </w:t>
      </w:r>
      <w:r>
        <w:t xml:space="preserve">qui si legge «inattivi non studenti» o «fuori da lavoro e studio» si intende il secondo:</w:t>
      </w:r>
      <w:r>
        <w:t xml:space="preserve"> </w:t>
      </w:r>
      <w:r>
        <w:t xml:space="preserve">è il NEET della locandina per sostanza, non per definizione ISTAT, e la differenza di</w:t>
      </w:r>
      <w:r>
        <w:t xml:space="preserve"> </w:t>
      </w:r>
      <w:r>
        <w:t xml:space="preserve">fascia è la ragione per cui il target del servizio parte da 18 e non da 15. La</w:t>
      </w:r>
      <w:r>
        <w:t xml:space="preserve"> </w:t>
      </w:r>
      <w:r>
        <w:t xml:space="preserve">ricostruzione completa sta in</w:t>
      </w:r>
      <w:r>
        <w:t xml:space="preserve"> </w:t>
      </w:r>
      <w:r>
        <w:rPr>
          <w:rStyle w:val="VerbatimChar"/>
        </w:rPr>
        <w:t xml:space="preserve">docs/RELAZIONE_DATAPOLIS.md</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Fra 2018</w:t>
      </w:r>
      <w:r>
        <w:t xml:space="preserve"> </w:t>
      </w:r>
      <w:r>
        <w:t xml:space="preserve">e 2024 quella quota scende di</w:t>
      </w:r>
      <w:r>
        <w:t xml:space="preserve"> </w:t>
      </w:r>
      <w:r>
        <w:rPr>
          <w:b/>
          <w:bCs/>
        </w:rPr>
        <w:t xml:space="preserve">0,6 punti</w:t>
      </w:r>
      <w:r>
        <w:t xml:space="preserve">, mentre chi cerca lavoro cala di</w:t>
      </w:r>
      <w:r>
        <w:t xml:space="preserve"> </w:t>
      </w:r>
      <w:r>
        <w:rPr>
          <w:b/>
          <w:bCs/>
        </w:rPr>
        <w:t xml:space="preserve">10,2</w:t>
      </w:r>
      <w:r>
        <w:t xml:space="preserve">. Il</w:t>
      </w:r>
      <w:r>
        <w:t xml:space="preserve"> </w:t>
      </w:r>
      <w:r>
        <w:t xml:space="preserve">70,6% dei giovani fuori da lavoro e studio</w:t>
      </w:r>
      <w:r>
        <w:t xml:space="preserve"> </w:t>
      </w:r>
      <w:r>
        <w:rPr>
          <w:b/>
          <w:bCs/>
        </w:rPr>
        <w:t xml:space="preserve">non cerca nemmeno</w:t>
      </w:r>
      <w:r>
        <w:t xml:space="preserve">. Un servizio a domanda</w:t>
      </w:r>
      <w:r>
        <w:t xml:space="preserve"> </w:t>
      </w:r>
      <w:r>
        <w:t xml:space="preserve">spontanea raggiungerebbe il segmento che si sta già risolvendo da sé.</w:t>
      </w:r>
      <w:r>
        <w:t xml:space="preserve"> </w:t>
      </w:r>
      <w:r>
        <w:t xml:space="preserve">→</w:t>
      </w:r>
      <w:r>
        <w:t xml:space="preserve"> </w:t>
      </w:r>
      <w:r>
        <w:rPr>
          <w:rStyle w:val="VerbatimChar"/>
        </w:rPr>
        <w:t xml:space="preserve">edu_finding_summary.csv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arrivano al diploma</w:t>
      </w:r>
      <w:r>
        <w:t xml:space="preserve"> </w:t>
      </w:r>
      <w:r>
        <w:rPr>
          <w:b/>
          <w:bCs/>
        </w:rPr>
        <w:t xml:space="preserve">+4,2 punti</w:t>
      </w:r>
      <w:r>
        <w:t xml:space="preserve"> </w:t>
      </w:r>
      <w:r>
        <w:t xml:space="preserve">più dei coetanei e hanno un tasso di occupazione dell’</w:t>
      </w:r>
      <w:r>
        <w:rPr>
          <w:b/>
          <w:bCs/>
        </w:rPr>
        <w:t xml:space="preserve">8,2%</w:t>
      </w:r>
      <w:r>
        <w:t xml:space="preserve">: il minimo</w:t>
      </w:r>
      <w:r>
        <w:t xml:space="preserve"> </w:t>
      </w:r>
      <w:r>
        <w:t xml:space="preserve">dei quattro territori, in</w:t>
      </w:r>
      <w:r>
        <w:t xml:space="preserve"> </w:t>
      </w:r>
      <w:r>
        <w:rPr>
          <w:b/>
          <w:bCs/>
        </w:rPr>
        <w:t xml:space="preserve">6 anni su 6</w:t>
      </w:r>
      <w:r>
        <w:t xml:space="preserve">. Fra comuni ugualmente scolarizzati Bagheria è</w:t>
      </w:r>
      <w:r>
        <w:t xml:space="preserve"> </w:t>
      </w:r>
      <w:r>
        <w:rPr>
          <w:b/>
          <w:bCs/>
        </w:rPr>
        <w:t xml:space="preserve">penultima su 10</w:t>
      </w:r>
      <w:r>
        <w:t xml:space="preserve"> </w:t>
      </w:r>
      <w:r>
        <w:t xml:space="preserve">per occupazione femminile - a pari istruzione il lavoro non arriva,</w:t>
      </w:r>
      <w:r>
        <w:t xml:space="preserve"> </w:t>
      </w:r>
      <w:r>
        <w:t xml:space="preserve">e non è un tratto di fascia territoriale.</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68145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rPr>
          <w:b/>
          <w:bCs/>
        </w:rPr>
        <w:t xml:space="preserve">Il vincolo di mobilità ha lo stesso segno.</w:t>
      </w:r>
      <w:r>
        <w:t xml:space="preserve"> </w:t>
      </w:r>
      <w:r>
        <w:t xml:space="preserve">Fra chi già si sposta per lavorare, esce</w:t>
      </w:r>
      <w:r>
        <w:t xml:space="preserve"> </w:t>
      </w:r>
      <w:r>
        <w:t xml:space="preserve">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circa il</w:t>
      </w:r>
      <w:r>
        <w:t xml:space="preserve"> </w:t>
      </w:r>
      <w:r>
        <w:t xml:space="preserve">doppio dello scarto siciliano (4,1) e nazionale (4,7). Ma</w:t>
      </w:r>
      <w:r>
        <w:t xml:space="preserve"> </w:t>
      </w:r>
      <w:r>
        <w:rPr>
          <w:b/>
          <w:bCs/>
        </w:rPr>
        <w:t xml:space="preserve">per studiare il segno si</w:t>
      </w:r>
      <w:r>
        <w:rPr>
          <w:b/>
          <w:bCs/>
        </w:rPr>
        <w:t xml:space="preserve"> </w:t>
      </w:r>
      <w:r>
        <w:rPr>
          <w:b/>
          <w:bCs/>
        </w:rPr>
        <w:t xml:space="preserve">inverte</w:t>
      </w:r>
      <w:r>
        <w:t xml:space="preserve"> </w:t>
      </w:r>
      <w:r>
        <w:t xml:space="preserve">(F 16,3% contro M 13,6%, il vantaggio femminile più ampio del panel). Le</w:t>
      </w:r>
      <w:r>
        <w:t xml:space="preserve"> </w:t>
      </w:r>
      <w:r>
        <w:t xml:space="preserve">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125635"/>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Le uscite hanno due tempi diversi.</w:t>
      </w:r>
      <w:r>
        <w:t xml:space="preserve"> </w:t>
      </w:r>
      <w:r>
        <w:t xml:space="preserve">I ragazzi si assottigliano presto e a ondate (17-19</w:t>
      </w:r>
      <w:r>
        <w:t xml:space="preserve"> </w:t>
      </w:r>
      <w:r>
        <w:t xml:space="preserve">e 23-24)</w:t>
      </w:r>
      <w:r>
        <w:t xml:space="preserve"> </w:t>
      </w:r>
      <w:r>
        <w:rPr>
          <w:b/>
          <w:bCs/>
        </w:rPr>
        <w:t xml:space="preserve">con rientri netti dopo i 26</w:t>
      </w:r>
      <w:r>
        <w:t xml:space="preserve">; le ragazze si perdono</w:t>
      </w:r>
      <w:r>
        <w:t xml:space="preserve"> </w:t>
      </w:r>
      <w:r>
        <w:rPr>
          <w:b/>
          <w:bCs/>
        </w:rPr>
        <w:t xml:space="preserve">dai 24-25 in poi, senza</w:t>
      </w:r>
      <w:r>
        <w:rPr>
          <w:b/>
          <w:bCs/>
        </w:rPr>
        <w:t xml:space="preserve"> </w:t>
      </w:r>
      <w:r>
        <w:rPr>
          <w:b/>
          <w:bCs/>
        </w:rPr>
        <w:t xml:space="preserve">rientri</w:t>
      </w:r>
      <w:r>
        <w:t xml:space="preserve">, cioè esattamente quando il vantaggio educativo dovrebbe convertirsi in lavoro</w:t>
      </w:r>
      <w:r>
        <w:t xml:space="preserve"> </w:t>
      </w:r>
      <w:r>
        <w:t xml:space="preserve">e non lo fa (ritenzione F 25-29 =</w:t>
      </w:r>
      <w:r>
        <w:t xml:space="preserve"> </w:t>
      </w:r>
      <w:r>
        <w:rPr>
          <w:b/>
          <w:bCs/>
        </w:rPr>
        <w:t xml:space="preserve">96,3</w:t>
      </w:r>
      <w:r>
        <w:t xml:space="preserve"> </w:t>
      </w:r>
      <w:r>
        <w:t xml:space="preserve">contro 103,0 in Italia).</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le</w:t>
      </w:r>
      <w:r>
        <w:t xml:space="preserve"> </w:t>
      </w:r>
      <w:r>
        <w:t xml:space="preserve">ragazze che se ne andranno a 26. Servono due leve, o una leva con due 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 o occupati che rifiutano opportunità fuori comune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w:t>
            </w:r>
          </w:p>
        </w:tc>
      </w:tr>
      <w:tr>
        <w:tc>
          <w:tcPr/>
          <w:p>
            <w:pPr>
              <w:pStyle w:val="Compact"/>
            </w:pPr>
            <w:r>
              <w:rPr>
                <w:b/>
                <w:bCs/>
              </w:rPr>
              <w:t xml:space="preserve">Durata</w:t>
            </w:r>
          </w:p>
        </w:tc>
        <w:tc>
          <w:tcPr/>
          <w:p>
            <w:pPr>
              <w:pStyle w:val="Compact"/>
            </w:pPr>
            <w:r>
              <w:t xml:space="preserve">90 giorni di preparazione, 12 mesi di erogazione, follow-up a 3, 6 e 12 mesi</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387 casalinghe contro 50, e 183 contro</w:t>
      </w:r>
      <w:r>
        <w:t xml:space="preserve"> </w:t>
      </w:r>
      <w:r>
        <w:t xml:space="preserve">485 in</w:t>
      </w:r>
      <w:r>
        <w:t xml:space="preserve"> </w:t>
      </w:r>
      <w:r>
        <w:t xml:space="preserve">“altra condizione”</w:t>
      </w:r>
      <w:r>
        <w:t xml:space="preserve">. L’outreach deve quindi coprire</w:t>
      </w:r>
      <w:r>
        <w:t xml:space="preserve"> </w:t>
      </w:r>
      <w:r>
        <w:rPr>
          <w:b/>
          <w:bCs/>
        </w:rPr>
        <w:t xml:space="preserve">entrambi i generi con agganci</w:t>
      </w:r>
      <w:r>
        <w:rPr>
          <w:b/>
          <w:bCs/>
        </w:rPr>
        <w:t xml:space="preserve"> </w:t>
      </w:r>
      <w:r>
        <w:rPr>
          <w:b/>
          <w:bCs/>
        </w:rPr>
        <w:t xml:space="preserve">diversi</w:t>
      </w:r>
      <w:r>
        <w:t xml:space="preserve"> </w:t>
      </w:r>
      <w:r>
        <w:t xml:space="preserve">- per le ragazze il carico di cura ha già un nome censuario su cui costruire il</w:t>
      </w:r>
      <w:r>
        <w:t xml:space="preserve"> </w:t>
      </w:r>
      <w:r>
        <w:t xml:space="preserve">contatto, per i ragazzi non c’è neppure quello e il canale va costruito.</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sono nubili.</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è nubile</w:t>
      </w:r>
      <w:r>
        <w:t xml:space="preserve">, e il matrimonio under-25 a Bagheria è</w:t>
      </w:r>
      <w:r>
        <w:t xml:space="preserve"> </w:t>
      </w:r>
      <w:r>
        <w:rPr>
          <w:i/>
          <w:iCs/>
        </w:rPr>
        <w:t xml:space="preserve">sotto</w:t>
      </w:r>
      <w:r>
        <w:t xml:space="preserve"> </w:t>
      </w:r>
      <w:r>
        <w:t xml:space="preserve">Palermo e Sicilia. Il canale non è il matrimonio precoce ma la famiglia</w:t>
      </w:r>
      <w:r>
        <w:t xml:space="preserve"> </w:t>
      </w:r>
      <w:r>
        <w:t xml:space="preserve">d’origine, quindi serve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L’ipotesi infrastrutturale è esclusa dai dati, non rinviata a un gate.</w:t>
      </w:r>
      <w:r>
        <w:t xml:space="preserve"> </w:t>
      </w:r>
      <w:r>
        <w:t xml:space="preserve">La</w:t>
      </w:r>
      <w:r>
        <w:t xml:space="preserve"> </w:t>
      </w:r>
      <w:r>
        <w:t xml:space="preserve">correlazione</w:t>
      </w:r>
      <w:r>
        <w:t xml:space="preserve"> </w:t>
      </w:r>
      <w:r>
        <w:rPr>
          <w:rStyle w:val="VerbatimChar"/>
        </w:rPr>
        <w:t xml:space="preserve">M2 × L11</w:t>
      </w:r>
      <w:r>
        <w:t xml:space="preserve"> </w:t>
      </w:r>
      <w:r>
        <w:t xml:space="preserve">sui 390 comuni (Spearman</w:t>
      </w:r>
      <w:r>
        <w:t xml:space="preserve"> </w:t>
      </w:r>
      <w:r>
        <w:rPr>
          <w:b/>
          <w:bCs/>
        </w:rPr>
        <w:t xml:space="preserve">+0,32</w:t>
      </w:r>
      <w:r>
        <w:t xml:space="preserve">) che orientava l’ipotesi è caduta</w:t>
      </w:r>
      <w:r>
        <w:t xml:space="preserve"> </w:t>
      </w:r>
      <w:r>
        <w:t xml:space="preserve">da due lati. Il primo: il basso percentile di</w:t>
      </w:r>
      <w:r>
        <w:t xml:space="preserve"> </w:t>
      </w:r>
      <w:r>
        <w:rPr>
          <w:rStyle w:val="VerbatimChar"/>
        </w:rPr>
        <w:t xml:space="preserve">M2</w:t>
      </w:r>
      <w:r>
        <w:t xml:space="preserve"> </w:t>
      </w:r>
      <w:r>
        <w:t xml:space="preserve">era un</w:t>
      </w:r>
      <w:r>
        <w:t xml:space="preserve"> </w:t>
      </w:r>
      <w:r>
        <w:rPr>
          <w:b/>
          <w:bCs/>
        </w:rPr>
        <w:t xml:space="preserve">effetto della taglia</w:t>
      </w:r>
      <w:r>
        <w:t xml:space="preserve">, e a parità</w:t>
      </w:r>
      <w:r>
        <w:t xml:space="preserve"> </w:t>
      </w:r>
      <w:r>
        <w:t xml:space="preserve">di distanza dal capoluogo e di dimensione il residuo di Bagheria è</w:t>
      </w:r>
      <w:r>
        <w:t xml:space="preserve"> </w:t>
      </w:r>
      <w:r>
        <w:rPr>
          <w:b/>
          <w:bCs/>
        </w:rPr>
        <w:t xml:space="preserve">−1,9 punti</w:t>
      </w:r>
      <w:r>
        <w:t xml:space="preserve"> </w:t>
      </w:r>
      <w:r>
        <w:t xml:space="preserve">(z = −0,13).</w:t>
      </w:r>
      <w:r>
        <w:t xml:space="preserve"> </w:t>
      </w:r>
      <w:r>
        <w:t xml:space="preserve">Il secondo: il canale «più mezzo collettivo, meno divario di genere» è stato testato sugli</w:t>
      </w:r>
      <w:r>
        <w:t xml:space="preserve"> </w:t>
      </w:r>
      <w:r>
        <w:t xml:space="preserve">stessi 390 comuni e</w:t>
      </w:r>
      <w:r>
        <w:t xml:space="preserve"> </w:t>
      </w:r>
      <w:r>
        <w:rPr>
          <w:b/>
          <w:bCs/>
        </w:rPr>
        <w:t xml:space="preserve">non regge</w:t>
      </w:r>
      <w:r>
        <w:t xml:space="preserve"> </w:t>
      </w:r>
      <w:r>
        <w:t xml:space="preserve">(Spearman</w:t>
      </w:r>
      <w:r>
        <w:t xml:space="preserve"> </w:t>
      </w:r>
      <w:r>
        <w:rPr>
          <w:b/>
          <w:bCs/>
        </w:rPr>
        <w:t xml:space="preserve">−0,10</w:t>
      </w:r>
      <w:r>
        <w:t xml:space="preserve">, p = 0,06, per giunta col segno</w:t>
      </w:r>
      <w:r>
        <w:t xml:space="preserve"> </w:t>
      </w:r>
      <w:r>
        <w:t xml:space="preserve">sbagliato; sul treno l’associazione è nulla, p = 0,29), mentre il treno di Bagheria sta al</w:t>
      </w:r>
      <w:r>
        <w:t xml:space="preserve"> </w:t>
      </w:r>
      <w:r>
        <w:rPr>
          <w:b/>
          <w:bCs/>
        </w:rPr>
        <w:t xml:space="preserve">98° percentile siciliano</w:t>
      </w:r>
      <w:r>
        <w:t xml:space="preserve">. Il vincolo non è l’offerta di trasporto.</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che per</w:t>
      </w:r>
      <w:r>
        <w:t xml:space="preserve"> </w:t>
      </w:r>
      <w:r>
        <w:t xml:space="preserve">ottenerlo si è già mossa, e che si ferma quando il motivo dello spostamento diventa il</w:t>
      </w:r>
      <w:r>
        <w:t xml:space="preserve"> </w:t>
      </w:r>
      <w:r>
        <w:t xml:space="preserve">lavoro.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si spostano per studiare e si</w:t>
      </w:r>
      <w:r>
        <w:t xml:space="preserve"> </w:t>
      </w:r>
      <w:r>
        <w:t xml:space="preserve">fermano per lavorare.</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sono</w:t>
      </w:r>
      <w:r>
        <w:t xml:space="preserve"> </w:t>
      </w:r>
      <w:r>
        <w:rPr>
          <w:b/>
          <w:bCs/>
        </w:rPr>
        <w:t xml:space="preserve">387</w:t>
      </w:r>
      <w:r>
        <w:t xml:space="preserve"> </w:t>
      </w:r>
      <w:r>
        <w:t xml:space="preserve">le 15-24enni che si</w:t>
      </w:r>
      <w:r>
        <w:t xml:space="preserve"> </w:t>
      </w:r>
      <w:r>
        <w:t xml:space="preserve">dichiarano casalinghe, il</w:t>
      </w:r>
      <w:r>
        <w:t xml:space="preserve"> </w:t>
      </w:r>
      <w:r>
        <w:rPr>
          <w:b/>
          <w:bCs/>
        </w:rPr>
        <w:t xml:space="preserve">13,4%</w:t>
      </w:r>
      <w:r>
        <w:t xml:space="preserve"> </w:t>
      </w:r>
      <w:r>
        <w:t xml:space="preserve">della fascia,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la serie 2018-2024 è stabile. Se</w:t>
      </w:r>
      <w:r>
        <w:t xml:space="preserve"> </w:t>
      </w:r>
      <w:r>
        <w:t xml:space="preserve">nessuna ha meno di 18 anni la quota reale sale al</w:t>
      </w:r>
      <w:r>
        <w:t xml:space="preserve"> </w:t>
      </w:r>
      <w:r>
        <w:rPr>
          <w:b/>
          <w:bCs/>
        </w:rPr>
        <w:t xml:space="preserve">18,8%</w:t>
      </w:r>
      <w:r>
        <w:t xml:space="preserve">, se nessuna ne ha meno di 20</w:t>
      </w:r>
      <w:r>
        <w:t xml:space="preserve"> </w:t>
      </w:r>
      <w:r>
        <w:t xml:space="preserve">al</w:t>
      </w:r>
      <w:r>
        <w:t xml:space="preserve"> </w:t>
      </w:r>
      <w:r>
        <w:rPr>
          <w:b/>
          <w:bCs/>
        </w:rPr>
        <w:t xml:space="preserve">25,8%</w:t>
      </w:r>
      <w:r>
        <w:t xml:space="preserve">. Al 1.1.2025 le già coniugate 15-24 sono</w:t>
      </w:r>
      <w:r>
        <w:t xml:space="preserve"> </w:t>
      </w:r>
      <w:r>
        <w:rPr>
          <w:b/>
          <w:bCs/>
        </w:rPr>
        <w:t xml:space="preserve">41 (1,4%)</w:t>
      </w:r>
      <w:r>
        <w:t xml:space="preserve">: almeno l’</w:t>
      </w:r>
      <w:r>
        <w:rPr>
          <w:b/>
          <w:bCs/>
        </w:rPr>
        <w:t xml:space="preserve">89%</w:t>
      </w:r>
      <w:r>
        <w:t xml:space="preserve"> </w:t>
      </w:r>
      <w:r>
        <w:t xml:space="preserve">è</w:t>
      </w:r>
      <w:r>
        <w:t xml:space="preserve"> </w:t>
      </w:r>
      <w:r>
        <w:t xml:space="preserve">nubile, quindi il canale non è il matrimonio ma la famiglia d’origine.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165779"/>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La barriera è di genere per costruzione.</w:t>
      </w:r>
      <w:r>
        <w:t xml:space="preserve"> </w:t>
      </w:r>
      <w:r>
        <w:t xml:space="preserve">Fra chi già si sposta</w:t>
      </w:r>
      <w:r>
        <w:t xml:space="preserve"> </w:t>
      </w:r>
      <w:r>
        <w:rPr>
          <w:b/>
          <w:bCs/>
        </w:rPr>
        <w:t xml:space="preserve">per lavoro</w:t>
      </w:r>
      <w:r>
        <w:t xml:space="preserve"> </w:t>
      </w:r>
      <w:r>
        <w:t xml:space="preserve">esce dal</w:t>
      </w:r>
      <w:r>
        <w:t xml:space="preserve"> </w:t>
      </w:r>
      <w:r>
        <w:t xml:space="preserve">comune il</w:t>
      </w:r>
      <w:r>
        <w:t xml:space="preserve"> </w:t>
      </w:r>
      <w:r>
        <w:rPr>
          <w:b/>
          <w:bCs/>
        </w:rPr>
        <w:t xml:space="preserve">41,2%</w:t>
      </w:r>
      <w:r>
        <w:t xml:space="preserve"> </w:t>
      </w:r>
      <w:r>
        <w:t xml:space="preserve">dei maschi e il</w:t>
      </w:r>
      <w:r>
        <w:t xml:space="preserve"> </w:t>
      </w:r>
      <w:r>
        <w:rPr>
          <w:b/>
          <w:bCs/>
        </w:rPr>
        <w:t xml:space="preserve">33,0%</w:t>
      </w:r>
      <w:r>
        <w:t xml:space="preserve"> </w:t>
      </w:r>
      <w:r>
        <w:t xml:space="preserve">delle femmine (</w:t>
      </w:r>
      <w:r>
        <w:rPr>
          <w:b/>
          <w:bCs/>
        </w:rPr>
        <w:t xml:space="preserve">8,2 punti</w:t>
      </w:r>
      <w:r>
        <w:t xml:space="preserve">, contro 4,1 in</w:t>
      </w:r>
      <w:r>
        <w:t xml:space="preserve"> </w:t>
      </w:r>
      <w:r>
        <w:t xml:space="preserve">Sicilia e 4,7 in Italia). Sullo</w:t>
      </w:r>
      <w:r>
        <w:t xml:space="preserve"> </w:t>
      </w:r>
      <w:r>
        <w:rPr>
          <w:b/>
          <w:bCs/>
        </w:rPr>
        <w:t xml:space="preserve">studio il segno si inverte</w:t>
      </w:r>
      <w:r>
        <w:t xml:space="preserve">: F</w:t>
      </w:r>
      <w:r>
        <w:t xml:space="preserve"> </w:t>
      </w:r>
      <w:r>
        <w:rPr>
          <w:b/>
          <w:bCs/>
        </w:rPr>
        <w:t xml:space="preserve">16,3%</w:t>
      </w:r>
      <w:r>
        <w:t xml:space="preserve"> </w:t>
      </w:r>
      <w:r>
        <w:t xml:space="preserve">contro M</w:t>
      </w:r>
      <w:r>
        <w:t xml:space="preserve"> </w:t>
      </w:r>
      <w:r>
        <w:rPr>
          <w:b/>
          <w:bCs/>
        </w:rPr>
        <w:t xml:space="preserve">13,6%</w:t>
      </w:r>
      <w:r>
        <w:t xml:space="preserve">, il vantaggio femminile più ampio del panel. Il denominatore è già condizionato</w:t>
      </w:r>
      <w:r>
        <w:t xml:space="preserve"> </w:t>
      </w:r>
      <w:r>
        <w:t xml:space="preserve">al motivo (chi si sposta per lavoro un lavoro ce l’ha), quindi la misura non è un riflesso</w:t>
      </w:r>
      <w:r>
        <w:t xml:space="preserve"> </w:t>
      </w:r>
      <w:r>
        <w:t xml:space="preserve">del gap occupazionale: è una conferma indipendente dello stesso punto di rottura.</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13° percentile dei 381 comuni non</w:t>
      </w:r>
      <w:r>
        <w:rPr>
          <w:b/>
          <w:bCs/>
        </w:rPr>
        <w:t xml:space="preserve"> </w:t>
      </w:r>
      <w:r>
        <w:rPr>
          <w:b/>
          <w:bCs/>
        </w:rPr>
        <w:t xml:space="preserve">capoluogo</w:t>
      </w:r>
      <w:r>
        <w:t xml:space="preserve"> </w:t>
      </w:r>
      <w:r>
        <w:t xml:space="preserve">(15° sui 390). E lo</w:t>
      </w:r>
      <w:r>
        <w:t xml:space="preserve"> </w:t>
      </w:r>
      <w:r>
        <w:rPr>
          <w:b/>
          <w:bCs/>
        </w:rPr>
        <w:t xml:space="preserve">controlla</w:t>
      </w:r>
      <w:r>
        <w:t xml:space="preserve">:</w:t>
      </w:r>
      <w:r>
        <w:t xml:space="preserve"> </w:t>
      </w:r>
      <w:r>
        <w:t xml:space="preserve">tenendo fermi tasso di occupazione femminile e divario occupazionale il residuo passa da −8,7 a</w:t>
      </w:r>
      <w:r>
        <w:t xml:space="preserve"> </w:t>
      </w:r>
      <w:r>
        <w:rPr>
          <w:b/>
          <w:bCs/>
        </w:rPr>
        <w:t xml:space="preserve">−7,0 punti</w:t>
      </w:r>
      <w:r>
        <w:t xml:space="preserve">. Che il divario di pendolarismo non sia un riflesso di quello occupazionale non è</w:t>
      </w:r>
      <w:r>
        <w:t xml:space="preserve"> </w:t>
      </w:r>
      <w:r>
        <w:t xml:space="preserve">più solo un argomento sul denominatore: è misurato.</w:t>
      </w:r>
      <w:r>
        <w:t xml:space="preserve"> </w:t>
      </w:r>
      <w:r>
        <w:t xml:space="preserve">→</w:t>
      </w:r>
      <w:r>
        <w:t xml:space="preserve"> </w:t>
      </w:r>
      <w:r>
        <w:rPr>
          <w:rStyle w:val="VerbatimChar"/>
        </w:rPr>
        <w:t xml:space="preserve">mob_ribaltamento_territori.csv</w:t>
      </w:r>
      <w:r>
        <w:t xml:space="preserve">,</w:t>
      </w:r>
      <w:r>
        <w:t xml:space="preserve"> </w:t>
      </w:r>
      <w:r>
        <w:rPr>
          <w:rStyle w:val="VerbatimChar"/>
        </w:rPr>
        <w:t xml:space="preserve">mob_sintesi.csv</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Cautela.</w:t>
      </w:r>
      <w:r>
        <w:t xml:space="preserve"> </w:t>
      </w:r>
      <w:r>
        <w:t xml:space="preserve">Le due tavole usano</w:t>
      </w:r>
      <w:r>
        <w:t xml:space="preserve"> </w:t>
      </w:r>
      <w:r>
        <w:rPr>
          <w:b/>
          <w:bCs/>
        </w:rPr>
        <w:t xml:space="preserve">convenzioni di segno opposte</w:t>
      </w:r>
      <w:r>
        <w:t xml:space="preserve"> </w:t>
      </w:r>
      <w:r>
        <w:t xml:space="preserve">(</w:t>
      </w:r>
      <w:r>
        <w:rPr>
          <w:rStyle w:val="VerbatimChar"/>
        </w:rPr>
        <w:t xml:space="preserve">gap_M_meno_F</w:t>
      </w:r>
      <w:r>
        <w:t xml:space="preserve"> </w:t>
      </w:r>
      <w:r>
        <w:t xml:space="preserve">nella prima,</w:t>
      </w:r>
      <w:r>
        <w:t xml:space="preserve"> </w:t>
      </w:r>
      <w:r>
        <w:rPr>
          <w:rStyle w:val="VerbatimChar"/>
        </w:rPr>
        <w:t xml:space="preserve">gap_lavoro_F_M</w:t>
      </w:r>
      <w:r>
        <w:t xml:space="preserve"> </w:t>
      </w:r>
      <w:r>
        <w:t xml:space="preserve">nella seconda): stessa grandezza, segno invertito. Se fig12 e mob_fig02 stanno</w:t>
      </w:r>
      <w:r>
        <w:t xml:space="preserve"> </w:t>
      </w:r>
      <w:r>
        <w:t xml:space="preserve">vicine nel deck, la convenzione va detta.</w:t>
      </w:r>
    </w:p>
    <w:p>
      <w:pPr>
        <w:pStyle w:val="BodyText"/>
      </w:pPr>
      <w:r>
        <w:rPr>
          <w:b/>
          <w:bCs/>
        </w:rPr>
        <w:t xml:space="preserve">La domanda non arriva a chi il titolo ce l’ha.</w:t>
      </w:r>
      <w:r>
        <w:t xml:space="preserve"> </w:t>
      </w:r>
      <w:r>
        <w:t xml:space="preserve">Le ragazze raggiungono il diploma</w:t>
      </w:r>
      <w:r>
        <w:t xml:space="preserve"> </w:t>
      </w:r>
      <w:r>
        <w:rPr>
          <w:b/>
          <w:bCs/>
        </w:rPr>
        <w:t xml:space="preserve">+4,2 punti</w:t>
      </w:r>
      <w:r>
        <w:t xml:space="preserve"> </w:t>
      </w:r>
      <w:r>
        <w:t xml:space="preserve">più dei coetanei (33,4% contro 29,2%) e hanno un tasso di occupazione</w:t>
      </w:r>
      <w:r>
        <w:t xml:space="preserve"> </w:t>
      </w:r>
      <w:r>
        <w:t xml:space="preserve">dell’</w:t>
      </w:r>
      <w:r>
        <w:rPr>
          <w:b/>
          <w:bCs/>
        </w:rPr>
        <w:t xml:space="preserve">8,2%</w:t>
      </w:r>
      <w:r>
        <w:t xml:space="preserve"> </w:t>
      </w:r>
      <w:r>
        <w:t xml:space="preserve">contro il</w:t>
      </w:r>
      <w:r>
        <w:t xml:space="preserve"> </w:t>
      </w:r>
      <w:r>
        <w:rPr>
          <w:b/>
          <w:bCs/>
        </w:rPr>
        <w:t xml:space="preserve">16,5%</w:t>
      </w:r>
      <w:r>
        <w:t xml:space="preserve"> </w:t>
      </w:r>
      <w:r>
        <w:t xml:space="preserve">dei maschi. Fra i comuni a pari istruzione Bagheria è</w:t>
      </w:r>
      <w:r>
        <w:t xml:space="preserve"> </w:t>
      </w:r>
      <w:r>
        <w:rPr>
          <w:b/>
          <w:bCs/>
        </w:rPr>
        <w:t xml:space="preserve">penultima su 10</w:t>
      </w:r>
      <w:r>
        <w:t xml:space="preserve"> </w:t>
      </w:r>
      <w:r>
        <w:t xml:space="preserve">per occupazione femminile: a pari titolo il lavoro non arriva.</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fig05b,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È la metà che già funziona: il</w:t>
      </w:r>
      <w:r>
        <w:t xml:space="preserve"> </w:t>
      </w:r>
      <w:r>
        <w:t xml:space="preserve">vantaggio educativo femminile</w:t>
      </w:r>
      <w:r>
        <w:t xml:space="preserve"> </w:t>
      </w:r>
      <w:r>
        <w:rPr>
          <w:b/>
          <w:bCs/>
        </w:rPr>
        <w:t xml:space="preserve">cresce</w:t>
      </w:r>
      <w:r>
        <w:t xml:space="preserve"> </w:t>
      </w:r>
      <w:r>
        <w:t xml:space="preserve">(da +3,1 a +4,2) mentre nel vicinato crolla</w:t>
      </w:r>
      <w:r>
        <w:t xml:space="preserve"> </w:t>
      </w:r>
      <w:r>
        <w:t xml:space="preserve">(da +2,9 a +0,5), la base scolastica era quasi universale già nel 2011 (I8 = 96,7%), e</w:t>
      </w:r>
      <w:r>
        <w:t xml:space="preserve"> </w:t>
      </w:r>
      <w:r>
        <w:t xml:space="preserve">sui 390 comuni dove le donne sono relativamente più istruite l’occupazione femminile è</w:t>
      </w:r>
      <w:r>
        <w:t xml:space="preserve"> </w:t>
      </w:r>
      <w:r>
        <w:t xml:space="preserve">di solito più alta (Spearman I1 × L11 =</w:t>
      </w:r>
      <w:r>
        <w:t xml:space="preserve"> </w:t>
      </w:r>
      <w:r>
        <w:rPr>
          <w:b/>
          <w:bCs/>
        </w:rPr>
        <w:t xml:space="preserve">−0,24</w:t>
      </w:r>
      <w:r>
        <w:t xml:space="preserve">, p&lt;0,001) mentre Bagheria contraddice</w:t>
      </w:r>
      <w:r>
        <w:t xml:space="preserve"> </w:t>
      </w:r>
      <w:r>
        <w:t xml:space="preserve">il pattern. Un incentivo allo studio pagherebbe l’anello intatto.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 fig05b, fig06b</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che quella popolazione già la vedono: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il carico di cura ha già un nome</w:t>
      </w:r>
      <w:r>
        <w:t xml:space="preserve"> </w:t>
      </w:r>
      <w:r>
        <w:t xml:space="preserve">censuario su cui aprire il colloquio, mentre per i ragazzi quel nome non c’è.</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è già stata testata sui 390 comuni ed è stata</w:t>
      </w:r>
      <w:r>
        <w:t xml:space="preserve"> </w:t>
      </w:r>
      <w:r>
        <w:rPr>
          <w:b/>
          <w:bCs/>
        </w:rPr>
        <w:t xml:space="preserve">respinta</w:t>
      </w:r>
      <w:r>
        <w:t xml:space="preserve">: «più mezzo</w:t>
      </w:r>
      <w:r>
        <w:t xml:space="preserve"> </w:t>
      </w:r>
      <w:r>
        <w:t xml:space="preserve">collettivo, meno divario di genere» non regge (Spearman</w:t>
      </w:r>
      <w:r>
        <w:t xml:space="preserve"> </w:t>
      </w:r>
      <w:r>
        <w:rPr>
          <w:b/>
          <w:bCs/>
        </w:rPr>
        <w:t xml:space="preserve">−0,10</w:t>
      </w:r>
      <w:r>
        <w:t xml:space="preserve">, p = 0,06, per giunta col</w:t>
      </w:r>
      <w:r>
        <w:t xml:space="preserve"> </w:t>
      </w:r>
      <w:r>
        <w:t xml:space="preserve">segno sbagliato; sul treno l’associazione è nulla, p = 0,29). Il treno a Bagheria è al</w:t>
      </w:r>
      <w:r>
        <w:t xml:space="preserve"> </w:t>
      </w:r>
      <w:r>
        <w:rPr>
          <w:b/>
          <w:bCs/>
        </w:rPr>
        <w:t xml:space="preserve">97°</w:t>
      </w:r>
      <w:r>
        <w:rPr>
          <w:b/>
          <w:bCs/>
        </w:rPr>
        <w:t xml:space="preserve"> </w:t>
      </w:r>
      <w:r>
        <w:rPr>
          <w:b/>
          <w:bCs/>
        </w:rPr>
        <w:t xml:space="preserve">percentile siciliano</w:t>
      </w:r>
      <w:r>
        <w:t xml:space="preserve">, quindi non è sottoutilizzato, e l’ultimo miglio dentro Palermo non è un</w:t>
      </w:r>
      <w:r>
        <w:t xml:space="preserve"> </w:t>
      </w:r>
      <w:r>
        <w:t xml:space="preserve">collo di bottiglia.</w:t>
      </w:r>
      <w:r>
        <w:t xml:space="preserve"> </w:t>
      </w:r>
      <w:r>
        <w:rPr>
          <w:b/>
          <w:bCs/>
        </w:rPr>
        <w:t xml:space="preserve">Il vincolo non è l’offerta di trasporto</w:t>
      </w:r>
      <w:r>
        <w:t xml:space="preserve">, e questo modulo non ci si</w:t>
      </w:r>
      <w:r>
        <w:t xml:space="preserve"> </w:t>
      </w:r>
      <w:r>
        <w:t xml:space="preserve">appoggia: F2</w:t>
      </w:r>
      <w:r>
        <w:t xml:space="preserve"> </w:t>
      </w:r>
      <w:r>
        <w:rPr>
          <w:b/>
          <w:bCs/>
        </w:rPr>
        <w:t xml:space="preserve">riformula</w:t>
      </w:r>
      <w:r>
        <w:t xml:space="preserve"> </w:t>
      </w:r>
      <w:r>
        <w:t xml:space="preserve">la componente E della sezione 4 invece di ereditarne il gate. Sul</w:t>
      </w:r>
      <w:r>
        <w:t xml:space="preserve"> </w:t>
      </w:r>
      <w:r>
        <w:t xml:space="preserve">lato femminile la leva non è il collegamento.</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(sezione 7)</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63,7% contro 79,0%). Il canale femminile verso Palermo è collettivo, quello maschile è l’auto;</w:t>
      </w:r>
    </w:p>
    <w:p>
      <w:pPr>
        <w:pStyle w:val="Compact"/>
        <w:numPr>
          <w:ilvl w:val="0"/>
          <w:numId w:val="1002"/>
        </w:numPr>
      </w:pPr>
      <w:r>
        <w:rPr>
          <w:b/>
          <w:bCs/>
        </w:rPr>
        <w:t xml:space="preserve">l’orario</w:t>
      </w:r>
      <w:r>
        <w:t xml:space="preserve">: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e il</w:t>
      </w:r>
      <w:r>
        <w:t xml:space="preserve"> </w:t>
      </w:r>
      <w:r>
        <w:rPr>
          <w:b/>
          <w:bCs/>
        </w:rPr>
        <w:t xml:space="preserve">43,8%</w:t>
      </w:r>
      <w:r>
        <w:t xml:space="preserve"> </w:t>
      </w:r>
      <w:r>
        <w:t xml:space="preserve">delle donne impiega 31-60 minuti contro il 36,1% degli uomini, per 17 km. Sullo studio la differenza quasi scompare:</w:t>
      </w:r>
      <w:r>
        <w:t xml:space="preserve"> </w:t>
      </w:r>
      <w:r>
        <w:rPr>
          <w:b/>
          <w:bCs/>
        </w:rPr>
        <w:t xml:space="preserve">la divergenza oraria nasce col lavoro</w:t>
      </w:r>
      <w:r>
        <w:t xml:space="preserve">.</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rPr>
          <w:b/>
          <w:bCs/>
        </w:rPr>
        <w:t xml:space="preserve">Cautela.</w:t>
      </w:r>
      <w:r>
        <w:t xml:space="preserve"> </w:t>
      </w:r>
      <w:r>
        <w:t xml:space="preserve">Il gate che la componente E poneva («il trasporto è la barriera primaria?»)</w:t>
      </w:r>
      <w:r>
        <w:t xml:space="preserve"> </w:t>
      </w:r>
      <w:r>
        <w:rPr>
          <w:b/>
          <w:bCs/>
        </w:rPr>
        <w:t xml:space="preserve">ha già una</w:t>
      </w:r>
      <w:r>
        <w:rPr>
          <w:b/>
          <w:bCs/>
        </w:rPr>
        <w:t xml:space="preserve"> </w:t>
      </w:r>
      <w:r>
        <w:rPr>
          <w:b/>
          <w:bCs/>
        </w:rPr>
        <w:t xml:space="preserve">risposta, ed è no</w:t>
      </w:r>
      <w:r>
        <w:t xml:space="preserve">: non va rispeso nei 90 giorni. La domanda che lo sostituisce riguarda</w:t>
      </w:r>
      <w:r>
        <w:t xml:space="preserve"> </w:t>
      </w:r>
      <w:r>
        <w:t xml:space="preserve">l’offerta di lavoro, non il trasporto (sotto,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mob_orario_genere.csv</w:t>
      </w:r>
      <w:r>
        <w:t xml:space="preserve">,</w:t>
      </w:r>
      <w:r>
        <w:t xml:space="preserve"> </w:t>
      </w:r>
      <w:r>
        <w:rPr>
          <w:rStyle w:val="VerbatimChar"/>
        </w:rPr>
        <w:t xml:space="preserve">mob_sintesi.csv</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 il modello</w:t>
      </w:r>
      <w:r>
        <w:t xml:space="preserve"> </w:t>
      </w:r>
      <w:r>
        <w:t xml:space="preserve">normativo esiste: l’art. 47 del DL 77/2021 lega gli appalti PNRR ad assunzioni di donne e di</w:t>
      </w:r>
      <w:r>
        <w:t xml:space="preserve"> </w:t>
      </w:r>
      <w:r>
        <w:t xml:space="preserve">under 36 - orientati qui alle</w:t>
      </w:r>
      <w:r>
        <w:t xml:space="preserve"> </w:t>
      </w:r>
      <w:r>
        <w:rPr>
          <w:b/>
          <w:bCs/>
        </w:rPr>
        <w:t xml:space="preserve">donne 22-25</w:t>
      </w:r>
      <w:r>
        <w:t xml:space="preserve">, con verifica dell’esito a 6 e 12 mesi; l’audit</w:t>
      </w:r>
      <w:r>
        <w:t xml:space="preserve"> </w:t>
      </w:r>
      <w:r>
        <w:t xml:space="preserve">dei datori della sezione 4D raccoglie le posizioni reali su cui il criterio può 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fuori da lavoro e studio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dove il vantaggio educativo non si converte e la ritenzione si rompe senza rientri</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93%), triennio 99%</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si legge già su un biennio, quindi l’unico che</w:t>
      </w:r>
      <w:r>
        <w:t xml:space="preserve"> </w:t>
      </w:r>
      <w:r>
        <w:t xml:space="preserve">restituisce un verdetto dentro la durata di un mandato. L’occupazione resta l’outcome che</w:t>
      </w:r>
      <w:r>
        <w:t xml:space="preserve"> </w:t>
      </w:r>
      <w:r>
        <w:t xml:space="preserve">dà senso al primo e si legge sul triennio.</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701001"/>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quota di partecipanti F che accedono a un’opportunità</w:t>
      </w:r>
      <w:r>
        <w:t xml:space="preserve"> </w:t>
      </w:r>
      <w:r>
        <w:rPr>
          <w:b/>
          <w:bCs/>
        </w:rPr>
        <w:t xml:space="preserve">fuori comune</w:t>
      </w:r>
      <w:r>
        <w:t xml:space="preserve"> </w:t>
      </w:r>
      <w:r>
        <w:t xml:space="preserve">entro 6 mesi,</w:t>
      </w:r>
      <w:r>
        <w:t xml:space="preserve"> </w:t>
      </w:r>
      <w:r>
        <w:t xml:space="preserve">riferimento</w:t>
      </w:r>
      <w:r>
        <w:t xml:space="preserve"> </w:t>
      </w:r>
      <w:r>
        <w:rPr>
          <w:b/>
          <w:bCs/>
        </w:rPr>
        <w:t xml:space="preserve">33,0% → 41,2%</w:t>
      </w:r>
      <w:r>
        <w:t xml:space="preserve"> </w:t>
      </w:r>
      <w:r>
        <w:t xml:space="preserve">(il livello dei coetanei).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la fonte scomposta per genere copre 2018 e 2019</w:t>
      </w:r>
      <w:r>
        <w:t xml:space="preserve"> </w:t>
      </w:r>
      <w:r>
        <w:t xml:space="preserve">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simmetrico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a 90 giorni</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Il vincolo è l’orario del datore, non il trasporto: rinegoziare l’ingresso prima di finanziare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390 comuni e respinta, il treno di Bagheria è al 98° percentile siciliano, e «portare il treno a Bagheria» risolverebbe un problema che non esiste.</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verificate raggiungibili di fatto solo in auto</w:t>
            </w:r>
          </w:p>
        </w:tc>
        <w:tc>
          <w:tcPr/>
          <w:p>
            <w:pPr>
              <w:pStyle w:val="Compact"/>
            </w:pPr>
            <w:r>
              <w:t xml:space="preserve">Rinegoziare l’orario d’ingresso col datore: il trasporto non è la barriera (sezione 4-bis, F2)</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a 90 giorni</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nei benchmark il calo è simmetrico fra i generi, qui no.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 al 2029 e −2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pp) sta</w:t>
      </w:r>
      <w:r>
        <w:t xml:space="preserve"> </w:t>
      </w:r>
      <w:r>
        <w:t xml:space="preserve">sotto l’MDE annuale (2,14 pp, potenza 46%). Dichiararlo prima dell’avvio è parte della</w:t>
      </w:r>
      <w:r>
        <w:t xml:space="preserve"> </w:t>
      </w:r>
      <w:r>
        <w:t xml:space="preserve">proposta, non una nota tecnica.</w:t>
      </w:r>
      <w:r>
        <w:t xml:space="preserve"> </w:t>
      </w:r>
      <w:r>
        <w:t xml:space="preserve">→</w:t>
      </w:r>
      <w:r>
        <w:t xml:space="preserve"> </w:t>
      </w:r>
      <w:r>
        <w:rPr>
          <w:rStyle w:val="VerbatimChar"/>
        </w:rPr>
        <w:t xml:space="preserve">genere_mde.csv</w:t>
      </w:r>
    </w:p>
    <w:p>
      <w:pPr>
        <w:pStyle w:val="BodyText"/>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r>
        <w:t xml:space="preserve"> </w:t>
      </w:r>
      <w:r>
        <w:t xml:space="preserve">- primo contatto entro 30 giorni dalla segnalazione;</w:t>
      </w:r>
      <w:r>
        <w:t xml:space="preserve"> </w:t>
      </w:r>
      <w:r>
        <w:t xml:space="preserve">- assessment e piano entro 15 giorni;</w:t>
      </w:r>
      <w:r>
        <w:t xml:space="preserve"> </w:t>
      </w:r>
      <w:r>
        <w:t xml:space="preserve">- quota che avvia l’azione concordata entro 30 giorni;</w:t>
      </w:r>
      <w:r>
        <w:t xml:space="preserve"> </w:t>
      </w:r>
      <w:r>
        <w:t xml:space="preserve">- giorni medi consecutivi fuori da lavoro, studio e formazione;</w:t>
      </w:r>
      <w:r>
        <w:t xml:space="preserve"> </w:t>
      </w:r>
      <w:r>
        <w:t xml:space="preserve">-</w:t>
      </w:r>
      <w:r>
        <w:t xml:space="preserve"> </w:t>
      </w:r>
      <w:r>
        <w:rPr>
          <w:b/>
          <w:bCs/>
        </w:rPr>
        <w:t xml:space="preserve">utenza per età singola e genere</w:t>
      </w:r>
      <w:r>
        <w:t xml:space="preserve">, contro la platea residente della stessa cella;</w:t>
      </w:r>
      <w:r>
        <w:t xml:space="preserve"> </w:t>
      </w:r>
      <w:r>
        <w:t xml:space="preserve">- copertura delle due finestre (18-20 e 22-25) separatamente.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Quota di partecipanti F che accedono a un’opportunità</w:t>
      </w:r>
      <w:r>
        <w:t xml:space="preserve"> </w:t>
      </w:r>
      <w:r>
        <w:rPr>
          <w:b/>
          <w:bCs/>
        </w:rPr>
        <w:t xml:space="preserve">fuori comune</w:t>
      </w:r>
      <w:r>
        <w:t xml:space="preserve"> </w:t>
      </w:r>
      <w:r>
        <w:t xml:space="preserve">entro 6 mesi,</w:t>
      </w:r>
      <w:r>
        <w:t xml:space="preserve"> </w:t>
      </w:r>
      <w:r>
        <w:t xml:space="preserve">riferimento 33,0% → 41,2% (il livello dei coetanei).</w:t>
      </w:r>
      <w:r>
        <w:t xml:space="preserve"> </w:t>
      </w:r>
      <w:r>
        <w:rPr>
          <w:b/>
          <w:bCs/>
        </w:rPr>
        <w:t xml:space="preserve">Cautela.</w:t>
      </w:r>
      <w:r>
        <w:t xml:space="preserve"> </w:t>
      </w:r>
      <w:r>
        <w:rPr>
          <w:b/>
          <w:bCs/>
        </w:rPr>
        <w:t xml:space="preserve">Non aggiornabile dalla fonte</w:t>
      </w:r>
      <w:r>
        <w:t xml:space="preserve">: il pendolarismo</w:t>
      </w:r>
      <w:r>
        <w:t xml:space="preserve"> </w:t>
      </w:r>
      <w:r>
        <w:rPr>
          <w:b/>
          <w:bCs/>
        </w:rPr>
        <w:t xml:space="preserve">scomposto per genere</w:t>
      </w:r>
      <w:r>
        <w:t xml:space="preserve"> </w:t>
      </w:r>
      <w:r>
        <w:t xml:space="preserve">esiste solo</w:t>
      </w:r>
      <w:r>
        <w:t xml:space="preserve"> </w:t>
      </w:r>
      <w:r>
        <w:t xml:space="preserve">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Rollout scaglionato. Fra persone con uguale priorità l’ordine di avvio è assegnato</w:t>
      </w:r>
      <w:r>
        <w:t xml:space="preserve"> </w:t>
      </w:r>
      <w:r>
        <w:t xml:space="preserve">casualmente quando eticamente possibile; chi inizia più tardi è il confronto temporaneo.</w:t>
      </w:r>
      <w:r>
        <w:t xml:space="preserve"> </w:t>
      </w:r>
      <w:r>
        <w:t xml:space="preserve">Protocollo, outcome primario, finestre temporali ed esclusioni pubblicati</w:t>
      </w:r>
      <w:r>
        <w:t xml:space="preserve"> </w:t>
      </w:r>
      <w:r>
        <w:rPr>
          <w:b/>
          <w:bCs/>
        </w:rPr>
        <w:t xml:space="preserve">prima</w:t>
      </w:r>
      <w:r>
        <w:t xml:space="preserve"> </w:t>
      </w:r>
      <w:r>
        <w:t xml:space="preserve">dell’avvio. Il prima-dopo da solo non basta.</w:t>
      </w:r>
    </w:p>
    <w:p>
      <w:pPr>
        <w:pStyle w:val="BodyText"/>
      </w:pPr>
      <w:r>
        <w:rPr>
          <w:b/>
          <w:bCs/>
        </w:rPr>
        <w:t xml:space="preserve">Il controfattuale è dichiarato in anticipo: Palermo.</w:t>
      </w:r>
      <w:r>
        <w:t xml:space="preserve"> </w:t>
      </w:r>
      <w:r>
        <w:t xml:space="preserve">Il prerequisito è testato, non</w:t>
      </w:r>
      <w:r>
        <w:t xml:space="preserve"> </w:t>
      </w:r>
      <w:r>
        <w:t xml:space="preserve">assunto: la pendenza del tasso femminile di Bagheria 2018-2024 (+0,65 pp/anno) è</w:t>
      </w:r>
      <w:r>
        <w:t xml:space="preserve"> </w:t>
      </w:r>
      <w:r>
        <w:t xml:space="preserve">indistinguibile da Palermo e Italia (p = 0,29 / 0,33; Sicilia al margine, 0,054). Le dieci</w:t>
      </w:r>
      <w:r>
        <w:t xml:space="preserve"> </w:t>
      </w:r>
      <w:r>
        <w:t xml:space="preserve">gemelle strutturali fanno da ancora dei target.</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Bagheria sta</w:t>
      </w:r>
      <w:r>
        <w:t xml:space="preserve"> </w:t>
      </w:r>
      <w:r>
        <w:rPr>
          <w:b/>
          <w:bCs/>
        </w:rPr>
        <w:t xml:space="preserve">sotto la mediana delle gemelle in tutti gli anni 2018-2024</w:t>
      </w:r>
      <w:r>
        <w:t xml:space="preserve"> </w:t>
      </w:r>
      <w:r>
        <w:t xml:space="preserve">(di 2,1-3,1</w:t>
      </w:r>
      <w:r>
        <w:t xml:space="preserve"> </w:t>
      </w:r>
      <w:r>
        <w:t xml:space="preserve">punti, contro −1,7 nel 2011): lo stacco aperto nel decennio 2001-2011 non si è chiuso. Il</w:t>
      </w:r>
      <w:r>
        <w:t xml:space="preserve"> </w:t>
      </w:r>
      <w:r>
        <w:t xml:space="preserve">disegno deve poter distinguere l’effetto dell’intervento dalla prosecuzione di quel</w:t>
      </w:r>
      <w:r>
        <w:t xml:space="preserve"> </w:t>
      </w:r>
      <w:r>
        <w:t xml:space="preserve">divario.</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cosa-questa-proposta-non-promette"/>
    <w:p>
      <w:pPr>
        <w:pStyle w:val="Heading1"/>
      </w:pPr>
      <w:r>
        <w:t xml:space="preserve">10. Cosa questa proposta non promette</w:t>
      </w:r>
    </w:p>
    <w:p>
      <w:pPr>
        <w:pStyle w:val="Compact"/>
        <w:numPr>
          <w:ilvl w:val="0"/>
          <w:numId w:val="1005"/>
        </w:numPr>
      </w:pPr>
      <w:r>
        <w:t xml:space="preserve">Non stima il rendimento occupazionale individuale di un titolo: il dato non esiste, il</w:t>
      </w:r>
      <w:r>
        <w:t xml:space="preserve"> </w:t>
      </w:r>
      <w:r>
        <w:t xml:space="preserve">servizio lo creerà.</w:t>
      </w:r>
    </w:p>
    <w:p>
      <w:pPr>
        <w:pStyle w:val="Compact"/>
        <w:numPr>
          <w:ilvl w:val="0"/>
          <w:numId w:val="1005"/>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w:t>
      </w:r>
    </w:p>
    <w:p>
      <w:pPr>
        <w:pStyle w:val="Compact"/>
        <w:numPr>
          <w:ilvl w:val="0"/>
          <w:numId w:val="1005"/>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5"/>
        </w:numPr>
      </w:pPr>
      <w:r>
        <w:t xml:space="preserve">Non attribuisce l’inattività a una singola causa non osservata.</w:t>
      </w:r>
    </w:p>
    <w:p>
      <w:pPr>
        <w:pStyle w:val="Compact"/>
        <w:numPr>
          <w:ilvl w:val="0"/>
          <w:numId w:val="1005"/>
        </w:numPr>
      </w:pPr>
      <w:r>
        <w:t xml:space="preserve">Non tratta la finestra 22-25 come un dato annuale: è una lettura pooled su triennio,</w:t>
      </w:r>
      <w:r>
        <w:t xml:space="preserve"> </w:t>
      </w:r>
      <w:r>
        <w:t xml:space="preserve">con oscillazioni fino a 8 pp sulla singola età.</w:t>
      </w:r>
    </w:p>
    <w:bookmarkEnd w:id="89"/>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2026-08-30T16:29:14Z</dcterms:created>
  <dcterms:modified xsi:type="dcterms:W3CDTF">2026-08-30T16:29:14Z</dcterms:modified>
</cp:coreProperties>
</file>

<file path=docProps/custom.xml><?xml version="1.0" encoding="utf-8"?>
<Properties xmlns="http://schemas.openxmlformats.org/officeDocument/2006/custom-properties" xmlns:vt="http://schemas.openxmlformats.org/officeDocument/2006/docPropsVTypes"/>
</file>