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3.png" ContentType="image/png"/>
  <Override PartName="/word/media/rId18.png" ContentType="image/png"/>
  <Override PartName="/word/media/rId22.png" ContentType="image/png"/>
  <Override PartName="/word/media/rId142.png" ContentType="image/png"/>
  <Override PartName="/word/media/rId145.png" ContentType="image/png"/>
  <Override PartName="/word/media/rId148.png" ContentType="image/png"/>
  <Override PartName="/word/media/rId88.png" ContentType="image/png"/>
  <Override PartName="/word/media/rId151.png" ContentType="image/png"/>
  <Override PartName="/word/media/rId154.png" ContentType="image/png"/>
  <Override PartName="/word/media/rId44.png" ContentType="image/png"/>
  <Override PartName="/word/media/rId51.png" ContentType="image/png"/>
  <Override PartName="/word/media/rId106.png" ContentType="image/png"/>
  <Override PartName="/word/media/rId109.png" ContentType="image/png"/>
  <Override PartName="/word/media/rId55.png" ContentType="image/png"/>
  <Override PartName="/word/media/rId29.png" ContentType="image/png"/>
  <Override PartName="/word/media/rId112.png" ContentType="image/png"/>
  <Override PartName="/word/media/rId115.png" ContentType="image/png"/>
  <Override PartName="/word/media/rId41.png" ContentType="image/png"/>
  <Override PartName="/word/media/rId118.png" ContentType="image/png"/>
  <Override PartName="/word/media/rId121.png" ContentType="image/png"/>
  <Override PartName="/word/media/rId124.png" ContentType="image/png"/>
  <Override PartName="/word/media/rId58.png" ContentType="image/png"/>
  <Override PartName="/word/media/rId127.png" ContentType="image/png"/>
  <Override PartName="/word/media/rId36.png" ContentType="image/png"/>
  <Override PartName="/word/media/rId96.png" ContentType="image/png"/>
  <Override PartName="/word/media/rId130.png" ContentType="image/png"/>
  <Override PartName="/word/media/rId32.png" ContentType="image/png"/>
  <Override PartName="/word/media/rId47.png" ContentType="image/png"/>
  <Override PartName="/word/media/rId133.png" ContentType="image/png"/>
  <Override PartName="/word/media/rId74.png" ContentType="image/png"/>
  <Override PartName="/word/media/rId136.png" ContentType="image/png"/>
  <Override PartName="/word/media/rId139.png" ContentType="image/png"/>
  <Override PartName="/word/media/rId67.png" ContentType="image/png"/>
  <Override PartName="/word/media/rId71.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Bagheria produce titoli e non li converte</w:t>
      </w:r>
    </w:p>
    <w:p>
      <w:pPr>
        <w:pStyle w:val="CopertinaSottotitolo"/>
      </w:pPr>
      <w:r>
        <w:t xml:space="preserve">Relazione tecnica e proposta di intervento - DataPolis 2026, «Analisi e Visione per i Giovani di Bagheria»</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37 figure · 743 controlli di regressione indipendenti, tutti superati</w:t>
      </w:r>
    </w:p>
    <w:p>
      <w:pPr>
        <w:pStyle w:val="Copertina"/>
      </w:pPr>
      <w:r>
        <w:t xml:space="preserve"> </w:t>
      </w:r>
    </w:p>
    <w:p>
      <w:pPr>
        <w:pStyle w:val="Didascalia"/>
      </w:pPr>
      <w:r>
        <w:t xml:space="preserve">Nessuna cifra di questo documento è scritta a mano. Ogni numero citato è prodotto da una</w:t>
      </w:r>
      <w:r>
        <w:t xml:space="preserve"> </w:t>
      </w:r>
      <w:r>
        <w:t xml:space="preserve">cella di notebook o da un file 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 grezzi con un’implementazione indipendente,</w:t>
      </w:r>
      <w:r>
        <w:t xml:space="preserve"> </w:t>
      </w:r>
      <w:r>
        <w:t xml:space="preserve">verificando poi che la frase di questa relazione lo riporti alla lettera. Il documento si</w:t>
      </w:r>
      <w:r>
        <w:t xml:space="preserve"> </w:t>
      </w:r>
      <w:r>
        <w:t xml:space="preserve">rigenera da zero con</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In una pagina</w:t>
      </w:r>
    </w:p>
    <w:p>
      <w:pPr>
        <w:pStyle w:val="IndiceDue"/>
      </w:pPr>
      <w:r>
        <w:t xml:space="preserve">La risposta al brief, in breve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3.2 Dentro l’inattività: le casalinghe ventenni, nubili</w:t>
      </w:r>
    </w:p>
    <w:p>
      <w:pPr>
        <w:pStyle w:val="IndiceDue"/>
      </w:pPr>
      <w:r>
        <w:t xml:space="preserve">3.3 La fuga ha un tempismo di genere: la finestra 22-25</w:t>
      </w:r>
    </w:p>
    <w:p>
      <w:pPr>
        <w:pStyle w:val="IndiceUno"/>
      </w:pPr>
      <w:r>
        <w:t xml:space="preserve">4. Titolo e condizione: la domanda a cui i dati comunali non rispondono</w:t>
      </w:r>
    </w:p>
    <w:p>
      <w:pPr>
        <w:pStyle w:val="IndiceUno"/>
      </w:pPr>
      <w:r>
        <w:t xml:space="preserve">5. Il pendolarismo verso Palermo: si esce per studiare, non per lavorare</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era una lettura sbagliata di un numero giusto</w:t>
      </w:r>
    </w:p>
    <w:p>
      <w:pPr>
        <w:pStyle w:val="IndiceDue"/>
      </w:pPr>
      <w:r>
        <w:t xml:space="preserve">5.4 Il treno è il canale femminile — e il vincolo non è l’offerta di trasporto</w:t>
      </w:r>
    </w:p>
    <w:p>
      <w:pPr>
        <w:pStyle w:val="IndiceDue"/>
      </w:pPr>
      <w:r>
        <w:t xml:space="preserve">5.5 Il bersaglio, in persone</w:t>
      </w:r>
    </w:p>
    <w:p>
      <w:pPr>
        <w:pStyle w:val="IndiceUno"/>
      </w:pPr>
      <w:r>
        <w:t xml:space="preserve">6. La fuga, contata: il denominatore si muove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Questa relazione accompagna i tre deliverable richiesti dal</w:t>
      </w:r>
      <w:r>
        <w:t xml:space="preserve"> </w:t>
      </w:r>
      <w:r>
        <w:t xml:space="preserve">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docs/POLICY_PONTE_19.md</w:t>
      </w:r>
      <w:r>
        <w:t xml:space="preserve">). Le decisioni editoriali che questa relazione non</w:t>
      </w:r>
      <w:r>
        <w:t xml:space="preserve"> </w:t>
      </w:r>
      <w:r>
        <w:t xml:space="preserve">rimette in discussione - tesi, figure candidate, limiti dichiarati - stanno in</w:t>
      </w:r>
      <w:r>
        <w:t xml:space="preserve"> </w:t>
      </w:r>
      <w:r>
        <w:rPr>
          <w:rStyle w:val="VerbatimChar"/>
        </w:rPr>
        <w:t xml:space="preserve">docs/RELAZIONE.md</w:t>
      </w:r>
      <w:r>
        <w:t xml:space="preserve">.</w:t>
      </w:r>
    </w:p>
    <w:p>
      <w:pPr>
        <w:pStyle w:val="BodyText"/>
      </w:pPr>
      <w:r>
        <w:t xml:space="preserve">Regola che vale in ogni riga:</w:t>
      </w:r>
      <w:r>
        <w:t xml:space="preserve"> </w:t>
      </w:r>
      <w:r>
        <w:rPr>
          <w:b/>
          <w:bCs/>
        </w:rPr>
        <w:t xml:space="preserve">nessuna cifra è scritta a mano</w:t>
      </w:r>
      <w:r>
        <w:t xml:space="preserve">. Ogni numero citato</w:t>
      </w:r>
      <w:r>
        <w:t xml:space="preserve"> </w:t>
      </w:r>
      <w:r>
        <w:t xml:space="preserve">punta alla cella di notebook o al file di</w:t>
      </w:r>
      <w:r>
        <w:t xml:space="preserve"> </w:t>
      </w:r>
      <w:r>
        <w:rPr>
          <w:rStyle w:val="VerbatimChar"/>
        </w:rPr>
        <w:t xml:space="preserve">data/processed/</w:t>
      </w:r>
      <w:r>
        <w:t xml:space="preserve"> </w:t>
      </w:r>
      <w:r>
        <w:t xml:space="preserve">che lo produce, e si</w:t>
      </w:r>
      <w:r>
        <w:t xml:space="preserve"> </w:t>
      </w:r>
      <w:r>
        <w:t xml:space="preserve">rigenera eseguendo la pipeline (sezione 1). Dove un numero ha una cautela, la cautela</w:t>
      </w:r>
      <w:r>
        <w:t xml:space="preserve"> </w:t>
      </w:r>
      <w:r>
        <w:t xml:space="preserve">sta accanto al numero, non in fondo.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Bagheria produce titoli e non li converte. La conversione fallisce soprattutto sulle</w:t>
      </w:r>
      <w:r>
        <w:rPr>
          <w:b/>
          <w:bCs/>
        </w:rPr>
        <w:t xml:space="preserve"> </w:t>
      </w:r>
      <w:r>
        <w:rPr>
          <w:b/>
          <w:bCs/>
        </w:rPr>
        <w:t xml:space="preserve">ragazze (più istruite del panel, 8,2% di occupazione, il minimo dei quattro territori</w:t>
      </w:r>
      <w:r>
        <w:rPr>
          <w:b/>
          <w:bCs/>
        </w:rPr>
        <w:t xml:space="preserve"> </w:t>
      </w:r>
      <w:r>
        <w:rPr>
          <w:b/>
          <w:bCs/>
        </w:rPr>
        <w:t xml:space="preserve">in 6 anni su 6), in una finestra d’età stretta (22-25, ritenzione 96,3 contro ~103 in</w:t>
      </w:r>
      <w:r>
        <w:rPr>
          <w:b/>
          <w:bCs/>
        </w:rPr>
        <w:t xml:space="preserve"> </w:t>
      </w:r>
      <w:r>
        <w:rPr>
          <w:b/>
          <w:bCs/>
        </w:rPr>
        <w:t xml:space="preserve">Italia), e il vincolo di mobilità ha lo stesso segno. Chi resta fuori non è chi cerca</w:t>
      </w:r>
      <w:r>
        <w:rPr>
          <w:b/>
          <w:bCs/>
        </w:rPr>
        <w:t xml:space="preserve"> </w:t>
      </w:r>
      <w:r>
        <w:rPr>
          <w:b/>
          <w:bCs/>
        </w:rPr>
        <w:t xml:space="preserve">lavoro: il 70,6% dei giovani fuori da lavoro e studio non cerca nemmeno.</w:t>
      </w:r>
    </w:p>
    <w:p>
      <w:pPr>
        <w:pStyle w:val="FirstParagraph"/>
      </w:pPr>
      <w:r>
        <w:t xml:space="preserve">I tre thread di analisi - genere, educazione, mobilità - non danno tre diagnosi diverse:</w:t>
      </w:r>
      <w:r>
        <w:t xml:space="preserve"> </w:t>
      </w:r>
      <w:r>
        <w:t xml:space="preserve">danno</w:t>
      </w:r>
      <w:r>
        <w:t xml:space="preserve"> </w:t>
      </w:r>
      <w:r>
        <w:rPr>
          <w:b/>
          <w:bCs/>
        </w:rPr>
        <w:t xml:space="preserve">una diagnosi in tre punti della stessa catena</w:t>
      </w:r>
      <w:r>
        <w:t xml:space="preserve">, formazione → conversione →</w:t>
      </w:r>
      <w:r>
        <w:t xml:space="preserve"> </w:t>
      </w:r>
      <w:r>
        <w:t xml:space="preserve">permanenza. Ogni anello viene da una tavola diversa, quindi nessuno è la riformulazione</w:t>
      </w:r>
      <w:r>
        <w:t xml:space="preserve"> </w:t>
      </w:r>
      <w:r>
        <w:t xml:space="preserve">di un altro.</w:t>
      </w:r>
    </w:p>
    <w:p>
      <w:pPr>
        <w:pStyle w:val="BodyText"/>
      </w:pPr>
      <w:r>
        <w:t xml:space="preserve">La proposta (sezione 7) è un servizio comunale di transizione e riattivazione con due</w:t>
      </w:r>
      <w:r>
        <w:t xml:space="preserve"> </w:t>
      </w:r>
      <w:r>
        <w:t xml:space="preserve">finestre di ingaggio e un target esplicito sul genere. E ha un vincolo di misura che la</w:t>
      </w:r>
      <w:r>
        <w:t xml:space="preserve"> </w:t>
      </w:r>
      <w:r>
        <w:t xml:space="preserve">distingue da un auspicio:</w:t>
      </w:r>
    </w:p>
    <w:p>
      <w:pPr>
        <w:pStyle w:val="BlockText"/>
      </w:pPr>
      <w:r>
        <w:rPr>
          <w:b/>
          <w:bCs/>
        </w:rPr>
        <w:t xml:space="preserve">La platea femminile 15-24 è già nata e cala del 15,5% al 2034. Le</w:t>
      </w:r>
      <w:r>
        <w:rPr>
          <w:b/>
          <w:bCs/>
        </w:rPr>
        <w:t xml:space="preserve"> </w:t>
      </w:r>
      <w:r>
        <w:rPr>
          <w:b/>
          <w:bCs/>
        </w:rPr>
        <w:t xml:space="preserve">“+40 occupate”</w:t>
      </w:r>
      <w:r>
        <w:rPr>
          <w:b/>
          <w:bCs/>
        </w:rPr>
        <w:t xml:space="preserve"> </w:t>
      </w:r>
      <w:r>
        <w:rPr>
          <w:b/>
          <w:bCs/>
        </w:rPr>
        <w:t xml:space="preserve">valgono +18 nel 2029 e −2 nel 2034 (fig09). Cioè il KPI va scritto in tasso, non in</w:t>
      </w:r>
      <w:r>
        <w:rPr>
          <w:b/>
          <w:bCs/>
        </w:rPr>
        <w:t xml:space="preserve"> </w:t>
      </w:r>
      <w:r>
        <w:rPr>
          <w:b/>
          <w:bCs/>
        </w:rPr>
        <w:t xml:space="preserve">teste, un dettaglio che di solito nessuno vede prima di scriverlo male.</w:t>
      </w:r>
    </w:p>
    <w:bookmarkStart w:id="10" w:name="la-risposta-al-brief-in-breve"/>
    <w:p>
      <w:pPr>
        <w:pStyle w:val="Heading2"/>
      </w:pPr>
      <w:r>
        <w:t xml:space="preserve">La risposta al brief,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della locandina</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w:t>
            </w:r>
            <w:r>
              <w:t xml:space="preserve">con intervalli di confidenza, percentili sui 390 comuni siciliani e due gruppi di comuni pari dichiarati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w:t>
            </w:r>
            <w:r>
              <w:t xml:space="preserve">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w:t>
            </w:r>
            <w:r>
              <w:t xml:space="preserve">l’incrocio non esiste nei dati comunali (verificato); risolto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w:t>
            </w:r>
            <w:r>
              <w:t xml:space="preserve">misurato con la matrice origine-destinazione ISTAT:</w:t>
            </w:r>
            <w:r>
              <w:t xml:space="preserve"> </w:t>
            </w:r>
            <w:r>
              <w:rPr>
                <w:b/>
                <w:bCs/>
              </w:rPr>
              <w:t xml:space="preserve">91,1%</w:t>
            </w:r>
            <w:r>
              <w:t xml:space="preserve"> </w:t>
            </w:r>
            <w:r>
              <w:t xml:space="preserve">di chi esce per studio e</w:t>
            </w:r>
            <w:r>
              <w:t xml:space="preserve"> </w:t>
            </w:r>
            <w:r>
              <w:rPr>
                <w:b/>
                <w:bCs/>
              </w:rPr>
              <w:t xml:space="preserve">65,1%</w:t>
            </w:r>
            <w:r>
              <w:t xml:space="preserve"> </w:t>
            </w:r>
            <w:r>
              <w:t xml:space="preserve">di chi esce per lavoro va a Palermo,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Solo in parte.</w:t>
            </w:r>
            <w:r>
              <w:t xml:space="preserve"> </w:t>
            </w:r>
            <w:r>
              <w:t xml:space="preserve">non calcolabile a livello comunale: due misure etichettate, mai fuse</w:t>
            </w:r>
          </w:p>
        </w:tc>
        <w:tc>
          <w:tcPr/>
          <w:p>
            <w:pPr>
              <w:pStyle w:val="Compact"/>
            </w:pPr>
            <w:r>
              <w:t xml:space="preserve">sezione 2</w:t>
            </w:r>
          </w:p>
        </w:tc>
      </w:tr>
      <w:tr>
        <w:tc>
          <w:tcPr/>
          <w:p>
            <w:pPr>
              <w:pStyle w:val="Compact"/>
            </w:pPr>
            <w:r>
              <w:t xml:space="preserve">Proposta di intervento</w:t>
            </w:r>
          </w:p>
        </w:tc>
        <w:tc>
          <w:tcPr/>
          <w:p>
            <w:pPr>
              <w:pStyle w:val="Compact"/>
            </w:pPr>
            <w:r>
              <w:rPr>
                <w:b/>
                <w:bCs/>
              </w:rPr>
              <w:t xml:space="preserve">Sì.</w:t>
            </w:r>
            <w:r>
              <w:t xml:space="preserve"> </w:t>
            </w:r>
            <w:r>
              <w:t xml:space="preserve">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w:t>
            </w:r>
            <w:r>
              <w:t xml:space="preserve">sensore</w:t>
            </w:r>
            <w:r>
              <w:t xml:space="preserve"> </w:t>
            </w:r>
            <w:r>
              <w:rPr>
                <w:rStyle w:val="VerbatimChar"/>
              </w:rPr>
              <w:t xml:space="preserve">nbconvert</w:t>
            </w:r>
            <w:r>
              <w:t xml:space="preserve"> </w:t>
            </w:r>
            <w:r>
              <w:t xml:space="preserve">verde sui quattro notebook; 743 controlli indipendenti PASS</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w:t>
            </w:r>
            <w:r>
              <w:t xml:space="preserve">tre candidate + sei di supporto</w:t>
            </w:r>
          </w:p>
        </w:tc>
        <w:tc>
          <w:tcPr/>
          <w:p>
            <w:pPr>
              <w:pStyle w:val="Compact"/>
            </w:pPr>
            <w:r>
              <w:t xml:space="preserve">sezione 8</w:t>
            </w:r>
          </w:p>
        </w:tc>
      </w:tr>
    </w:tbl>
    <w:p>
      <w:pPr>
        <w:pStyle w:val="BodyText"/>
      </w:pPr>
      <w:r>
        <w:t xml:space="preserve">Le risposte parziali non sono lavori a metà: sono i punti in cui i dati pubblici finiscono, dichiarati</w:t>
      </w:r>
      <w:r>
        <w:t xml:space="preserve"> </w:t>
      </w:r>
      <w:r>
        <w:t xml:space="preserve">invece che aggirati. In un concorso sulla cultura del dato, sapere dove i dati non</w:t>
      </w:r>
      <w:r>
        <w:t xml:space="preserve"> </w:t>
      </w:r>
      <w:r>
        <w:t xml:space="preserve">arrivano è parte della risposta, ed è uno dei motivi della proposta, che quei dati</w:t>
      </w:r>
      <w:r>
        <w:t xml:space="preserve"> </w:t>
      </w:r>
      <w:r>
        <w:t xml:space="preserve">mancanti li produce (sezione 7.5).</w:t>
      </w:r>
    </w:p>
    <w:p>
      <w:pPr>
        <w:pStyle w:val="BlockText"/>
      </w:pPr>
      <w:r>
        <w:rPr>
          <w:b/>
          <w:bCs/>
        </w:rPr>
        <w:t xml:space="preserve">Una risposta parziale è diventata piena, e vale la pena dire come.</w:t>
      </w:r>
      <w:r>
        <w:t xml:space="preserve"> </w:t>
      </w:r>
      <w:r>
        <w:t xml:space="preserve">Fino al 2026-08-28 questa relazione</w:t>
      </w:r>
      <w:r>
        <w:t xml:space="preserve"> </w:t>
      </w:r>
      <w:r>
        <w:t xml:space="preserve">dichiarava il pendolarismo verso Palermo non misurabile. Lo era con le fonti allora</w:t>
      </w:r>
      <w:r>
        <w:t xml:space="preserve"> </w:t>
      </w:r>
      <w:r>
        <w:t xml:space="preserve">usate — il censimento permanente pubblica solo il «fuori comune» aggregato — ma non in</w:t>
      </w:r>
      <w:r>
        <w:t xml:space="preserve"> </w:t>
      </w:r>
      <w:r>
        <w:t xml:space="preserve">generale: la matrice origine-destinazione di ISTAT dà il comune di arrivo, e nessuno era</w:t>
      </w:r>
      <w:r>
        <w:t xml:space="preserve"> </w:t>
      </w:r>
      <w:r>
        <w:t xml:space="preserve">andato a cercarla. Un limite dichiarato resta un’ipotesi sulle fonti, non un fatto sul</w:t>
      </w:r>
      <w:r>
        <w:t xml:space="preserve"> </w:t>
      </w:r>
      <w:r>
        <w:t xml:space="preserve">mondo: va riaperto quando qualcuno ha tempo di riaprirlo (sezione 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ambiente pulito:</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pipeline.fetch           </w:t>
      </w:r>
      <w:r>
        <w:rPr>
          <w:rStyle w:val="CommentTok"/>
        </w:rPr>
        <w:t xml:space="preserve"># scarica i raw da tutte le fonti</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notebooks/mobilita.ipynb</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743 controlli indipendenti</w:t>
      </w:r>
    </w:p>
    <w:p>
      <w:pPr>
        <w:pStyle w:val="FirstParagraph"/>
      </w:pPr>
      <w:r>
        <w:t xml:space="preserve">L’ordine non è arbitrario:</w:t>
      </w:r>
      <w:r>
        <w:t xml:space="preserve"> </w:t>
      </w:r>
      <w:r>
        <w:rPr>
          <w:rStyle w:val="VerbatimChar"/>
        </w:rPr>
        <w:t xml:space="preserve">mobilita.ipynb</w:t>
      </w:r>
      <w:r>
        <w:t xml:space="preserve"> </w:t>
      </w:r>
      <w:r>
        <w:t xml:space="preserve">legge due tavole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 quindi va</w:t>
      </w:r>
      <w:r>
        <w:t xml:space="preserve"> </w:t>
      </w:r>
      <w:r>
        <w:t xml:space="preserve">eseguito dopo. Gli altri notebook sono indipendenti fra loro.</w:t>
      </w:r>
    </w:p>
    <w:p>
      <w:pPr>
        <w:pStyle w:val="BodyText"/>
      </w:pPr>
      <w:r>
        <w:t xml:space="preserve">Tre proprietà non decorative:</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vivono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ricalcola</w:t>
      </w:r>
      <w:r>
        <w:t xml:space="preserve"> </w:t>
      </w:r>
      <w:r>
        <w:rPr>
          <w:b/>
          <w:bCs/>
        </w:rPr>
        <w:t xml:space="preserve">743 numeri chiave</w:t>
      </w:r>
      <w:r>
        <w:rPr>
          <w:b/>
          <w:bCs/>
        </w:rPr>
        <w:t xml:space="preserve"> </w:t>
      </w:r>
      <w:r>
        <w:rPr>
          <w:b/>
          <w:bCs/>
        </w:rPr>
        <w:t xml:space="preserve">direttamente dai raw con implementazioni alternative</w:t>
      </w:r>
      <w:r>
        <w:t xml:space="preserve"> </w:t>
      </w:r>
      <w:r>
        <w:t xml:space="preserve">(intervalli di Wilson/Newcombe</w:t>
      </w:r>
      <w:r>
        <w:t xml:space="preserve"> </w:t>
      </w:r>
      <w:r>
        <w:t xml:space="preserve">riscritti, modello lineare di probabilità in forma analitica, matching rifatto, coorti</w:t>
      </w:r>
      <w:r>
        <w:t xml:space="preserve"> </w:t>
      </w:r>
      <w:r>
        <w:t xml:space="preserve">dalle classi quinquennali, e un riparsing proprio della matrice del pendolarismo letta</w:t>
      </w:r>
      <w:r>
        <w:t xml:space="preserve"> </w:t>
      </w:r>
      <w:r>
        <w:t xml:space="preserve">in streaming dagli zip): 743/743 PASS al 2026-08-29. Se un raw cambia, il pin</w:t>
      </w:r>
      <w:r>
        <w:t xml:space="preserve"> </w:t>
      </w:r>
      <w:r>
        <w:t xml:space="preserve">fallisce finché notebook e attesi non vengono riallineati.</w:t>
      </w:r>
    </w:p>
    <w:p>
      <w:pPr>
        <w:pStyle w:val="Compact"/>
        <w:numPr>
          <w:ilvl w:val="0"/>
          <w:numId w:val="1001"/>
        </w:numPr>
      </w:pPr>
      <w:r>
        <w:rPr>
          <w:b/>
          <w:bCs/>
        </w:rPr>
        <w:t xml:space="preserve">Separazione dei ruoli.</w:t>
      </w:r>
      <w:r>
        <w:t xml:space="preserve"> </w:t>
      </w:r>
      <w:r>
        <w:t xml:space="preserve">Python trasforma, R disegna: l’interfaccia sono i CSV di</w:t>
      </w:r>
      <w:r>
        <w:t xml:space="preserve"> </w:t>
      </w:r>
      <w:r>
        <w:rPr>
          <w:rStyle w:val="VerbatimChar"/>
        </w:rPr>
        <w:t xml:space="preserve">data/processed/</w:t>
      </w:r>
      <w:r>
        <w:t xml:space="preserve">, e nessuna logica di trasformazione vive negli script delle figure.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w:t>
      </w:r>
      <w:r>
        <w:t xml:space="preserve"> </w:t>
      </w:r>
      <w:r>
        <w:t xml:space="preserve">Italia (</w:t>
      </w:r>
      <w:r>
        <w:rPr>
          <w:rStyle w:val="VerbatimChar"/>
        </w:rPr>
        <w:t xml:space="preserve">IT</w:t>
      </w:r>
      <w:r>
        <w:t xml:space="preserve">); più i</w:t>
      </w:r>
      <w:r>
        <w:t xml:space="preserve"> </w:t>
      </w:r>
      <w:r>
        <w:rPr>
          <w:b/>
          <w:bCs/>
        </w:rPr>
        <w:t xml:space="preserve">390 comuni siciliani</w:t>
      </w:r>
      <w:r>
        <w:t xml:space="preserve"> </w:t>
      </w:r>
      <w:r>
        <w:t xml:space="preserve">per i percentili e due gruppi di comuni</w:t>
      </w:r>
      <w:r>
        <w:t xml:space="preserve"> </w:t>
      </w:r>
      <w:r>
        <w:t xml:space="preserve">pari (sezione 2.4).</w:t>
      </w:r>
    </w:p>
    <w:p>
      <w:pPr>
        <w:pStyle w:val="Compact"/>
        <w:numPr>
          <w:ilvl w:val="0"/>
          <w:numId w:val="1002"/>
        </w:numPr>
      </w:pPr>
      <w:r>
        <w:rPr>
          <w:b/>
          <w:bCs/>
        </w:rPr>
        <w:t xml:space="preserve">Fasce d’età</w:t>
      </w:r>
      <w:r>
        <w:t xml:space="preserve">: dipendono dal dominio, perché le fonti non danno il 15-34 ovunque.</w:t>
      </w:r>
      <w:r>
        <w:t xml:space="preserve"> </w:t>
      </w:r>
      <w:r>
        <w:t xml:space="preserve">Lavoro e istruzione:</w:t>
      </w:r>
      <w:r>
        <w:t xml:space="preserve"> </w:t>
      </w:r>
      <w:r>
        <w:rPr>
          <w:b/>
          <w:bCs/>
        </w:rPr>
        <w:t xml:space="preserve">15-24</w:t>
      </w:r>
      <w:r>
        <w:t xml:space="preserve"> </w:t>
      </w:r>
      <w:r>
        <w:t xml:space="preserve">(unica classe giovanile comunale del censimento</w:t>
      </w:r>
      <w:r>
        <w:t xml:space="preserve"> </w:t>
      </w:r>
      <w:r>
        <w:t xml:space="preserve">permanente); istruzione da tavola:</w:t>
      </w:r>
      <w:r>
        <w:t xml:space="preserve"> </w:t>
      </w:r>
      <w:r>
        <w:rPr>
          <w:b/>
          <w:bCs/>
        </w:rPr>
        <w:t xml:space="preserve">9-24</w:t>
      </w:r>
      <w:r>
        <w:t xml:space="preserve"> </w:t>
      </w:r>
      <w:r>
        <w:t xml:space="preserve">(fascia della fonte, sempre dichiarata);</w:t>
      </w:r>
      <w:r>
        <w:t xml:space="preserve"> </w:t>
      </w:r>
      <w:r>
        <w:t xml:space="preserve">demografia:</w:t>
      </w:r>
      <w:r>
        <w:t xml:space="preserve"> </w:t>
      </w:r>
      <w:r>
        <w:rPr>
          <w:b/>
          <w:bCs/>
        </w:rPr>
        <w:t xml:space="preserve">15-34</w:t>
      </w:r>
      <w:r>
        <w:t xml:space="preserve"> </w:t>
      </w:r>
      <w:r>
        <w:t xml:space="preserve">esatto, dalle età singole. Ogni figura dichiara la fascia.</w:t>
      </w:r>
    </w:p>
    <w:p>
      <w:pPr>
        <w:pStyle w:val="Compact"/>
        <w:numPr>
          <w:ilvl w:val="0"/>
          <w:numId w:val="1002"/>
        </w:numPr>
      </w:pPr>
      <w:r>
        <w:rPr>
          <w:b/>
          <w:bCs/>
        </w:rPr>
        <w:t xml:space="preserve">Anni</w:t>
      </w:r>
      <w:r>
        <w:t xml:space="preserve">: censimento permanente 2018-2024 (il</w:t>
      </w:r>
      <w:r>
        <w:t xml:space="preserve"> </w:t>
      </w:r>
      <w:r>
        <w:rPr>
          <w:b/>
          <w:bCs/>
        </w:rPr>
        <w:t xml:space="preserve">2020 manca</w:t>
      </w:r>
      <w:r>
        <w:t xml:space="preserve"> </w:t>
      </w:r>
      <w:r>
        <w:t xml:space="preserve">sulla classe 15-24 ed è</w:t>
      </w:r>
      <w:r>
        <w:t xml:space="preserve"> </w:t>
      </w:r>
      <w:r>
        <w:t xml:space="preserve">lasciato mancante, mai interpolato); 8milaCensus 1991/2001/2011 come fonte storica</w:t>
      </w:r>
      <w:r>
        <w:t xml:space="preserve"> </w:t>
      </w:r>
      <w:r>
        <w:t xml:space="preserve">separata, sempre etichettata. Fra 2019 e 2021 c’è una</w:t>
      </w:r>
      <w:r>
        <w:t xml:space="preserve"> </w:t>
      </w:r>
      <w:r>
        <w:rPr>
          <w:b/>
          <w:bCs/>
        </w:rPr>
        <w:t xml:space="preserve">rottura di misura</w:t>
      </w:r>
      <w:r>
        <w:t xml:space="preserve"> </w:t>
      </w:r>
      <w:r>
        <w:t xml:space="preserve">sulla</w:t>
      </w:r>
      <w:r>
        <w:t xml:space="preserve"> </w:t>
      </w:r>
      <w:r>
        <w:t xml:space="preserve">componente «in cerca di occupazione»: i gap fra territori restano confrontabili, i</w:t>
      </w:r>
      <w:r>
        <w:t xml:space="preserve"> </w:t>
      </w:r>
      <w:r>
        <w:t xml:space="preserve">livelli delle componenti no (</w:t>
      </w:r>
      <w:r>
        <w:rPr>
          <w:rStyle w:val="VerbatimChar"/>
        </w:rPr>
        <w:t xml:space="preserve">docs/sources.md</w:t>
      </w:r>
      <w:r>
        <w:t xml:space="preserve"> </w:t>
      </w:r>
      <w:r>
        <w:t xml:space="preserve">§8).</w:t>
      </w:r>
    </w:p>
    <w:p>
      <w:pPr>
        <w:pStyle w:val="Compact"/>
        <w:numPr>
          <w:ilvl w:val="0"/>
          <w:numId w:val="1002"/>
        </w:numPr>
      </w:pPr>
      <w:r>
        <w:rPr>
          <w:b/>
          <w:bCs/>
        </w:rPr>
        <w:t xml:space="preserve">NEET</w:t>
      </w:r>
      <w:r>
        <w:t xml:space="preserve">: il NEET 15-34 della locandina</w:t>
      </w:r>
      <w:r>
        <w:t xml:space="preserve"> </w:t>
      </w:r>
      <w:r>
        <w:rPr>
          <w:b/>
          <w:bCs/>
        </w:rPr>
        <w:t xml:space="preserve">non è calcolabile a livello comunale</w:t>
      </w:r>
      <w:r>
        <w:t xml:space="preserve"> </w:t>
      </w:r>
      <w:r>
        <w:t xml:space="preserve">- la</w:t>
      </w:r>
      <w:r>
        <w:t xml:space="preserve"> </w:t>
      </w:r>
      <w:r>
        <w:t xml:space="preserve">fascia non esiste nei dati. Si usano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istruzione»</w:t>
      </w:r>
      <w:r>
        <w:rPr>
          <w:b/>
          <w:bCs/>
        </w:rPr>
        <w:t xml:space="preserve"> </w:t>
      </w:r>
      <w:r>
        <w:rPr>
          <w:b/>
          <w:bCs/>
        </w:rPr>
        <w:t xml:space="preserve">15-24, 2018-2024</w:t>
      </w:r>
      <w:r>
        <w:t xml:space="preserve"> </w:t>
      </w:r>
      <w:r>
        <w:t xml:space="preserve">(censimento permanente). Fasce e definizioni diverse: affiancate,</w:t>
      </w:r>
      <w:r>
        <w:t xml:space="preserve"> </w:t>
      </w:r>
      <w:r>
        <w:t xml:space="preserve">mai in serie.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delle cifre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con un manifesto (</w:t>
      </w:r>
      <w:r>
        <w:rPr>
          <w:rStyle w:val="VerbatimChar"/>
        </w:rPr>
        <w:t xml:space="preserve">data/raw/manifest.csv</w:t>
      </w:r>
      <w:r>
        <w:t xml:space="preserve">) che registra per ogni file</w:t>
      </w:r>
      <w:r>
        <w:t xml:space="preserve"> </w:t>
      </w:r>
      <w:r>
        <w:t xml:space="preserve">l’istante del download e l’URL esatto. Le fonti effettivamente entrate nell’analisi sono</w:t>
      </w:r>
      <w:r>
        <w:t xml:space="preserve"> </w:t>
      </w:r>
      <w:r>
        <w:t xml:space="preserve">sei, più due ricognizioni chiuse con esito negativo e dichiarate come tali.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w:t>
            </w:r>
          </w:p>
        </w:tc>
        <w:tc>
          <w:tcPr/>
          <w:p>
            <w:pPr>
              <w:pStyle w:val="Compact"/>
            </w:pPr>
            <w:r>
              <w:t xml:space="preserve">Fotografia recente, serie annuale, tutti gli incroci di genere</w:t>
            </w:r>
          </w:p>
        </w:tc>
      </w:tr>
      <w:tr>
        <w:tc>
          <w:tcPr/>
          <w:p>
            <w:pPr>
              <w:pStyle w:val="Compact"/>
            </w:pPr>
            <w:r>
              <w:rPr>
                <w:b/>
                <w:bCs/>
              </w:rPr>
              <w:t xml:space="preserve">ISTAT —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 Matrici del pendolarismo</w:t>
            </w:r>
          </w:p>
        </w:tc>
        <w:tc>
          <w:tcPr/>
          <w:p>
            <w:pPr>
              <w:pStyle w:val="Compact"/>
            </w:pPr>
            <w:r>
              <w:t xml:space="preserve">Origine-destinazione comune per comune, con sesso, motivo, mezzo, fascia oraria e durata</w:t>
            </w:r>
          </w:p>
        </w:tc>
        <w:tc>
          <w:tcPr/>
          <w:p>
            <w:pPr>
              <w:pStyle w:val="Compact"/>
            </w:pPr>
            <w:r>
              <w:t xml:space="preserve">1991, 2001, 2011; solo lavoro nel 2021</w:t>
            </w:r>
          </w:p>
        </w:tc>
        <w:tc>
          <w:tcPr/>
          <w:p>
            <w:pPr>
              <w:pStyle w:val="Compact"/>
            </w:pPr>
            <w:r>
              <w:t xml:space="preserve">La destinazione degli spostamenti (sezione 5)</w:t>
            </w:r>
          </w:p>
        </w:tc>
      </w:tr>
      <w:tr>
        <w:tc>
          <w:tcPr/>
          <w:p>
            <w:pPr>
              <w:pStyle w:val="Compact"/>
            </w:pPr>
            <w:r>
              <w:rPr>
                <w:b/>
                <w:bCs/>
              </w:rPr>
              <w:t xml:space="preserve">ISTAT —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w:t>
            </w:r>
          </w:p>
        </w:tc>
        <w:tc>
          <w:tcPr/>
          <w:p>
            <w:pPr>
              <w:pStyle w:val="Compact"/>
            </w:pPr>
            <w:r>
              <w:t xml:space="preserve">Servizi al lavoro</w:t>
            </w:r>
          </w:p>
        </w:tc>
        <w:tc>
          <w:tcPr/>
          <w:p>
            <w:pPr>
              <w:pStyle w:val="Compact"/>
            </w:pPr>
            <w:r>
              <w:t xml:space="preserve">—</w:t>
            </w:r>
          </w:p>
        </w:tc>
        <w:tc>
          <w:tcPr/>
          <w:p>
            <w:pPr>
              <w:pStyle w:val="Compact"/>
            </w:pPr>
            <w:r>
              <w:rPr>
                <w:b/>
                <w:bCs/>
              </w:rPr>
              <w:t xml:space="preserve">Non disponibile</w:t>
            </w:r>
            <w:r>
              <w:t xml:space="preserve"> </w:t>
            </w:r>
            <w:r>
              <w:t xml:space="preserve">al momento del run (HTTP 502): esclusa da ogni conclusione</w:t>
            </w:r>
          </w:p>
        </w:tc>
      </w:tr>
    </w:tbl>
    <w:p>
      <w:pPr>
        <w:pStyle w:val="BodyText"/>
      </w:pPr>
      <w:r>
        <w:t xml:space="preserve">Due precisazioni che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w:t>
      </w:r>
      <w:r>
        <w:t xml:space="preserve">con le query eseguite e i conteggi ottenuti, così che chi rifà il</w:t>
      </w:r>
      <w:r>
        <w:t xml:space="preserve"> </w:t>
      </w:r>
      <w:r>
        <w:t xml:space="preserve">lavoro sappia dove non conviene tornare. Il portale del Comune di Palermo, per esempio,</w:t>
      </w:r>
      <w:r>
        <w:t xml:space="preserve"> </w:t>
      </w:r>
      <w:r>
        <w:t xml:space="preserve">non è un CKAN: espone il catalogo in DCAT Turtle, e cercarvi le API standard restituisce</w:t>
      </w:r>
      <w:r>
        <w:t xml:space="preserve"> </w:t>
      </w:r>
      <w:r>
        <w:t xml:space="preserve">404. Sono dettagli operativi, ma sono la differenza fra «non c’è» e «non l’abbiamo</w:t>
      </w:r>
      <w:r>
        <w:t xml:space="preserve"> </w:t>
      </w:r>
      <w:r>
        <w:t xml:space="preserve">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le definizioni non coincidono; fra 2019 e 2021</w:t>
      </w:r>
      <w:r>
        <w:t xml:space="preserve"> </w:t>
      </w:r>
      <w:r>
        <w:t xml:space="preserve">c’è per di più una rottura di misura sulla componente «in cerca di occupazione». Ogni</w:t>
      </w:r>
      <w:r>
        <w:t xml:space="preserve"> </w:t>
      </w:r>
      <w:r>
        <w:t xml:space="preserve">volta che le due fonti compaiono insieme, compaiono affiancate e etichettate con l’anno,</w:t>
      </w:r>
      <w:r>
        <w:t xml:space="preserve"> </w:t>
      </w:r>
      <w:r>
        <w:t xml:space="preserve">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in un piccolo insieme di</w:t>
      </w:r>
      <w:r>
        <w:t xml:space="preserve"> </w:t>
      </w:r>
      <w:r>
        <w:rPr>
          <w:b/>
          <w:bCs/>
        </w:rPr>
        <w:t xml:space="preserve">tabelle lunghe più</w:t>
      </w:r>
      <w:r>
        <w:rPr>
          <w:b/>
          <w:bCs/>
        </w:rPr>
        <w:t xml:space="preserve"> </w:t>
      </w:r>
      <w:r>
        <w:rPr>
          <w:b/>
          <w:bCs/>
        </w:rPr>
        <w:t xml:space="preserve">tabelle di lookup</w:t>
      </w:r>
      <w:r>
        <w:t xml:space="preserve">, e null’altro: nessuna scelta di analisi è cotta dentro</w:t>
      </w:r>
      <w:r>
        <w:t xml:space="preserve"> </w:t>
      </w:r>
      <w:r>
        <w:t xml:space="preserve">l’interfaccia, ogni thread filtra ciò che gli serve. È la ragione per cui tre analisi</w:t>
      </w:r>
      <w:r>
        <w:t xml:space="preserve"> </w:t>
      </w:r>
      <w:r>
        <w:t xml:space="preserve">indipendenti restano confrontabili.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tutte in</w:t>
      </w:r>
      <w:r>
        <w:t xml:space="preserve"> </w:t>
      </w:r>
      <w:r>
        <w:rPr>
          <w:rStyle w:val="VerbatimChar"/>
        </w:rPr>
        <w:t xml:space="preserve">pipeline/</w:t>
      </w:r>
      <w:r>
        <w:t xml:space="preserve">, mai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tutto viene portato a sei cifre con</w:t>
      </w:r>
      <w:r>
        <w:t xml:space="preserve"> </w:t>
      </w:r>
      <w:r>
        <w:t xml:space="preserve">lo zero iniziale, così le tabelle si uniscono senza mappature. Sicilia e Italia restano</w:t>
      </w:r>
      <w:r>
        <w:t xml:space="preserve"> </w:t>
      </w:r>
      <w:r>
        <w:t xml:space="preserve">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w:t>
      </w:r>
      <w:r>
        <w:t xml:space="preserve"> </w:t>
      </w:r>
      <w:r>
        <w:t xml:space="preserve">Sistema Locale del Lavoro e un Distretto che portano lo stesso nome: sono territori</w:t>
      </w:r>
      <w:r>
        <w:t xml:space="preserve"> </w:t>
      </w:r>
      <w:r>
        <w:t xml:space="preserve">diversi dal comune, ed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viene sommata</w:t>
      </w:r>
      <w:r>
        <w:t xml:space="preserve"> </w:t>
      </w:r>
      <w:r>
        <w:t xml:space="preserve">dalle età singole, e solo dove le età singole esistono, cioè dal 2021.</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non è installabile su</w:t>
      </w:r>
      <w:r>
        <w:t xml:space="preserve"> </w:t>
      </w:r>
      <w:r>
        <w:t xml:space="preserve">questa macchina senza privilegi di sistema. La geometria la fa quindi geopandas in</w:t>
      </w:r>
      <w:r>
        <w:t xml:space="preserve"> </w:t>
      </w:r>
      <w:r>
        <w:t xml:space="preserve">Python, che esporta i poligoni già proiettati (EPSG:32633) come tabella di vertici; R</w:t>
      </w:r>
      <w:r>
        <w:t xml:space="preserve"> </w:t>
      </w:r>
      <w:r>
        <w:t xml:space="preserve">li disegna come poligoni con isole e buchi. È una scelta obbligata, ed è documentata</w:t>
      </w:r>
      <w:r>
        <w:t xml:space="preserve"> </w:t>
      </w:r>
      <w:r>
        <w:t xml:space="preserve">perché cambia il modo in cui si scrivono le figure.</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e sbagliati. I file</w:t>
      </w:r>
      <w:r>
        <w:t xml:space="preserve"> </w:t>
      </w:r>
      <w:r>
        <w:t xml:space="preserve">vengono letti in streaming dagli zip, senza mai espanderli, e il tracciato è</w:t>
      </w:r>
      <w:r>
        <w:t xml:space="preserve"> </w:t>
      </w:r>
      <w:r>
        <w:t xml:space="preserve">controllato per prova (sezione 5).</w:t>
      </w:r>
    </w:p>
    <w:p>
      <w:pPr>
        <w:pStyle w:val="Compact"/>
        <w:numPr>
          <w:ilvl w:val="0"/>
          <w:numId w:val="1003"/>
        </w:numPr>
      </w:pPr>
      <w:r>
        <w:rPr>
          <w:b/>
          <w:bCs/>
        </w:rPr>
        <w:t xml:space="preserve">Descrizioni fuori dalle tabelle.</w:t>
      </w:r>
      <w:r>
        <w:t xml:space="preserve"> </w:t>
      </w:r>
      <w:r>
        <w:t xml:space="preserve">Le etichette lunghe stanno nei lookup e non</w:t>
      </w:r>
      <w:r>
        <w:t xml:space="preserve"> </w:t>
      </w:r>
      <w:r>
        <w:t xml:space="preserve">ripetute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nelle tavole non ci sono. Ogni passaggio usa un</w:t>
      </w:r>
      <w:r>
        <w:t xml:space="preserve"> </w:t>
      </w:r>
      <w:r>
        <w:t xml:space="preserve">metodo dichiarato, e ogni metodo è riscritto una seconda volta, in forma diversa, dentro</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w:t>
            </w:r>
            <w:r>
              <w:t xml:space="preserve">su covariate strutturali, mai su esiti</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residui,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w:t>
            </w:r>
          </w:p>
        </w:tc>
        <w:tc>
          <w:tcPr/>
          <w:p>
            <w:pPr>
              <w:pStyle w:val="Compact"/>
            </w:pPr>
            <w:r>
              <w:t xml:space="preserve">sezione 7.4</w:t>
            </w:r>
          </w:p>
        </w:tc>
      </w:tr>
    </w:tbl>
    <w:p>
      <w:pPr>
        <w:pStyle w:val="BodyText"/>
      </w:pPr>
      <w:r>
        <w:t xml:space="preserve">Due proprietà rendono questi conti verificabili invece che dichiarati. La prima è che</w:t>
      </w:r>
      <w:r>
        <w:t xml:space="preserve"> </w:t>
      </w:r>
      <w:r>
        <w:rPr>
          <w:b/>
          <w:bCs/>
        </w:rPr>
        <w:t xml:space="preserve">il pin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w:t>
      </w:r>
      <w:r>
        <w:t xml:space="preserve">(gli intervalli</w:t>
      </w:r>
      <w:r>
        <w:t xml:space="preserve"> </w:t>
      </w:r>
      <w:r>
        <w:t xml:space="preserve">riscritti da zero, il modello in forma analitica, il matching rifatto, le coorti prese</w:t>
      </w:r>
      <w:r>
        <w:t xml:space="preserve"> </w:t>
      </w:r>
      <w:r>
        <w:t xml:space="preserve">dalle classi quinquennali invece che dalle età singole, un secondo parser della matrice</w:t>
      </w:r>
      <w:r>
        <w:t xml:space="preserve"> </w:t>
      </w:r>
      <w:r>
        <w:t xml:space="preserve">del pendolarismo). Se le due strade divergono, il controllo fallisce. La seconda è che</w:t>
      </w:r>
      <w:r>
        <w:t xml:space="preserve"> </w:t>
      </w:r>
      <w:r>
        <w:rPr>
          <w:b/>
          <w:bCs/>
        </w:rPr>
        <w:t xml:space="preserve">il documento è dentro il perimetro del pin</w:t>
      </w:r>
      <w:r>
        <w:t xml:space="preserve">: l’ultimo blocco di controlli rilegge le</w:t>
      </w:r>
      <w:r>
        <w:t xml:space="preserve"> </w:t>
      </w:r>
      <w:r>
        <w:t xml:space="preserve">cifre da</w:t>
      </w:r>
      <w:r>
        <w:t xml:space="preserve"> </w:t>
      </w:r>
      <w:r>
        <w:rPr>
          <w:rStyle w:val="VerbatimChar"/>
        </w:rPr>
        <w:t xml:space="preserve">data/processed/</w:t>
      </w:r>
      <w:r>
        <w:t xml:space="preserve">, le formatta all’italiana e pretende che la frase compaia alla</w:t>
      </w:r>
      <w:r>
        <w:t xml:space="preserve"> </w:t>
      </w:r>
      <w:r>
        <w:t xml:space="preserve">lettera in questa relazione. Ritoccare un numero a mano nel testo fa fallire la pipeline</w:t>
      </w:r>
      <w:r>
        <w:t xml:space="preserve"> </w:t>
      </w:r>
      <w:r>
        <w:t xml:space="preserve">esattamente come lo farebbe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e la distinzione è la</w:t>
      </w:r>
      <w:r>
        <w:t xml:space="preserve"> </w:t>
      </w:r>
      <w:r>
        <w:t xml:space="preserve">premessa per leggerli senza sopravvalutarli.</w:t>
      </w:r>
    </w:p>
    <w:p>
      <w:pPr>
        <w:pStyle w:val="Compact"/>
        <w:numPr>
          <w:ilvl w:val="0"/>
          <w:numId w:val="1004"/>
        </w:numPr>
      </w:pPr>
      <w:r>
        <w:rPr>
          <w:b/>
          <w:bCs/>
        </w:rPr>
        <w:t xml:space="preserve">Descrittivo.</w:t>
      </w:r>
      <w:r>
        <w:t xml:space="preserve"> </w:t>
      </w:r>
      <w:r>
        <w:t xml:space="preserve">Conteggi e quote censuarie su Bagheria. Non sono stime campionarie e</w:t>
      </w:r>
      <w:r>
        <w:t xml:space="preserve"> </w:t>
      </w:r>
      <w:r>
        <w:t xml:space="preserve">non hanno errore di campionamento; dove un intervallo compare, misura la variabilità</w:t>
      </w:r>
      <w:r>
        <w:t xml:space="preserve"> </w:t>
      </w:r>
      <w:r>
        <w:t xml:space="preserve">della proporzione, non un’incertezza di rilevazione.</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l’affermazione robusta è quella che</w:t>
      </w:r>
      <w:r>
        <w:t xml:space="preserve"> </w:t>
      </w:r>
      <w:r>
        <w:rPr>
          <w:b/>
          <w:bCs/>
        </w:rPr>
        <w:t xml:space="preserve">sopravvive al cambio di</w:t>
      </w:r>
      <w:r>
        <w:rPr>
          <w:b/>
          <w:bCs/>
        </w:rPr>
        <w:t xml:space="preserve"> </w:t>
      </w:r>
      <w:r>
        <w:rPr>
          <w:b/>
          <w:bCs/>
        </w:rPr>
        <w:t xml:space="preserve">lente</w:t>
      </w:r>
      <w:r>
        <w:t xml:space="preserve">: dove i due gruppi di pari divergono, la relazione lo dice invece di scegliere</w:t>
      </w:r>
      <w:r>
        <w:t xml:space="preserve"> </w:t>
      </w:r>
      <w:r>
        <w:t xml:space="preserve">il più 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citate con questo limite ogni volta,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permetterebbe. È il motivo per cui la proposta</w:t>
      </w:r>
      <w:r>
        <w:t xml:space="preserve"> </w:t>
      </w:r>
      <w:r>
        <w:t xml:space="preserve">include un proprio disegno di valutazione (sezione 7.4): serve a produrre l’evidenza</w:t>
      </w:r>
      <w:r>
        <w:t xml:space="preserve"> </w:t>
      </w:r>
      <w:r>
        <w:t xml:space="preserve">che oggi manca, non a confermare quella che c’è.</w:t>
      </w:r>
    </w:p>
    <w:p>
      <w:pPr>
        <w:pStyle w:val="FirstParagraph"/>
      </w:pPr>
      <w:r>
        <w:t xml:space="preserve">Il perimetro di 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Bagheria conta</w:t>
      </w:r>
      <w:r>
        <w:t xml:space="preserve"> </w:t>
      </w:r>
      <w:r>
        <w:rPr>
          <w:b/>
          <w:bCs/>
        </w:rPr>
        <w:t xml:space="preserve">5.904 residenti di 15-24 anni</w:t>
      </w:r>
      <w:r>
        <w:t xml:space="preserve"> </w:t>
      </w:r>
      <w:r>
        <w:t xml:space="preserve">(2024). La loro condizione prevalente: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Il confronto colloca subito il punto critico: l’occupazione 15-24 di Bagheria (12,4%) è</w:t>
      </w:r>
      <w:r>
        <w:t xml:space="preserve"> </w:t>
      </w:r>
      <w:r>
        <w:rPr>
          <w:b/>
          <w:bCs/>
        </w:rPr>
        <w:t xml:space="preserve">3,1 punti sotto la Sicilia</w:t>
      </w:r>
      <w:r>
        <w:t xml:space="preserve"> </w:t>
      </w:r>
      <w:r>
        <w:t xml:space="preserve">(15,6%), e gli inattivi non studenti (19,0%) sono</w:t>
      </w:r>
      <w:r>
        <w:t xml:space="preserve"> </w:t>
      </w:r>
      <w:r>
        <w:rPr>
          <w:b/>
          <w:bCs/>
        </w:rPr>
        <w:t xml:space="preserve">4,2</w:t>
      </w:r>
      <w:r>
        <w:rPr>
          <w:b/>
          <w:bCs/>
        </w:rPr>
        <w:t xml:space="preserve"> </w:t>
      </w:r>
      <w:r>
        <w:rPr>
          <w:b/>
          <w:bCs/>
        </w:rPr>
        <w:t xml:space="preserve">punti sopra</w:t>
      </w:r>
      <w:r>
        <w:t xml:space="preserve"> </w:t>
      </w:r>
      <w:r>
        <w:t xml:space="preserve">(14,8%). Complessivamente il 26,9% dei giovani è fuori sia dal lavoro sia</w:t>
      </w:r>
      <w:r>
        <w:t xml:space="preserve"> </w:t>
      </w:r>
      <w:r>
        <w:t xml:space="preserve">dallo 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Non sono giovani che cercano e non</w:t>
      </w:r>
      <w:r>
        <w:t xml:space="preserve"> </w:t>
      </w:r>
      <w:r>
        <w:t xml:space="preserve">trovano: sono giovani che non arrivano 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bookmarkEnd w:id="21"/>
    <w:bookmarkStart w:id="25" w:name="il-recupero-cè-la-convergenza-no"/>
    <w:p>
      <w:pPr>
        <w:pStyle w:val="Heading2"/>
      </w:pPr>
      <w:r>
        <w:t xml:space="preserve">2.2 Il recupero c’è, la convergenza no</w:t>
      </w:r>
    </w:p>
    <w:p>
      <w:pPr>
        <w:pStyle w:val="FirstParagraph"/>
      </w:pPr>
      <w:r>
        <w:t xml:space="preserve">Fra 2018 e 2024 l’occupazione 15-24 (totale) sale da 8,2% a 12,4% e la quota fuori da</w:t>
      </w:r>
      <w:r>
        <w:t xml:space="preserve"> </w:t>
      </w:r>
      <w:r>
        <w:t xml:space="preserve">lavoro e studio scende da 37,7% a 26,9%. Ma la scomposizione dice da dove viene il</w:t>
      </w:r>
      <w:r>
        <w:t xml:space="preserve"> </w:t>
      </w:r>
      <w:r>
        <w:t xml:space="preserve">miglioramento:</w:t>
      </w:r>
      <w:r>
        <w:t xml:space="preserve"> </w:t>
      </w:r>
      <w:r>
        <w:rPr>
          <w:b/>
          <w:bCs/>
        </w:rPr>
        <w:t xml:space="preserve">chi cerca lavoro cala di 10,2 punti (18,1% → 7,9%), gli inattivi non</w:t>
      </w:r>
      <w:r>
        <w:rPr>
          <w:b/>
          <w:bCs/>
        </w:rPr>
        <w:t xml:space="preserve"> </w:t>
      </w:r>
      <w:r>
        <w:rPr>
          <w:b/>
          <w:bCs/>
        </w:rPr>
        <w:t xml:space="preserve">studenti di 0,6 (19,6% → 19,0%)</w:t>
      </w:r>
      <w:r>
        <w:t xml:space="preserve">. E il gap occupazionale con la Sicilia è</w:t>
      </w:r>
      <w:r>
        <w:t xml:space="preserve"> </w:t>
      </w:r>
      <w:r>
        <w:rPr>
          <w:b/>
          <w:bCs/>
        </w:rPr>
        <w:t xml:space="preserve">−3,1 punti</w:t>
      </w:r>
      <w:r>
        <w:rPr>
          <w:b/>
          <w:bCs/>
        </w:rPr>
        <w:t xml:space="preserve"> </w:t>
      </w:r>
      <w:r>
        <w:rPr>
          <w:b/>
          <w:bCs/>
        </w:rPr>
        <w:t xml:space="preserve">sia nel 2018 sia nel 2024</w:t>
      </w:r>
      <w:r>
        <w:t xml:space="preserve">: Bagheria 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r>
        <w:t xml:space="preserve"> </w:t>
      </w:r>
      <w:r>
        <w:t xml:space="preserve">(cautela: sulla serie vale la rottura di misura 2019→2021: i gap</w:t>
      </w:r>
      <w:r>
        <w:t xml:space="preserve"> </w:t>
      </w:r>
      <w:r>
        <w:t xml:space="preserve">reggono, i livelli delle componenti no)</w:t>
      </w:r>
    </w:p>
    <w:p>
      <w:pPr>
        <w:pStyle w:val="BodyText"/>
      </w:pPr>
      <w:r>
        <w:t xml:space="preserve">Lo stesso pattern sulla fascia adulta: fra i 25-49enni la quota con almeno il diploma</w:t>
      </w:r>
      <w:r>
        <w:t xml:space="preserve"> </w:t>
      </w:r>
      <w:r>
        <w:t xml:space="preserve">passa da 56,2% a 62,4% e l’occupazione da 43,0% a 53,6%, ma nel 2024 i divari con la</w:t>
      </w:r>
      <w:r>
        <w:t xml:space="preserve"> </w:t>
      </w:r>
      <w:r>
        <w:t xml:space="preserve">Sicilia restano</w:t>
      </w:r>
      <w:r>
        <w:t xml:space="preserve"> </w:t>
      </w:r>
      <w:r>
        <w:rPr>
          <w:b/>
          <w:bCs/>
        </w:rPr>
        <w:t xml:space="preserve">−4,1 e −5,7 punti</w:t>
      </w:r>
      <w:r>
        <w:t xml:space="preserve">. →</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tre censimenti 1991/2001/2011 e il ponte verso il censimento permanente separano due</w:t>
      </w:r>
      <w:r>
        <w:t xml:space="preserve"> </w:t>
      </w:r>
      <w:r>
        <w:t xml:space="preserve">cose che di solito si confondono: Bagheria **migliora in assoluto e arretra in</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BodyText"/>
      </w:pPr>
      <w:r>
        <w:t xml:space="preserve">posizione**.</w:t>
      </w:r>
    </w:p>
    <w:p>
      <w:pPr>
        <w:pStyle w:val="Compact"/>
        <w:numPr>
          <w:ilvl w:val="0"/>
          <w:numId w:val="1005"/>
        </w:numPr>
      </w:pPr>
      <w:r>
        <w:t xml:space="preserve">NEET 15-29: dal 42,9% (1991) al 40,1% (2011), ma la posizione fra i 390 comuni</w:t>
      </w:r>
      <w:r>
        <w:t xml:space="preserve"> </w:t>
      </w:r>
      <w:r>
        <w:t xml:space="preserve">siciliani passa</w:t>
      </w:r>
      <w:r>
        <w:t xml:space="preserve"> </w:t>
      </w:r>
      <w:r>
        <w:rPr>
          <w:b/>
          <w:bCs/>
        </w:rPr>
        <w:t xml:space="preserve">circa dal 17° all’88° percentile</w:t>
      </w:r>
      <w:r>
        <w:t xml:space="preserve">: molti altri comuni hanno ridotto</w:t>
      </w:r>
      <w:r>
        <w:t xml:space="preserve"> </w:t>
      </w:r>
      <w:r>
        <w:t xml:space="preserve">il problema molto più in fretta. →</w:t>
      </w:r>
      <w:r>
        <w:t xml:space="preserve"> </w:t>
      </w:r>
      <w:r>
        <w:rPr>
          <w:rStyle w:val="VerbatimChar"/>
        </w:rPr>
        <w:t xml:space="preserve">edu_historical_bagheria.csv</w:t>
      </w:r>
      <w:r>
        <w:t xml:space="preserve">, verifica incrociata</w:t>
      </w:r>
      <w:r>
        <w:t xml:space="preserve"> </w:t>
      </w:r>
      <w:r>
        <w:t xml:space="preserve">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40,8% → 28,6%, ma</w:t>
      </w:r>
      <w:r>
        <w:t xml:space="preserve"> </w:t>
      </w:r>
      <w:r>
        <w:rPr>
          <w:b/>
          <w:bCs/>
        </w:rPr>
        <w:t xml:space="preserve">56° → 70° → 83° percentile</w:t>
      </w:r>
      <w:r>
        <w:t xml:space="preserve">.</w:t>
      </w:r>
      <w:r>
        <w:t xml:space="preserve"> </w:t>
      </w:r>
      <w:r>
        <w:t xml:space="preserve">→</w:t>
      </w:r>
      <w:r>
        <w:t xml:space="preserve"> </w:t>
      </w:r>
      <w:r>
        <w:rPr>
          <w:rStyle w:val="VerbatimChar"/>
        </w:rPr>
        <w:t xml:space="preserve">genere_frattura_istruzione.csv</w:t>
      </w:r>
    </w:p>
    <w:p>
      <w:pPr>
        <w:pStyle w:val="Compact"/>
        <w:numPr>
          <w:ilvl w:val="0"/>
          <w:numId w:val="1005"/>
        </w:numPr>
      </w:pPr>
      <w:r>
        <w:t xml:space="preserve">Occupazione femminile 15+: 18,1% (2011) → 23,7% (2024), ma la mediana regionale sale</w:t>
      </w:r>
      <w:r>
        <w:t xml:space="preserve"> </w:t>
      </w:r>
      <w:r>
        <w:t xml:space="preserve">da 23,6% a 28,3%.</w:t>
      </w:r>
      <w:r>
        <w:t xml:space="preserve"> </w:t>
      </w:r>
      <w:r>
        <w:rPr>
          <w:b/>
          <w:bCs/>
        </w:rPr>
        <w:t xml:space="preserve">Nel 2024 Bagheria arriva dove stava la mediana siciliana nel</w:t>
      </w:r>
      <w:r>
        <w:rPr>
          <w:b/>
          <w:bCs/>
        </w:rPr>
        <w:t xml:space="preserve"> </w:t>
      </w:r>
      <w:r>
        <w:rPr>
          <w:b/>
          <w:bCs/>
        </w:rPr>
        <w:t xml:space="preserve">2011</w:t>
      </w:r>
      <w:r>
        <w:t xml:space="preserve"> </w:t>
      </w:r>
      <w:r>
        <w:t xml:space="preserve">(fig04). La graduatoria dei 390 comuni del 2011 predice quella del 2024 con rho</w:t>
      </w:r>
      <w:r>
        <w:t xml:space="preserve"> </w:t>
      </w:r>
      <w:r>
        <w:t xml:space="preserve">di Spearman</w:t>
      </w:r>
      <w:r>
        <w:t xml:space="preserve"> </w:t>
      </w:r>
      <w:r>
        <w:rPr>
          <w:b/>
          <w:bCs/>
        </w:rPr>
        <w:t xml:space="preserve">0,848</w:t>
      </w:r>
      <w:r>
        <w:t xml:space="preserve">, e il 74% del quintile più basso del 2011 è ancora lì, Bagheria</w:t>
      </w:r>
      <w:r>
        <w:t xml:space="preserve"> </w:t>
      </w:r>
      <w:r>
        <w:t xml:space="preserve">compresa: il posizionamento del 2011 non era una fotografia scaduta ma una previsione</w:t>
      </w:r>
      <w:r>
        <w:t xml:space="preserve"> </w:t>
      </w:r>
      <w:r>
        <w:t xml:space="preserve">verificata. →</w:t>
      </w:r>
      <w:r>
        <w:t xml:space="preserve"> </w:t>
      </w:r>
      <w:r>
        <w:rPr>
          <w:rStyle w:val="VerbatimChar"/>
        </w:rPr>
        <w:t xml:space="preserve">genere_mappa_2011_2024.csv</w:t>
      </w:r>
      <w:r>
        <w:t xml:space="preserve">, sezione «I claim reggono al 2024?»</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finding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il livello ne risente, il rango dentro l’anno molto meno, ed è la ragione per cui il confronto fra annate, in fig04b, usa percentili e non punti percentuali.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Compact"/>
        <w:numPr>
          <w:ilvl w:val="0"/>
          <w:numId w:val="1006"/>
        </w:numPr>
      </w:pPr>
      <w:r>
        <w:t xml:space="preserve">La datazione è convergente da due domini indipendenti: sia il muro sull’occupazione</w:t>
      </w:r>
      <w:r>
        <w:t xml:space="preserve"> </w:t>
      </w:r>
      <w:r>
        <w:t xml:space="preserve">femminile sia la frattura sull’uscita precoce si aprono</w:t>
      </w:r>
      <w:r>
        <w:t xml:space="preserve"> </w:t>
      </w:r>
      <w:r>
        <w:rPr>
          <w:b/>
          <w:bCs/>
        </w:rPr>
        <w:t xml:space="preserve">nel decennio 2001-2011</w:t>
      </w:r>
      <w:r>
        <w:t xml:space="preserve"> </w:t>
      </w:r>
      <w:r>
        <w:t xml:space="preserve">e</w:t>
      </w:r>
      <w:r>
        <w:t xml:space="preserve"> </w:t>
      </w:r>
      <w:r>
        <w:t xml:space="preserve">non si richiudono (fig10). →</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FirstParagraph"/>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brief, il benchmarking usa i</w:t>
      </w:r>
      <w:r>
        <w:t xml:space="preserve"> </w:t>
      </w:r>
      <w:r>
        <w:rPr>
          <w:b/>
          <w:bCs/>
        </w:rPr>
        <w:t xml:space="preserve">390 comuni siciliani</w:t>
      </w:r>
      <w:r>
        <w:t xml:space="preserve"> </w:t>
      </w:r>
      <w:r>
        <w:t xml:space="preserve">e due</w:t>
      </w:r>
      <w:r>
        <w:t xml:space="preserve"> </w:t>
      </w:r>
      <w:r>
        <w:t xml:space="preserve">gruppi di comuni pari costruiti con domande diverse, le</w:t>
      </w:r>
      <w:r>
        <w:t xml:space="preserve"> </w:t>
      </w:r>
      <w:r>
        <w:rPr>
          <w:b/>
          <w:bCs/>
        </w:rPr>
        <w:t xml:space="preserve">10 gemelle strutturali</w:t>
      </w:r>
      <w:r>
        <w:t xml:space="preserve"> </w:t>
      </w:r>
      <w:r>
        <w:t xml:space="preserve">(matching su dimensione, densità, età, stranieri, abitazioni, distanza da Palermo, mai</w:t>
      </w:r>
      <w:r>
        <w:t xml:space="preserve"> </w:t>
      </w:r>
      <w:r>
        <w:t xml:space="preserve">su esiti) e i</w:t>
      </w:r>
      <w:r>
        <w:t xml:space="preserve"> </w:t>
      </w:r>
      <w:r>
        <w:rPr>
          <w:b/>
          <w:bCs/>
        </w:rPr>
        <w:t xml:space="preserve">10 pari a pari istruzione</w:t>
      </w:r>
      <w:r>
        <w:t xml:space="preserve"> </w:t>
      </w:r>
      <w:r>
        <w:t xml:space="preserve">del thread educazione. L’overlap fra i due</w:t>
      </w:r>
      <w:r>
        <w:t xml:space="preserve"> </w:t>
      </w:r>
      <w:r>
        <w:t xml:space="preserve">gruppi è un solo comune (Misilmeri), e la figura di posizionamento (fig08) li mostra</w:t>
      </w:r>
      <w:r>
        <w:t xml:space="preserve"> </w:t>
      </w:r>
      <w:r>
        <w:t xml:space="preserve">affiancati:</w:t>
      </w:r>
      <w:r>
        <w:t xml:space="preserve"> </w:t>
      </w:r>
      <w:r>
        <w:rPr>
          <w:b/>
          <w:bCs/>
        </w:rPr>
        <w:t xml:space="preserve">ciò che si può affermare senza scegliere una lente è ciò che sopravvive a</w:t>
      </w:r>
      <w:r>
        <w:rPr>
          <w:b/>
          <w:bCs/>
        </w:rPr>
        <w:t xml:space="preserve"> </w:t>
      </w:r>
      <w:r>
        <w:rPr>
          <w:b/>
          <w:bCs/>
        </w:rPr>
        <w:t xml:space="preserve">entrambe</w:t>
      </w:r>
      <w:r>
        <w:t xml:space="preserve"> </w:t>
      </w:r>
      <w:r>
        <w:t xml:space="preserve">- 6 indicatori su 8 danno lo stesso giudizio.</w:t>
      </w:r>
    </w:p>
    <w:p>
      <w:pPr>
        <w:pStyle w:val="BodyText"/>
      </w:pPr>
      <w:r>
        <w:t xml:space="preserve">Tre tratti reggono a tutte e due le letture e vanno in proposta: disoccupazione</w:t>
      </w:r>
      <w:r>
        <w:t xml:space="preserve"> </w:t>
      </w:r>
      <w:r>
        <w:t xml:space="preserve">femminile estrema (8/10 comuni sotto), occupazione giovanile bassa (2/10 sotto),</w:t>
      </w:r>
      <w:r>
        <w:t xml:space="preserve"> </w:t>
      </w:r>
      <w:r>
        <w:t xml:space="preserve">autonomia abitativa giovanile al minimo (0/10 sotto). E la divergenza più informativa è</w:t>
      </w:r>
      <w:r>
        <w:t xml:space="preserve"> </w:t>
      </w:r>
      <w:r>
        <w:t xml:space="preserve">sull’occupazione femminile: dentro le gemelle strutturali Bagheria è nella norma (3/10),</w:t>
      </w:r>
      <w:r>
        <w:t xml:space="preserve"> </w:t>
      </w:r>
      <w:r>
        <w:t xml:space="preserve">fra i comuni ugualmente scolarizzati è</w:t>
      </w:r>
      <w:r>
        <w:t xml:space="preserve"> </w:t>
      </w:r>
      <w:r>
        <w:rPr>
          <w:b/>
          <w:bCs/>
        </w:rPr>
        <w:t xml:space="preserve">penultima</w:t>
      </w:r>
      <w:r>
        <w:t xml:space="preserve"> </w:t>
      </w:r>
      <w:r>
        <w:t xml:space="preserve">(1/10).</w:t>
      </w:r>
      <w:r>
        <w:t xml:space="preserve"> </w:t>
      </w:r>
      <w:r>
        <w:rPr>
          <w:b/>
          <w:bCs/>
        </w:rPr>
        <w:t xml:space="preserve">A pari istruzione, il</w:t>
      </w:r>
      <w:r>
        <w:rPr>
          <w:b/>
          <w:bCs/>
        </w:rPr>
        <w:t xml:space="preserve"> </w:t>
      </w:r>
      <w:r>
        <w:rPr>
          <w:b/>
          <w:bCs/>
        </w:rPr>
        <w:t xml:space="preserve">lavoro femminile non arriva: non è un tratto di fascia territoriale.</w:t>
      </w:r>
      <w:r>
        <w:t xml:space="preserve"> </w:t>
      </w:r>
      <w:r>
        <w:t xml:space="preserve">I modelli</w:t>
      </w:r>
      <w:r>
        <w:t xml:space="preserve"> </w:t>
      </w:r>
      <w:r>
        <w:t xml:space="preserve">comunali del thread educazione confermano il segno (occupazione giovanile</w:t>
      </w:r>
      <w:r>
        <w:t xml:space="preserve"> </w:t>
      </w:r>
      <w:r>
        <w:t xml:space="preserve">osservata−prevista</w:t>
      </w:r>
      <w:r>
        <w:t xml:space="preserve"> </w:t>
      </w:r>
      <w:r>
        <w:rPr>
          <w:b/>
          <w:bCs/>
        </w:rPr>
        <w:t xml:space="preserve">−5,9 punti</w:t>
      </w:r>
      <w:r>
        <w:t xml:space="preserve"> </w:t>
      </w:r>
      <w:r>
        <w:t xml:space="preserve">[bootstrap −7,7, −4,3], CV R² 0,05: si cita come</w:t>
      </w:r>
      <w:r>
        <w:t xml:space="preserve"> </w:t>
      </w:r>
      <w:r>
        <w:t xml:space="preserve">conferma di 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2"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p>
    <w:p>
      <w:pPr>
        <w:pStyle w:val="BodyText"/>
      </w:pPr>
      <w:r>
        <w:drawing>
          <wp:inline>
            <wp:extent cx="6108700" cy="468145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Il vantaggio educativo femminile sulla fascia 9-24 è il più ampio del panel (Palermo</w:t>
      </w:r>
      <w:r>
        <w:t xml:space="preserve"> </w:t>
      </w:r>
      <w:r>
        <w:t xml:space="preserve">−1,8, Sicilia −2,7, Italia −2,2); il gap occupazionale è 8,3 punti [IC 95% 6,6-10,0].</w:t>
      </w:r>
      <w:r>
        <w:t xml:space="preserve"> </w:t>
      </w:r>
      <w:r>
        <w:t xml:space="preserve">→</w:t>
      </w:r>
      <w:r>
        <w:t xml:space="preserve"> </w:t>
      </w:r>
      <w:r>
        <w:rPr>
          <w:rStyle w:val="VerbatimChar"/>
        </w:rPr>
        <w:t xml:space="preserve">genere_gap_occupazione_ci.csv</w:t>
      </w:r>
    </w:p>
    <w:p>
      <w:pPr>
        <w:pStyle w:val="BodyText"/>
      </w:pPr>
      <w:r>
        <w:t xml:space="preserve">La scala su cui leggere il gap è stata scelta con un modello, non a occhio (fig01).</w:t>
      </w:r>
      <w:r>
        <w:t xml:space="preserve"> </w:t>
      </w:r>
      <w:r>
        <w:rPr>
          <w:b/>
          <w:bCs/>
        </w:rPr>
        <w:t xml:space="preserve">In punti</w:t>
      </w:r>
      <w:r>
        <w:t xml:space="preserve"> </w:t>
      </w:r>
      <w:r>
        <w:t xml:space="preserve">il gap di Bagheria non è un’anomalia locale (pooled 2022-24: +1,1 verso</w:t>
      </w:r>
      <w:r>
        <w:t xml:space="preserve"> </w:t>
      </w:r>
      <w:r>
        <w:t xml:space="preserve">Palermo, p=0,03; −1,8/−1,9 verso Sicilia e Italia).</w:t>
      </w:r>
      <w:r>
        <w:t xml:space="preserve"> </w:t>
      </w:r>
      <w:r>
        <w:rPr>
          <w:b/>
          <w:bCs/>
        </w:rPr>
        <w:t xml:space="preserve">In rapporto</w:t>
      </w:r>
      <w:r>
        <w:t xml:space="preserve"> </w:t>
      </w:r>
      <w:r>
        <w:t xml:space="preserve">(M/F = 2,01 contro</w:t>
      </w:r>
      <w:r>
        <w:t xml:space="preserve"> </w:t>
      </w:r>
      <w:r>
        <w:t xml:space="preserve">1,56 nazionale) Bagheria è la peggiore del panel, ma il rapporto oscilla fra le annate.</w:t>
      </w:r>
      <w:r>
        <w:t xml:space="preserve"> </w:t>
      </w: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ed è</w:t>
      </w:r>
      <w:r>
        <w:t xml:space="preserve"> </w:t>
      </w:r>
      <w:r>
        <w:t xml:space="preserve">testato, sotto Palermo di 1,2 punti, sotto la Sicilia di 1,9, sotto l’Italia di 8,9</w:t>
      </w:r>
      <w:r>
        <w:t xml:space="preserve"> </w:t>
      </w:r>
      <w:r>
        <w:t xml:space="preserve">(p ≤ 0,0001 pooled 2022-24). Il gap inoltre</w:t>
      </w:r>
      <w:r>
        <w:t xml:space="preserve"> </w:t>
      </w:r>
      <w:r>
        <w:rPr>
          <w:b/>
          <w:bCs/>
        </w:rPr>
        <w:t xml:space="preserve">si sta allargando</w:t>
      </w:r>
      <w:r>
        <w:t xml:space="preserve">: +0,21 punti/anno</w:t>
      </w:r>
      <w:r>
        <w:t xml:space="preserve"> </w:t>
      </w:r>
      <w:r>
        <w:t xml:space="preserve">(IC 0,06-0,35, p=0,008). → sezioni «Punti percentuali o rapporto?», «Modello lineare di</w:t>
      </w:r>
      <w:r>
        <w:t xml:space="preserve"> </w:t>
      </w:r>
      <w:r>
        <w:t xml:space="preserve">probabilità» e «Trend 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Sulle cautele dell’istruzione la relazione è esplicita, perché il claim va maneggiato:</w:t>
      </w:r>
      <w:r>
        <w:t xml:space="preserve"> </w:t>
      </w:r>
      <w:r>
        <w:t xml:space="preserve">sulla</w:t>
      </w:r>
      <w:r>
        <w:t xml:space="preserve"> </w:t>
      </w:r>
      <w:r>
        <w:rPr>
          <w:b/>
          <w:bCs/>
        </w:rPr>
        <w:t xml:space="preserve">stessa fascia 15-24</w:t>
      </w:r>
      <w:r>
        <w:t xml:space="preserve"> </w:t>
      </w:r>
      <w:r>
        <w:t xml:space="preserve">il vantaggio educativo femminile di Bagheria (+4,8) è un</w:t>
      </w:r>
      <w:r>
        <w:t xml:space="preserve"> </w:t>
      </w:r>
      <w:r>
        <w:t xml:space="preserve">pareggio con la Sicilia (+4,7), e sul bound 18-24 il primato non regge. Il claim</w:t>
      </w:r>
      <w:r>
        <w:t xml:space="preserve"> </w:t>
      </w:r>
      <w:r>
        <w:t xml:space="preserve">robusto non è «le più istruite d’Italia»: è la coppia</w:t>
      </w:r>
      <w:r>
        <w:t xml:space="preserve"> </w:t>
      </w:r>
      <w:r>
        <w:rPr>
          <w:b/>
          <w:bCs/>
        </w:rPr>
        <w:t xml:space="preserve">distacco dal vicinato</w:t>
      </w:r>
      <w:r>
        <w:t xml:space="preserve"> </w:t>
      </w:r>
      <w:r>
        <w:t xml:space="preserve">(+5,7</w:t>
      </w:r>
      <w:r>
        <w:t xml:space="preserve"> </w:t>
      </w:r>
      <w:r>
        <w:t xml:space="preserve">contro +2,5)</w:t>
      </w:r>
      <w:r>
        <w:t xml:space="preserve"> </w:t>
      </w:r>
      <w:r>
        <w:rPr>
          <w:b/>
          <w:bCs/>
        </w:rPr>
        <w:t xml:space="preserve">e mancata conversione</w:t>
      </w:r>
      <w:r>
        <w:t xml:space="preserve">. Su 1.000 ragazze 15-24 di Bagheria, 510 hanno</w:t>
      </w:r>
      <w:r>
        <w:t xml:space="preserve"> </w:t>
      </w:r>
      <w:r>
        <w:t xml:space="preserve">almeno il diploma e 82 lavorano; fra i coetanei, 462 e 165 (fig11). Le due barre hanno</w:t>
      </w:r>
      <w:r>
        <w:t xml:space="preserve"> </w:t>
      </w:r>
      <w:r>
        <w:t xml:space="preserve">la stessa base e</w:t>
      </w:r>
      <w:r>
        <w:t xml:space="preserve"> </w:t>
      </w:r>
      <w:r>
        <w:rPr>
          <w:b/>
          <w:bCs/>
        </w:rPr>
        <w:t xml:space="preserve">non sono un funnel</w:t>
      </w:r>
      <w:r>
        <w:t xml:space="preserve">: l’incrocio individuale non esiste (sezione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bookmarkEnd w:id="50"/>
    <w:bookmarkStart w:id="54" w:name="X0af68582c46c77c78c97bf4a7a5a23975c76f08"/>
    <w:p>
      <w:pPr>
        <w:pStyle w:val="Heading2"/>
      </w:pPr>
      <w:r>
        <w:t xml:space="preserve">3.2 Dentro l’inattività: le casalinghe ventenni, nubili</w:t>
      </w:r>
    </w:p>
    <w:p>
      <w:pPr>
        <w:pStyle w:val="FirstParagraph"/>
      </w:pPr>
      <w:r>
        <w:t xml:space="preserve">Il 13,4% delle ragazze 15-24 di Bagheria si dichiara</w:t>
      </w:r>
      <w:r>
        <w:t xml:space="preserve"> </w:t>
      </w:r>
      <w:r>
        <w:rPr>
          <w:b/>
          <w:bCs/>
        </w:rPr>
        <w:t xml:space="preserve">casalinga</w:t>
      </w:r>
      <w:r>
        <w:t xml:space="preserve">: 387 persone, contro</w:t>
      </w:r>
      <w:r>
        <w:t xml:space="preserve"> </w:t>
      </w:r>
      <w:r>
        <w:t xml:space="preserve">il 4,6% nazionale, serie 2018-2024 stabile. Sull’aggregato pesa la struttura per età: i</w:t>
      </w:r>
      <w:r>
        <w:t xml:space="preserve"> </w:t>
      </w:r>
      <w:r>
        <w:t xml:space="preserve">bounds vanno dal 18,8% delle 18-24enni al 25,8% delle 20-24enni; l’eccesso</w:t>
      </w:r>
      <w:r>
        <w:t xml:space="preserve"> </w:t>
      </w:r>
      <w:r>
        <w:t xml:space="preserve">sull’incidenza italiana vale</w:t>
      </w:r>
      <w:r>
        <w:t xml:space="preserve"> </w:t>
      </w:r>
      <w:r>
        <w:rPr>
          <w:b/>
          <w:bCs/>
        </w:rPr>
        <w:t xml:space="preserve">254 ragazze</w:t>
      </w:r>
      <w:r>
        <w:t xml:space="preserve">. →</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Il canale del matrimonio precoce</w:t>
      </w:r>
      <w:r>
        <w:t xml:space="preserve"> </w:t>
      </w:r>
      <w:r>
        <w:rPr>
          <w:b/>
          <w:bCs/>
        </w:rPr>
        <w:t xml:space="preserve">non regge i numeri</w:t>
      </w:r>
      <w:r>
        <w:t xml:space="preserve">: al 1.1.2025 le già</w:t>
      </w:r>
      <w:r>
        <w:t xml:space="preserve"> </w:t>
      </w:r>
      <w:r>
        <w:t xml:space="preserve">coniugate 15-24 sono 41 (1,4%) contro 387 casalinghe -</w:t>
      </w:r>
      <w:r>
        <w:t xml:space="preserve"> </w:t>
      </w:r>
      <w:r>
        <w:rPr>
          <w:b/>
          <w:bCs/>
        </w:rPr>
        <w:t xml:space="preserve">almeno l’89% è nubile</w:t>
      </w:r>
      <w:r>
        <w:t xml:space="preserve"> </w:t>
      </w:r>
      <w:r>
        <w:t xml:space="preserve">- e la</w:t>
      </w:r>
      <w:r>
        <w:t xml:space="preserve"> </w:t>
      </w:r>
      <w:r>
        <w:t xml:space="preserve">quota di coniugate 20-24 di Bagheria (2,7%) sta</w:t>
      </w:r>
      <w:r>
        <w:t xml:space="preserve"> </w:t>
      </w:r>
      <w:r>
        <w:rPr>
          <w:i/>
          <w:iCs/>
        </w:rPr>
        <w:t xml:space="preserve">sotto</w:t>
      </w:r>
      <w:r>
        <w:t xml:space="preserve"> </w:t>
      </w:r>
      <w:r>
        <w:t xml:space="preserve">Palermo (3,2%) e Sicilia</w:t>
      </w:r>
      <w:r>
        <w:t xml:space="preserve"> </w:t>
      </w:r>
      <w:r>
        <w:t xml:space="preserve">(2,9%). Il canale è la famiglia d’origine, non la famiglia propria: la risposta di</w:t>
      </w:r>
      <w:r>
        <w:t xml:space="preserve"> </w:t>
      </w:r>
      <w:r>
        <w:t xml:space="preserve">policy è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r>
        <w:t xml:space="preserve"> </w:t>
      </w:r>
      <w:r>
        <w:t xml:space="preserve">(fonte DCIS_POPRES1, denominatori coincidenti alla singola</w:t>
      </w:r>
      <w:r>
        <w:t xml:space="preserve"> </w:t>
      </w:r>
      <w:r>
        <w:t xml:space="preserve">unità con la tavola censuaria)</w:t>
      </w:r>
    </w:p>
    <w:p>
      <w:pPr>
        <w:pStyle w:val="BodyText"/>
      </w:pPr>
      <w:r>
        <w:t xml:space="preserve">Il gruppo degli «invisibili» - fuori da lavoro, studio e ricerca -</w:t>
      </w:r>
      <w:r>
        <w:t xml:space="preserve"> </w:t>
      </w:r>
      <w:r>
        <w:rPr>
          <w:b/>
          <w:bCs/>
        </w:rPr>
        <w:t xml:space="preserve">non è femminile</w:t>
      </w:r>
      <w:r>
        <w:rPr>
          <w:b/>
          <w:bCs/>
        </w:rPr>
        <w:t xml:space="preserve"> </w:t>
      </w:r>
      <w:r>
        <w:rPr>
          <w:b/>
          <w:bCs/>
        </w:rPr>
        <w:t xml:space="preserve">nelle dimensioni</w:t>
      </w:r>
      <w:r>
        <w:t xml:space="preserve">: 573 ragazze e 549 ragazzi (51% F). È femminile</w:t>
      </w:r>
      <w:r>
        <w:t xml:space="preserve"> </w:t>
      </w:r>
      <w:r>
        <w:rPr>
          <w:b/>
          <w:bCs/>
        </w:rPr>
        <w:t xml:space="preserve">nell’etichetta</w:t>
      </w:r>
      <w:r>
        <w:t xml:space="preserve">:</w:t>
      </w:r>
      <w:r>
        <w:t xml:space="preserve"> </w:t>
      </w:r>
      <w:r>
        <w:t xml:space="preserve">fra le ragazze prevale una condizione dichiarata (387 casalinghe contro 50), fra i</w:t>
      </w:r>
      <w:r>
        <w:t xml:space="preserve"> </w:t>
      </w:r>
      <w:r>
        <w:t xml:space="preserve">ragazzi il residuo senza nome («altra condizione»: 485 contro 183). Qualunque outreach</w:t>
      </w:r>
      <w:r>
        <w:t xml:space="preserve"> </w:t>
      </w:r>
      <w:r>
        <w:t xml:space="preserve">deve coprire entrambi i generi con agganci diversi - per le ragazze il carico di cura ha</w:t>
      </w:r>
      <w:r>
        <w:t xml:space="preserve"> </w:t>
      </w:r>
      <w:r>
        <w:t xml:space="preserve">già un nome censuario, per i ragazzi non c’è neppure quello.</w:t>
      </w:r>
      <w:r>
        <w:t xml:space="preserve"> </w:t>
      </w:r>
      <w:r>
        <w:t xml:space="preserve">→</w:t>
      </w:r>
      <w:r>
        <w:t xml:space="preserve"> </w:t>
      </w:r>
      <w:r>
        <w:rPr>
          <w:rStyle w:val="VerbatimChar"/>
        </w:rPr>
        <w:t xml:space="preserve">genere_composizione_stato_dettaglio.csv</w:t>
      </w:r>
      <w:r>
        <w:t xml:space="preserve"> </w:t>
      </w:r>
      <w:r>
        <w:t xml:space="preserve">(fig02)</w:t>
      </w:r>
    </w:p>
    <w:p>
      <w:pPr>
        <w:pStyle w:val="BodyText"/>
      </w:pPr>
      <w:r>
        <w:drawing>
          <wp:inline>
            <wp:extent cx="6108700" cy="3998327"/>
            <wp:effectExtent b="0" l="0" r="0" t="0"/>
            <wp:docPr descr="" title="" id="52" name="Picture"/>
            <a:graphic>
              <a:graphicData uri="http://schemas.openxmlformats.org/drawingml/2006/picture">
                <pic:pic>
                  <pic:nvPicPr>
                    <pic:cNvPr descr="/home/kiycoh/Documents/dev/datapolis-2026-hackathon/.docx-build/fig02_composizione_stato.png" id="53" name="Picture"/>
                    <pic:cNvPicPr>
                      <a:picLocks noChangeArrowheads="1" noChangeAspect="1"/>
                    </pic:cNvPicPr>
                  </pic:nvPicPr>
                  <pic:blipFill>
                    <a:blip r:embed="rId51"/>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4"/>
    <w:bookmarkStart w:id="61" w:name="X359363799d76abb725aa2101ff756994852dbb5"/>
    <w:p>
      <w:pPr>
        <w:pStyle w:val="Heading2"/>
      </w:pPr>
      <w:r>
        <w:t xml:space="preserve">3.3 La fuga ha un tempismo di genere: la finestra 22-25</w:t>
      </w:r>
    </w:p>
    <w:p>
      <w:pPr>
        <w:pStyle w:val="FirstParagraph"/>
      </w:pPr>
      <w:r>
        <w:t xml:space="preserve">La ritenzione di coorte 2021-2024 mostra due uscite diverse (fig03, fig07):</w:t>
      </w:r>
    </w:p>
    <w:p>
      <w:pPr>
        <w:pStyle w:val="Compact"/>
        <w:numPr>
          <w:ilvl w:val="0"/>
          <w:numId w:val="1007"/>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7"/>
        </w:numPr>
      </w:pPr>
      <w:r>
        <w:rPr>
          <w:b/>
          <w:bCs/>
        </w:rPr>
        <w:t xml:space="preserve">le ragazze tengono fino ai 23-24 e si perdono dai 24-25 in poi, senza rientri</w:t>
      </w:r>
      <w:r>
        <w:t xml:space="preserve">:</w:t>
      </w:r>
      <w:r>
        <w:t xml:space="preserve"> </w:t>
      </w:r>
      <w:r>
        <w:t xml:space="preserve">coorte 25-29 a</w:t>
      </w:r>
      <w:r>
        <w:t xml:space="preserve"> </w:t>
      </w:r>
      <w:r>
        <w:rPr>
          <w:b/>
          <w:bCs/>
        </w:rPr>
        <w:t xml:space="preserve">96,3</w:t>
      </w:r>
      <w:r>
        <w:t xml:space="preserve"> </w:t>
      </w:r>
      <w:r>
        <w:t xml:space="preserve">contro 103,0 in Italia, esattamente l’età in cui il vantaggio</w:t>
      </w:r>
      <w:r>
        <w:t xml:space="preserve"> </w:t>
      </w:r>
      <w:r>
        <w:t xml:space="preserve">educativo dovrebbe convertirsi in 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6" name="Picture"/>
            <a:graphic>
              <a:graphicData uri="http://schemas.openxmlformats.org/drawingml/2006/picture">
                <pic:pic>
                  <pic:nvPicPr>
                    <pic:cNvPr descr="/home/kiycoh/Documents/dev/datapolis-2026-hackathon/.docx-build/fig03_coorti.png" id="57" name="Picture"/>
                    <pic:cNvPicPr>
                      <a:picLocks noChangeArrowheads="1" noChangeAspect="1"/>
                    </pic:cNvPicPr>
                  </pic:nvPicPr>
                  <pic:blipFill>
                    <a:blip r:embed="rId55"/>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La finestra utile per intervenire sulle ragazze è 22-25 anni</w:t>
      </w:r>
      <w:r>
        <w:t xml:space="preserve"> </w:t>
      </w:r>
      <w:r>
        <w:t xml:space="preserve">- prima la curva è</w:t>
      </w:r>
      <w:r>
        <w:t xml:space="preserve"> </w:t>
      </w:r>
      <w:r>
        <w:t xml:space="preserve">sopra la pari, dopo la perdita è già avvenuta. Cautela: è una lettura</w:t>
      </w:r>
      <w:r>
        <w:t xml:space="preserve"> </w:t>
      </w:r>
      <w:r>
        <w:rPr>
          <w:b/>
          <w:bCs/>
        </w:rPr>
        <w:t xml:space="preserve">pooled sul triennio</w:t>
      </w:r>
      <w:r>
        <w:t xml:space="preserve">:</w:t>
      </w:r>
      <w:r>
        <w:t xml:space="preserve"> </w:t>
      </w:r>
      <w:r>
        <w:t xml:space="preserve">le transizioni annuali oscillano fino a 8 punti sulla stessa età (n ~290 per cella);</w:t>
      </w:r>
      <w:r>
        <w:t xml:space="preserve"> </w:t>
      </w:r>
      <w:r>
        <w:t xml:space="preserve">l’anno singolo è un controllo, non un titolo. →</w:t>
      </w:r>
      <w:r>
        <w:t xml:space="preserve"> </w:t>
      </w:r>
      <w:r>
        <w:rPr>
          <w:rStyle w:val="VerbatimChar"/>
        </w:rPr>
        <w:t xml:space="preserve">genere_ritenzione_transizioni.csv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t xml:space="preserve">Alla scala decennale la frattura è più netta, e risponde all’obiezione che tre anni non</w:t>
      </w:r>
      <w:r>
        <w:t xml:space="preserve"> </w:t>
      </w:r>
      <w:r>
        <w:t xml:space="preserve">bastano: la coorte 15-19 seguita per dieci anni passa, sulle femmine, da</w:t>
      </w:r>
      <w:r>
        <w:t xml:space="preserve"> </w:t>
      </w:r>
      <w:r>
        <w:rPr>
          <w:b/>
          <w:bCs/>
        </w:rPr>
        <w:t xml:space="preserve">102,9%</w:t>
      </w:r>
      <w:r>
        <w:rPr>
          <w:b/>
          <w:bCs/>
        </w:rPr>
        <w:t xml:space="preserve"> </w:t>
      </w:r>
      <w:r>
        <w:rPr>
          <w:b/>
          <w:bCs/>
        </w:rPr>
        <w:t xml:space="preserve">(2001-2011) a 88,6% (2011-2021)</w:t>
      </w:r>
      <w:r>
        <w:t xml:space="preserve">, e sui maschi da 98,4% a</w:t>
      </w:r>
      <w:r>
        <w:t xml:space="preserve"> </w:t>
      </w:r>
      <w:r>
        <w:rPr>
          <w:b/>
          <w:bCs/>
        </w:rPr>
        <w:t xml:space="preserve">83,9%</w:t>
      </w:r>
      <w:r>
        <w:t xml:space="preserve">, ~14 punti di</w:t>
      </w:r>
      <w:r>
        <w:t xml:space="preserve"> </w:t>
      </w:r>
      <w:r>
        <w:t xml:space="preserve">ribaltamento, nello stesso decennio del muro sul lavoro (sez. 2.3).</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1"/>
    <w:bookmarkEnd w:id="62"/>
    <w:bookmarkStart w:id="66" w:name="Xf63d8299ce449af7f449fe55cbc1d52dd7f3e3e"/>
    <w:p>
      <w:pPr>
        <w:pStyle w:val="Heading1"/>
      </w:pPr>
      <w:r>
        <w:t xml:space="preserve">4. Titolo e condizione: la domanda a cui i dati comunali non rispondono</w:t>
      </w:r>
    </w:p>
    <w:p>
      <w:pPr>
        <w:pStyle w:val="FirstParagraph"/>
      </w:pPr>
      <w:r>
        <w:t xml:space="preserve">Il primo focus proposto dalla locandina - la relazione fra titolo di studio e condizione</w:t>
      </w:r>
      <w:r>
        <w:t xml:space="preserve"> </w:t>
      </w:r>
      <w:r>
        <w:t xml:space="preserve">lavorativa - a livello comunale</w:t>
      </w:r>
      <w:r>
        <w:t xml:space="preserve"> </w:t>
      </w:r>
      <w:r>
        <w:rPr>
          <w:b/>
          <w:bCs/>
        </w:rPr>
        <w:t xml:space="preserve">non è misurabile sull’individuo</w:t>
      </w:r>
      <w:r>
        <w:t xml:space="preserve">, e lo abbiamo</w:t>
      </w:r>
      <w:r>
        <w:t xml:space="preserve"> </w:t>
      </w:r>
      <w:r>
        <w:t xml:space="preserve">dimostrato prima di aggirarlo: nelle tavole comunali del censimento permanente la tavola</w:t>
      </w:r>
      <w:r>
        <w:t xml:space="preserve"> </w:t>
      </w:r>
      <w:r>
        <w:t xml:space="preserve">lavoro pubblica il titolo solo come</w:t>
      </w:r>
      <w:r>
        <w:t xml:space="preserve"> </w:t>
      </w:r>
      <w:r>
        <w:rPr>
          <w:rStyle w:val="VerbatimChar"/>
        </w:rPr>
        <w:t xml:space="preserve">ALL</w:t>
      </w:r>
      <w:r>
        <w:t xml:space="preserve"> </w:t>
      </w:r>
      <w:r>
        <w:t xml:space="preserve">e la tavola istruzione pubblica la condizione</w:t>
      </w:r>
      <w:r>
        <w:t xml:space="preserve"> </w:t>
      </w:r>
      <w:r>
        <w:t xml:space="preserve">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una domanda a cui i dati pubblici</w:t>
      </w:r>
      <w:r>
        <w:t xml:space="preserve"> </w:t>
      </w:r>
      <w:r>
        <w:t xml:space="preserve">rispondono.</w:t>
      </w:r>
    </w:p>
    <w:p>
      <w:pPr>
        <w:pStyle w:val="BodyText"/>
      </w:pPr>
      <w:r>
        <w:t xml:space="preserve">Quello che si può dire, si dice con due misure parallele sulla stessa fascia e sullo</w:t>
      </w:r>
      <w:r>
        <w:t xml:space="preserve"> </w:t>
      </w:r>
      <w:r>
        <w:t xml:space="preserve">stesso denominatore (fig11, sezione 3.1), con il confronto territoriale (sezione 2) e</w:t>
      </w:r>
      <w:r>
        <w:t xml:space="preserve"> </w:t>
      </w:r>
      <w:r>
        <w:t xml:space="preserve">con la lente dei pari a pari istruzione (sezione 2.4). Tutto converge sulla stessa</w:t>
      </w:r>
      <w:r>
        <w:t xml:space="preserve"> </w:t>
      </w:r>
      <w:r>
        <w:t xml:space="preserve">conclusione:</w:t>
      </w:r>
      <w:r>
        <w:t xml:space="preserve"> </w:t>
      </w:r>
      <w:r>
        <w:rPr>
          <w:b/>
          <w:bCs/>
        </w:rPr>
        <w:t xml:space="preserve">il collo di bottiglia non è la produzione di titoli - quasi universale</w:t>
      </w:r>
      <w:r>
        <w:rPr>
          <w:b/>
          <w:bCs/>
        </w:rPr>
        <w:t xml:space="preserve"> </w:t>
      </w:r>
      <w:r>
        <w:rPr>
          <w:b/>
          <w:bCs/>
        </w:rPr>
        <w:t xml:space="preserve">alla base già nel 2011, con il 96,7% dei 15-19enni almeno alla licenza media - ma la</w:t>
      </w:r>
      <w:r>
        <w:rPr>
          <w:b/>
          <w:bCs/>
        </w:rPr>
        <w:t xml:space="preserve"> </w:t>
      </w:r>
      <w:r>
        <w:rPr>
          <w:b/>
          <w:bCs/>
        </w:rPr>
        <w:t xml:space="preserve">conversione dei titoli in lavoro.</w:t>
      </w:r>
      <w:r>
        <w:t xml:space="preserve"> </w:t>
      </w:r>
      <w:r>
        <w:t xml:space="preserve">→</w:t>
      </w:r>
      <w:r>
        <w:t xml:space="preserve"> </w:t>
      </w:r>
      <w:r>
        <w:rPr>
          <w:rStyle w:val="VerbatimChar"/>
        </w:rPr>
        <w:t xml:space="preserve">edu_historical_benchmarks_2011.csv</w:t>
      </w:r>
    </w:p>
    <w:p>
      <w:pPr>
        <w:pStyle w:val="BodyText"/>
      </w:pPr>
      <w:r>
        <w:drawing>
          <wp:inline>
            <wp:extent cx="6108700" cy="4185761"/>
            <wp:effectExtent b="0" l="0" r="0" t="0"/>
            <wp:docPr descr="" title="" id="64" name="Picture"/>
            <a:graphic>
              <a:graphicData uri="http://schemas.openxmlformats.org/drawingml/2006/picture">
                <pic:pic>
                  <pic:nvPicPr>
                    <pic:cNvPr descr="/home/kiycoh/Documents/dev/datapolis-2026-hackathon/.docx-build/edu_fig02_catena_2011.png" id="65" name="Picture"/>
                    <pic:cNvPicPr>
                      <a:picLocks noChangeArrowheads="1" noChangeAspect="1"/>
                    </pic:cNvPicPr>
                  </pic:nvPicPr>
                  <pic:blipFill>
                    <a:blip r:embed="rId63"/>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t xml:space="preserve">La versione individuale della domanda resta la più importante del territorio, ed è per</w:t>
      </w:r>
      <w:r>
        <w:t xml:space="preserve"> </w:t>
      </w:r>
      <w:r>
        <w:t xml:space="preserve">questo che la proposta la trasforma in un output: il dataset di servizio della sezione</w:t>
      </w:r>
      <w:r>
        <w:t xml:space="preserve"> </w:t>
      </w:r>
      <w:r>
        <w:t xml:space="preserve">7.5 misura, per la prima volta a Bagheria, titolo → azione → esito sulla singola</w:t>
      </w:r>
      <w:r>
        <w:t xml:space="preserve"> </w:t>
      </w:r>
      <w:r>
        <w:t xml:space="preserve">persona.</w:t>
      </w:r>
    </w:p>
    <w:p>
      <w:r>
        <w:pict>
          <v:rect style="width:0;height:1.5pt" o:hralign="center" o:hrstd="t" o:hr="t"/>
        </w:pict>
      </w:r>
    </w:p>
    <w:bookmarkEnd w:id="66"/>
    <w:bookmarkStart w:id="87" w:name="X13b58726417895ce1807b3b3784596586be4486"/>
    <w:p>
      <w:pPr>
        <w:pStyle w:val="Heading1"/>
      </w:pPr>
      <w:r>
        <w:t xml:space="preserve">5. Il pendolarismo verso Palermo: si esce per studiare, non per lavorare</w:t>
      </w:r>
    </w:p>
    <w:p>
      <w:pPr>
        <w:pStyle w:val="FirstParagraph"/>
      </w:pPr>
      <w:r>
        <w:t xml:space="preserve">Il terzo focus del brief, e l’unica sezione in cui questa relazione ha</w:t>
      </w:r>
      <w:r>
        <w:t xml:space="preserve"> </w:t>
      </w:r>
      <w:r>
        <w:rPr>
          <w:b/>
          <w:bCs/>
        </w:rPr>
        <w:t xml:space="preserve">cambiato idea su</w:t>
      </w:r>
      <w:r>
        <w:rPr>
          <w:b/>
          <w:bCs/>
        </w:rPr>
        <w:t xml:space="preserve"> </w:t>
      </w:r>
      <w:r>
        <w:rPr>
          <w:b/>
          <w:bCs/>
        </w:rPr>
        <w:t xml:space="preserve">sé stessa</w:t>
      </w:r>
      <w:r>
        <w:t xml:space="preserve">. Fino al 2026-08-28 dichiarava che «nessuna fonte disponibile identifica Palermo</w:t>
      </w:r>
      <w:r>
        <w:t xml:space="preserve"> </w:t>
      </w:r>
      <w:r>
        <w:t xml:space="preserve">come destinazione». Era vero per le fonti allora usate — il censimento permanente pubblica il</w:t>
      </w:r>
      <w:r>
        <w:t xml:space="preserve"> </w:t>
      </w:r>
      <w:r>
        <w:t xml:space="preserve">pendolarismo comunale solo come dentro/fuori comune, e la dimensione</w:t>
      </w:r>
      <w:r>
        <w:t xml:space="preserve"> </w:t>
      </w:r>
      <w:r>
        <w:rPr>
          <w:rStyle w:val="VerbatimChar"/>
        </w:rPr>
        <w:t xml:space="preserve">LOC_DEST</w:t>
      </w:r>
      <w:r>
        <w:t xml:space="preserve"> </w:t>
      </w:r>
      <w:r>
        <w:t xml:space="preserve">del dataflow</w:t>
      </w:r>
      <w:r>
        <w:t xml:space="preserve"> </w:t>
      </w:r>
      <w:r>
        <w:t xml:space="preserve">è servita come valore unico —</w:t>
      </w:r>
      <w:r>
        <w:t xml:space="preserve"> </w:t>
      </w:r>
      <w:r>
        <w:rPr>
          <w:b/>
          <w:bCs/>
        </w:rPr>
        <w:t xml:space="preserve">e non in generale</w:t>
      </w:r>
      <w:r>
        <w:t xml:space="preserve">: ISTAT pubblica le</w:t>
      </w:r>
      <w:r>
        <w:t xml:space="preserve"> </w:t>
      </w:r>
      <w:r>
        <w:rPr>
          <w:i/>
          <w:iCs/>
        </w:rPr>
        <w:t xml:space="preserve">matrici del</w:t>
      </w:r>
      <w:r>
        <w:rPr>
          <w:i/>
          <w:iCs/>
        </w:rPr>
        <w:t xml:space="preserve"> </w:t>
      </w:r>
      <w:r>
        <w:rPr>
          <w:i/>
          <w:iCs/>
        </w:rPr>
        <w:t xml:space="preserve">pendolarismo</w:t>
      </w:r>
      <w:r>
        <w:t xml:space="preserve">, l’origine-destinazione comune per comune con sesso, motivo, mezzo, fascia</w:t>
      </w:r>
      <w:r>
        <w:t xml:space="preserve"> </w:t>
      </w:r>
      <w:r>
        <w:t xml:space="preserve">oraria e durata (censimenti 1991/2001/2011), rifatta sul solo lavoro col censimento</w:t>
      </w:r>
      <w:r>
        <w:t xml:space="preserve"> </w:t>
      </w:r>
      <w:r>
        <w:t xml:space="preserve">permanente 2021. →</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è a campi fissi e senza intestazione: un campo sfalsato darebbe numeri</w:t>
      </w:r>
      <w:r>
        <w:t xml:space="preserve"> </w:t>
      </w:r>
      <w:r>
        <w:t xml:space="preserve">plausibili e sbagliati. Il controllo non è stilistico —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w:t>
      </w:r>
      <w:r>
        <w:t xml:space="preserve">(</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rPr>
          <w:b/>
          <w:bCs/>
        </w:rPr>
        <w:t xml:space="preserve">sette su sette alla prima cifra decimale</w:t>
      </w:r>
      <w:r>
        <w:t xml:space="preserve">) e i</w:t>
      </w:r>
      <w:r>
        <w:t xml:space="preserve"> </w:t>
      </w:r>
      <w:r>
        <w:t xml:space="preserve">totali nazionali del 2011 e del 2021 coincidono con quelli dichiarati da ISTAT. Il che</w:t>
      </w:r>
      <w:r>
        <w:t xml:space="preserve"> </w:t>
      </w:r>
      <w:r>
        <w:t xml:space="preserve">dimostra anche una cosa utile al vincolo di fonti della locandina: la matrice</w:t>
      </w:r>
      <w:r>
        <w:t xml:space="preserve"> </w:t>
      </w:r>
      <w:r>
        <w:rPr>
          <w:b/>
          <w:bCs/>
        </w:rPr>
        <w:t xml:space="preserve">non è una</w:t>
      </w:r>
      <w:r>
        <w:rPr>
          <w:b/>
          <w:bCs/>
        </w:rPr>
        <w:t xml:space="preserve"> </w:t>
      </w:r>
      <w:r>
        <w:rPr>
          <w:b/>
          <w:bCs/>
        </w:rPr>
        <w:t xml:space="preserve">fonte alternativa a 8milaCensus, è il livello sottostante</w:t>
      </w:r>
      <w:r>
        <w:t xml:space="preserve"> </w:t>
      </w:r>
      <w:r>
        <w:t xml:space="preserve">da cui quegli indicatori sono</w:t>
      </w:r>
      <w:r>
        <w:t xml:space="preserve"> </w:t>
      </w:r>
      <w:r>
        <w:t xml:space="preserve">calcolati. → cella «La fonte, e come si controlla che sia letta bene»</w:t>
      </w:r>
    </w:p>
    <w:bookmarkStart w:id="70"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93°</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91°</w:t>
            </w:r>
          </w:p>
        </w:tc>
      </w:tr>
    </w:tbl>
    <w:p>
      <w:pPr>
        <w:pStyle w:val="BodyText"/>
      </w:pPr>
      <w:r>
        <w:t xml:space="preserve">Il secondo comune di destinazione è Santa Flavia al 6,8%:</w:t>
      </w:r>
      <w:r>
        <w:t xml:space="preserve"> </w:t>
      </w:r>
      <w:r>
        <w:rPr>
          <w:b/>
          <w:bCs/>
        </w:rPr>
        <w:t xml:space="preserve">non esiste una seconda</w:t>
      </w:r>
      <w:r>
        <w:rPr>
          <w:b/>
          <w:bCs/>
        </w:rPr>
        <w:t xml:space="preserve"> </w:t>
      </w:r>
      <w:r>
        <w:rPr>
          <w:b/>
          <w:bCs/>
        </w:rPr>
        <w:t xml:space="preserve">direzione</w:t>
      </w:r>
      <w:r>
        <w:t xml:space="preserve">. Il percentile è calcolato sulla misura comparabile — quota di chi esce diretta</w:t>
      </w:r>
      <w:r>
        <w:t xml:space="preserve"> </w:t>
      </w:r>
      <w:r>
        <w:t xml:space="preserve">al</w:t>
      </w:r>
      <w:r>
        <w:t xml:space="preserve"> </w:t>
      </w:r>
      <w:r>
        <w:rPr>
          <w:i/>
          <w:iCs/>
        </w:rPr>
        <w:t xml:space="preserve">proprio</w:t>
      </w:r>
      <w:r>
        <w:t xml:space="preserve"> </w:t>
      </w:r>
      <w:r>
        <w:t xml:space="preserve">capoluogo di provincia — perché «quanti vanno a Palermo» per un comune di Ragusa</w:t>
      </w:r>
      <w:r>
        <w:t xml:space="preserve"> </w:t>
      </w:r>
      <w:r>
        <w:t xml:space="preserve">è zero per costruzione. →</w:t>
      </w:r>
      <w:r>
        <w:t xml:space="preserve"> </w:t>
      </w:r>
      <w:r>
        <w:rPr>
          <w:rStyle w:val="VerbatimChar"/>
        </w:rPr>
        <w:t xml:space="preserve">mob_flussi_bagheria.csv</w:t>
      </w:r>
      <w:r>
        <w:t xml:space="preserve">,</w:t>
      </w:r>
      <w:r>
        <w:t xml:space="preserve"> </w:t>
      </w:r>
      <w:r>
        <w:rPr>
          <w:rStyle w:val="VerbatimChar"/>
        </w:rPr>
        <w:t xml:space="preserve">mob_sintesi.csv</w:t>
      </w:r>
      <w:r>
        <w:t xml:space="preserve">, fig</w:t>
      </w:r>
      <w:r>
        <w:t xml:space="preserve"> </w:t>
      </w:r>
      <w:r>
        <w:rPr>
          <w:rStyle w:val="VerbatimChar"/>
        </w:rPr>
        <w:t xml:space="preserve">mob_fig01</w:t>
      </w:r>
    </w:p>
    <w:p>
      <w:pPr>
        <w:pStyle w:val="BodyText"/>
      </w:pPr>
      <w:r>
        <w:t xml:space="preserve">È il fatto che rende la mobilità una leva di policy e non un dettaglio descrittivo: non c’è</w:t>
      </w:r>
      <w:r>
        <w:t xml:space="preserve"> </w:t>
      </w:r>
      <w:r>
        <w:t xml:space="preserve">da scegliere quale destinazione servire.</w:t>
      </w:r>
    </w:p>
    <w:p>
      <w:pPr>
        <w:pStyle w:val="BodyText"/>
      </w:pPr>
      <w:r>
        <w:drawing>
          <wp:inline>
            <wp:extent cx="6108700" cy="3337974"/>
            <wp:effectExtent b="0" l="0" r="0" t="0"/>
            <wp:docPr descr="" title="" id="68" name="Picture"/>
            <a:graphic>
              <a:graphicData uri="http://schemas.openxmlformats.org/drawingml/2006/picture">
                <pic:pic>
                  <pic:nvPicPr>
                    <pic:cNvPr descr="/home/kiycoh/Documents/dev/datapolis-2026-hackathon/.docx-build/mob_fig01_verso_palermo.png" id="69" name="Picture"/>
                    <pic:cNvPicPr>
                      <a:picLocks noChangeArrowheads="1" noChangeAspect="1"/>
                    </pic:cNvPicPr>
                  </pic:nvPicPr>
                  <pic:blipFill>
                    <a:blip r:embed="rId67"/>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0"/>
    <w:bookmarkStart w:id="77"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quotidianamente</w:t>
      </w:r>
      <w:r>
        <w:t xml:space="preserve"> </w:t>
      </w:r>
      <w:r>
        <w:t xml:space="preserve">per quel motivo, letta per genere. Il denominatore è già condizionato al motivo — chi si</w:t>
      </w:r>
      <w:r>
        <w:t xml:space="preserve"> </w:t>
      </w:r>
      <w:r>
        <w:t xml:space="preserve">sposta per lavoro un lavoro ce l’ha — quindi lo scarto</w:t>
      </w:r>
      <w:r>
        <w:t xml:space="preserve"> </w:t>
      </w:r>
      <w:r>
        <w:rPr>
          <w:b/>
          <w:bCs/>
        </w:rPr>
        <w:t xml:space="preserve">non è un riflesso del divario</w:t>
      </w:r>
      <w:r>
        <w:rPr>
          <w:b/>
          <w:bCs/>
        </w:rPr>
        <w:t xml:space="preserve"> </w:t>
      </w:r>
      <w:r>
        <w:rPr>
          <w:b/>
          <w:bCs/>
        </w:rPr>
        <w:t xml:space="preserve">occupazionale</w:t>
      </w:r>
      <w:r>
        <w:t xml:space="preserve"> </w:t>
      </w:r>
      <w:r>
        <w:t xml:space="preserve">della sezione 3: è una misura indipendente sullo stesso passaggio. E il</w:t>
      </w:r>
      <w:r>
        <w:t xml:space="preserve"> </w:t>
      </w:r>
      <w:r>
        <w:t xml:space="preserve">conteggio del 2011</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enumerazione 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Il verso cambia ovunque; la particolarità di Bagheria è</w:t>
      </w:r>
      <w:r>
        <w:t xml:space="preserve"> </w:t>
      </w:r>
      <w:r>
        <w:rPr>
          <w:b/>
          <w:bCs/>
        </w:rPr>
        <w:t xml:space="preserve">l’ampiezza</w:t>
      </w:r>
      <w:r>
        <w:t xml:space="preserve">: due volte e mezza il</w:t>
      </w:r>
      <w:r>
        <w:t xml:space="preserve"> </w:t>
      </w:r>
      <w:r>
        <w:t xml:space="preserve">salto siciliano, e sul lavoro il</w:t>
      </w:r>
      <w:r>
        <w:t xml:space="preserve"> </w:t>
      </w:r>
      <w:r>
        <w:rPr>
          <w:b/>
          <w:bCs/>
        </w:rPr>
        <w:t xml:space="preserve">13° percentile</w:t>
      </w:r>
      <w:r>
        <w:t xml:space="preserve"> </w:t>
      </w:r>
      <w:r>
        <w:t xml:space="preserve">dei 381 comuni non capoluogo (15° sui</w:t>
      </w:r>
      <w:r>
        <w:t xml:space="preserve"> </w:t>
      </w:r>
      <w:r>
        <w:t xml:space="preserve">390). Le ragazze di</w:t>
      </w:r>
      <w:r>
        <w:t xml:space="preserve"> </w:t>
      </w:r>
      <w:r>
        <w:t xml:space="preserve">Bagheria si muovono. Smettono quando il motivo diventa il lavoro.</w:t>
      </w:r>
    </w:p>
    <w:p>
      <w:pPr>
        <w:pStyle w:val="BodyText"/>
      </w:pPr>
      <w:r>
        <w:drawing>
          <wp:inline>
            <wp:extent cx="6108700" cy="3821862"/>
            <wp:effectExtent b="0" l="0" r="0" t="0"/>
            <wp:docPr descr="" title="" id="72" name="Picture"/>
            <a:graphic>
              <a:graphicData uri="http://schemas.openxmlformats.org/drawingml/2006/picture">
                <pic:pic>
                  <pic:nvPicPr>
                    <pic:cNvPr descr="/home/kiycoh/Documents/dev/datapolis-2026-hackathon/.docx-build/mob_fig02_ribaltamento.png" id="73" name="Picture"/>
                    <pic:cNvPicPr>
                      <a:picLocks noChangeArrowheads="1" noChangeAspect="1"/>
                    </pic:cNvPicPr>
                  </pic:nvPicPr>
                  <pic:blipFill>
                    <a:blip r:embed="rId71"/>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replica tiene, su una fonte che non condivide niente.</w:t>
      </w:r>
      <w:r>
        <w:t xml:space="preserve"> </w:t>
      </w:r>
      <w:r>
        <w:t xml:space="preserve">La stessa misura sul censimento</w:t>
      </w:r>
      <w:r>
        <w:t xml:space="preserve"> </w:t>
      </w:r>
      <w:r>
        <w:t xml:space="preserve">permanente 2018-2019 — altra rilevazione, altro metodo, sette anni dopo — dà per Bagheria</w:t>
      </w:r>
      <w:r>
        <w:t xml:space="preserve"> </w:t>
      </w:r>
      <w:r>
        <w:t xml:space="preserve">+11,3 e +10,9 contro +5,6/+5,9 siciliano e +6,5/+6,1 italiano. È lo stesso punto di rottura</w:t>
      </w:r>
      <w:r>
        <w:t xml:space="preserve"> </w:t>
      </w:r>
      <w:r>
        <w:t xml:space="preserve">della forbice (sezione 3.1) e della finestra 22-25 (sezione 3.3), da una terza tavola.</w:t>
      </w:r>
      <w:r>
        <w:t xml:space="preserve"> </w:t>
      </w:r>
      <w:r>
        <w:t xml:space="preserve">→</w:t>
      </w:r>
      <w:r>
        <w:t xml:space="preserve"> </w:t>
      </w:r>
      <w:r>
        <w:rPr>
          <w:rStyle w:val="VerbatimChar"/>
        </w:rPr>
        <w:t xml:space="preserve">genere_pendolarismo.csv</w:t>
      </w:r>
      <w:r>
        <w:t xml:space="preserve">, fig12</w:t>
      </w:r>
    </w:p>
    <w:p>
      <w:pPr>
        <w:pStyle w:val="BodyText"/>
      </w:pPr>
      <w:r>
        <w:rPr>
          <w:b/>
          <w:bCs/>
        </w:rPr>
        <w:t xml:space="preserve">E non è il divario occupazionale travestito.</w:t>
      </w:r>
      <w:r>
        <w:t xml:space="preserve"> </w:t>
      </w:r>
      <w:r>
        <w:t xml:space="preserve">Controllando il tasso di occupazione</w:t>
      </w:r>
      <w:r>
        <w:t xml:space="preserve"> </w:t>
      </w:r>
      <w:r>
        <w:t xml:space="preserve">femminile</w:t>
      </w:r>
      <w:r>
        <w:t xml:space="preserve"> </w:t>
      </w:r>
      <w:r>
        <w:rPr>
          <w:rStyle w:val="VerbatimChar"/>
        </w:rPr>
        <w:t xml:space="preserve">L11</w:t>
      </w:r>
      <w:r>
        <w:t xml:space="preserve"> </w:t>
      </w:r>
      <w:r>
        <w:t xml:space="preserve">e il divario occupazionale del comune, il residuo di Bagheria passa da −8,7 a</w:t>
      </w:r>
      <w:r>
        <w:t xml:space="preserve"> </w:t>
      </w:r>
      <w:r>
        <w:t xml:space="preserve">−7,0 punti: la misura resta in piedi da sola.</w:t>
      </w:r>
    </w:p>
    <w:p>
      <w:pPr>
        <w:pStyle w:val="BodyText"/>
      </w:pPr>
      <w:r>
        <w:drawing>
          <wp:inline>
            <wp:extent cx="6108700" cy="4125635"/>
            <wp:effectExtent b="0" l="0" r="0" t="0"/>
            <wp:docPr descr="" title="" id="75" name="Picture"/>
            <a:graphic>
              <a:graphicData uri="http://schemas.openxmlformats.org/drawingml/2006/picture">
                <pic:pic>
                  <pic:nvPicPr>
                    <pic:cNvPr descr="/home/kiycoh/Documents/dev/datapolis-2026-hackathon/.docx-build/fig12_pendolarismo.png" id="76" name="Picture"/>
                    <pic:cNvPicPr>
                      <a:picLocks noChangeArrowheads="1" noChangeAspect="1"/>
                    </pic:cNvPicPr>
                  </pic:nvPicPr>
                  <pic:blipFill>
                    <a:blip r:embed="rId74"/>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7"/>
    <w:bookmarkStart w:id="81" w:name="Xf22525226a635ce80bfe8e7330d16ff61a1ec25"/>
    <w:p>
      <w:pPr>
        <w:pStyle w:val="Heading2"/>
      </w:pPr>
      <w:r>
        <w:t xml:space="preserve">5.3 «Bagheria si muove poco» era una lettura sbagliata di un numero giusto</w:t>
      </w:r>
    </w:p>
    <w:p>
      <w:pPr>
        <w:pStyle w:val="FirstParagraph"/>
      </w:pPr>
      <w:r>
        <w:t xml:space="preserve">La versione precedente di questa sezione scriveva: «contesto assoluto, Bagheria si muove</w:t>
      </w:r>
      <w:r>
        <w:t xml:space="preserve"> </w:t>
      </w:r>
      <w:r>
        <w:t xml:space="preserve">poco — mobilità fuori comune</w:t>
      </w:r>
      <w:r>
        <w:t xml:space="preserve"> </w:t>
      </w:r>
      <w:r>
        <w:rPr>
          <w:rStyle w:val="VerbatimChar"/>
        </w:rPr>
        <w:t xml:space="preserve">M2</w:t>
      </w:r>
      <w:r>
        <w:t xml:space="preserve"> </w:t>
      </w:r>
      <w:r>
        <w:t xml:space="preserve">al 25° percentile».</w:t>
      </w:r>
      <w:r>
        <w:t xml:space="preserve"> </w:t>
      </w:r>
      <w:r>
        <w:rPr>
          <w:b/>
          <w:bCs/>
        </w:rPr>
        <w:t xml:space="preserve">Il percentile è esatto, la lettura</w:t>
      </w:r>
      <w:r>
        <w:rPr>
          <w:b/>
          <w:bCs/>
        </w:rPr>
        <w:t xml:space="preserve"> </w:t>
      </w:r>
      <w:r>
        <w:rPr>
          <w:b/>
          <w:bCs/>
        </w:rPr>
        <w:t xml:space="preserve">no.</w:t>
      </w:r>
      <w:r>
        <w:t xml:space="preserve"> </w:t>
      </w:r>
      <w:r>
        <w:t xml:space="preserve">Fuori comune si va per mancanza di lavoro dentro, e Bagheria è il comune più grande</w:t>
      </w:r>
      <w:r>
        <w:t xml:space="preserve"> </w:t>
      </w:r>
      <w:r>
        <w:t xml:space="preserve">della corona di Palermo: 12.000 pendolari contro i 3.000 di Ficarazzi, che infatti manda</w:t>
      </w:r>
      <w:r>
        <w:t xml:space="preserve"> </w:t>
      </w:r>
      <w:r>
        <w:t xml:space="preserve">fuori tre pendolari su quattro contro i due su cinque di Bagheria.</w:t>
      </w:r>
    </w:p>
    <w:p>
      <w:pPr>
        <w:pStyle w:val="BodyText"/>
      </w:pPr>
      <w:r>
        <w:t xml:space="preserve">A parità di</w:t>
      </w:r>
      <w:r>
        <w:t xml:space="preserve"> </w:t>
      </w:r>
      <w:r>
        <w:rPr>
          <w:b/>
          <w:bCs/>
        </w:rPr>
        <w:t xml:space="preserve">distanza dal capoluogo e di dimensione</w:t>
      </w:r>
      <w:r>
        <w:t xml:space="preserve"> </w:t>
      </w:r>
      <w:r>
        <w:t xml:space="preserve">— due variabili geografiche, non di</w:t>
      </w:r>
      <w:r>
        <w:t xml:space="preserve"> </w:t>
      </w:r>
      <w:r>
        <w:t xml:space="preserve">comportamento — il residuo di Bagheria è di</w:t>
      </w:r>
      <w:r>
        <w:t xml:space="preserve"> </w:t>
      </w:r>
      <w:r>
        <w:rPr>
          <w:b/>
          <w:bCs/>
        </w:rPr>
        <w:t xml:space="preserve">−1,9 punti</w:t>
      </w:r>
      <w:r>
        <w:t xml:space="preserve"> </w:t>
      </w:r>
      <w:r>
        <w:t xml:space="preserve">(z = −0,13) e il percentile passa</w:t>
      </w:r>
      <w:r>
        <w:t xml:space="preserve"> </w:t>
      </w:r>
      <w:r>
        <w:t xml:space="preserve">dal 36° grezzo al</w:t>
      </w:r>
      <w:r>
        <w:t xml:space="preserve"> </w:t>
      </w:r>
      <w:r>
        <w:rPr>
          <w:b/>
          <w:bCs/>
        </w:rPr>
        <w:t xml:space="preserve">48°</w:t>
      </w:r>
      <w:r>
        <w:t xml:space="preserve">. Bagheria si muove esattamente quanto ci si aspetta da un comune</w:t>
      </w:r>
      <w:r>
        <w:t xml:space="preserve"> </w:t>
      </w:r>
      <w:r>
        <w:t xml:space="preserve">della sua taglia a quella distanza. →</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Vale anche per</w:t>
      </w:r>
      <w:r>
        <w:t xml:space="preserve"> </w:t>
      </w:r>
      <w:r>
        <w:rPr>
          <w:rStyle w:val="VerbatimChar"/>
        </w:rPr>
        <w:t xml:space="preserve">M4</w:t>
      </w:r>
      <w:r>
        <w:t xml:space="preserve"> </w:t>
      </w:r>
      <w:r>
        <w:t xml:space="preserve">(mobilità studentesca al 18° percentile), che già la versione precedente</w:t>
      </w:r>
      <w:r>
        <w:t xml:space="preserve"> </w:t>
      </w:r>
      <w:r>
        <w:t xml:space="preserve">segnalava non essere di per sé un dato negativo: è un rapporto fuori/dentro comune e Bagheria</w:t>
      </w:r>
      <w:r>
        <w:t xml:space="preserve"> </w:t>
      </w:r>
      <w:r>
        <w:t xml:space="preserve">ha scuole proprie (3 sedi tecniche, anagrafe MIUR). Il modello lo conferma: residuo −0,8</w:t>
      </w:r>
      <w:r>
        <w:t xml:space="preserve"> </w:t>
      </w:r>
      <w:r>
        <w:t xml:space="preserve">punti. →</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79" name="Picture"/>
            <a:graphic>
              <a:graphicData uri="http://schemas.openxmlformats.org/drawingml/2006/picture">
                <pic:pic>
                  <pic:nvPicPr>
                    <pic:cNvPr descr="/home/kiycoh/Documents/dev/datapolis-2026-hackathon/.docx-build/mob_fig04_taglia_distanza.png" id="80" name="Picture"/>
                    <pic:cNvPicPr>
                      <a:picLocks noChangeArrowheads="1" noChangeAspect="1"/>
                    </pic:cNvPicPr>
                  </pic:nvPicPr>
                  <pic:blipFill>
                    <a:blip r:embed="rId78"/>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1"/>
    <w:bookmarkStart w:id="85" w:name="X342a6466fdd0524e63ffaa8cf01fcef58795e44"/>
    <w:p>
      <w:pPr>
        <w:pStyle w:val="Heading2"/>
      </w:pPr>
      <w:r>
        <w:t xml:space="preserve">5.4 Il treno è il canale femminile — e il vincolo non è l’offerta di trasporto</w:t>
      </w:r>
    </w:p>
    <w:p>
      <w:pPr>
        <w:pStyle w:val="FirstParagraph"/>
      </w:pPr>
      <w:r>
        <w:t xml:space="preserve">Mezzo, orario e durata sono rilevati su campione nei comuni sopra i 20.000 abitanti: sono</w:t>
      </w:r>
      <w:r>
        <w:t xml:space="preserve"> </w:t>
      </w:r>
      <w:r>
        <w:t xml:space="preserve">stime, e stanno in una tabella separata dai conteggi esaustivi apposta. La precisione è</w:t>
      </w:r>
      <w:r>
        <w:t xml:space="preserve"> </w:t>
      </w:r>
      <w:r>
        <w:t xml:space="preserve">misurata e non assunta — il file porta la propria misura d’errore, perché per gli stessi</w:t>
      </w:r>
      <w:r>
        <w:t xml:space="preserve"> </w:t>
      </w:r>
      <w:r>
        <w:t xml:space="preserve">strati esistono sia il conteggio esaustivo sia la stima: errore relativo mediano</w:t>
      </w:r>
      <w:r>
        <w:t xml:space="preserve"> </w:t>
      </w:r>
      <w:r>
        <w:rPr>
          <w:b/>
          <w:bCs/>
        </w:rPr>
        <w:t xml:space="preserve">0,9%</w:t>
      </w:r>
      <w:r>
        <w:t xml:space="preserve">,</w:t>
      </w:r>
      <w:r>
        <w:t xml:space="preserve"> </w:t>
      </w:r>
      <w:r>
        <w:t xml:space="preserve">massimo 8,6% sullo strato più piccolo.</w:t>
      </w:r>
    </w:p>
    <w:p>
      <w:pPr>
        <w:pStyle w:val="BodyText"/>
      </w:pPr>
      <w:r>
        <w:t xml:space="preserve">Le quote qui sotto sono</w:t>
      </w:r>
      <w:r>
        <w:t xml:space="preserve"> </w:t>
      </w:r>
      <w:r>
        <w:rPr>
          <w:b/>
          <w:bCs/>
        </w:rPr>
        <w:t xml:space="preserve">calibrate sui margini esatti</w:t>
      </w:r>
      <w:r>
        <w:t xml:space="preserve"> </w:t>
      </w:r>
      <w:r>
        <w:t xml:space="preserve">dei conteggi esaustivi: la</w:t>
      </w:r>
      <w:r>
        <w:t xml:space="preserve"> </w:t>
      </w:r>
      <w:r>
        <w:t xml:space="preserve">calibrazione non cambia la conclusione, la rafforza — lo scarto sul treno passa da 14,5 a</w:t>
      </w:r>
      <w:r>
        <w:t xml:space="preserve"> </w:t>
      </w:r>
      <w:r>
        <w:t xml:space="preserve">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Le donne raggiungono Palermo</w:t>
      </w:r>
      <w:r>
        <w:t xml:space="preserve"> </w:t>
      </w:r>
      <w:r>
        <w:rPr>
          <w:b/>
          <w:bCs/>
        </w:rPr>
        <w:t xml:space="preserve">sul mezzo collettivo</w:t>
      </w:r>
      <w:r>
        <w:t xml:space="preserve">, gli uomini in auto. Partono anche più</w:t>
      </w:r>
      <w:r>
        <w:t xml:space="preserve"> </w:t>
      </w:r>
      <w:r>
        <w:t xml:space="preserve">tardi (prima delle 7:15 il 54,4% contro il 65,0%) e viaggiano più a lungo (31-60 minuti per</w:t>
      </w:r>
      <w:r>
        <w:t xml:space="preserve"> </w:t>
      </w:r>
      <w:r>
        <w:t xml:space="preserve">il 43,8% contro il 36,1%), per 17 chilometri.</w:t>
      </w:r>
    </w:p>
    <w:p>
      <w:pPr>
        <w:pStyle w:val="BodyText"/>
      </w:pPr>
      <w:r>
        <w:rPr>
          <w:b/>
          <w:bCs/>
        </w:rPr>
        <w:t xml:space="preserve">Ma il treno di Bagheria non è sottoutilizzato: è già l’asset di mobilità più distintivo che</w:t>
      </w:r>
      <w:r>
        <w:rPr>
          <w:b/>
          <w:bCs/>
        </w:rPr>
        <w:t xml:space="preserve"> </w:t>
      </w:r>
      <w:r>
        <w:rPr>
          <w:b/>
          <w:bCs/>
        </w:rPr>
        <w:t xml:space="preserve">il comune abbia</w:t>
      </w:r>
      <w:r>
        <w:t xml:space="preserve">, al 98° percentile siciliano per quota di chi esce che lo usa (97° a parità</w:t>
      </w:r>
      <w:r>
        <w:t xml:space="preserve"> </w:t>
      </w:r>
      <w:r>
        <w:t xml:space="preserve">di distanza e taglia). Una proposta del tipo «portare il treno a Bagheria» risolverebbe un</w:t>
      </w:r>
      <w:r>
        <w:t xml:space="preserve"> </w:t>
      </w:r>
      <w:r>
        <w:t xml:space="preserve">problema che non esiste.</w:t>
      </w:r>
    </w:p>
    <w:p>
      <w:pPr>
        <w:pStyle w:val="BodyText"/>
      </w:pPr>
      <w:r>
        <w:drawing>
          <wp:inline>
            <wp:extent cx="6108700" cy="4448333"/>
            <wp:effectExtent b="0" l="0" r="0" t="0"/>
            <wp:docPr descr="" title="" id="83" name="Picture"/>
            <a:graphic>
              <a:graphicData uri="http://schemas.openxmlformats.org/drawingml/2006/picture">
                <pic:pic>
                  <pic:nvPicPr>
                    <pic:cNvPr descr="/home/kiycoh/Documents/dev/datapolis-2026-hackathon/.docx-build/mob_fig03_treno_genere.png" id="84" name="Picture"/>
                    <pic:cNvPicPr>
                      <a:picLocks noChangeArrowheads="1" noChangeAspect="1"/>
                    </pic:cNvPicPr>
                  </pic:nvPicPr>
                  <pic:blipFill>
                    <a:blip r:embed="rId82"/>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 dove il</w:t>
      </w:r>
      <w:r>
        <w:t xml:space="preserve"> </w:t>
      </w:r>
      <w:r>
        <w:t xml:space="preserve">mezzo collettivo pesa di più il divario di genere è più piccolo —</w:t>
      </w:r>
      <w:r>
        <w:t xml:space="preserve"> </w:t>
      </w:r>
      <w:r>
        <w:rPr>
          <w:b/>
          <w:bCs/>
        </w:rPr>
        <w:t xml:space="preserve">non regge</w:t>
      </w:r>
      <w:r>
        <w:t xml:space="preserve"> </w:t>
      </w:r>
      <w:r>
        <w:t xml:space="preserve">sui 390</w:t>
      </w:r>
      <w:r>
        <w:t xml:space="preserve"> </w:t>
      </w:r>
      <w:r>
        <w:t xml:space="preserve">comuni: rho di Spearman −0,10 (p = 0,06) con il segno sbagliato, e il quartile con più</w:t>
      </w:r>
      <w:r>
        <w:t xml:space="preserve"> </w:t>
      </w:r>
      <w:r>
        <w:t xml:space="preserve">mezzo collettivo ha il divario più ampio; sul treno l’associazione è nulla (p = 0,29).</w:t>
      </w:r>
      <w:r>
        <w:t xml:space="preserve"> </w:t>
      </w:r>
      <w:r>
        <w:t xml:space="preserve">Coerentemente, l’ultimo miglio a Palermo non è un collo di bottiglia: dal GTFS di AMAT — la</w:t>
      </w:r>
      <w:r>
        <w:t xml:space="preserve"> </w:t>
      </w:r>
      <w:r>
        <w:t xml:space="preserve">terza fonte indicata dalla locandina — le fermate «Stazione Centrale» hanno 18 linee e</w:t>
      </w:r>
      <w:r>
        <w:t xml:space="preserve"> </w:t>
      </w:r>
      <w:r>
        <w:t xml:space="preserve">~125-130 passaggi l’ora dalle 7 alle 21.</w:t>
      </w:r>
    </w:p>
    <w:p>
      <w:pPr>
        <w:pStyle w:val="BlockText"/>
      </w:pPr>
      <w:r>
        <w:rPr>
          <w:b/>
          <w:bCs/>
        </w:rPr>
        <w:t xml:space="preserve">Conseguenza di progettazione</w:t>
      </w:r>
      <w:r>
        <w:t xml:space="preserve">: l’intervento infrastrutturale è escluso</w:t>
      </w:r>
      <w:r>
        <w:t xml:space="preserve"> </w:t>
      </w:r>
      <w:r>
        <w:rPr>
          <w:i/>
          <w:iCs/>
        </w:rPr>
        <w:t xml:space="preserve">dai dati</w:t>
      </w:r>
      <w:r>
        <w:t xml:space="preserve">, non</w:t>
      </w:r>
      <w:r>
        <w:t xml:space="preserve"> </w:t>
      </w:r>
      <w:r>
        <w:t xml:space="preserve">per preferenza. La leva è il passaggio studio→lavoro, che è dove il divario si apre — cioè</w:t>
      </w:r>
      <w:r>
        <w:t xml:space="preserve"> </w:t>
      </w:r>
      <w:r>
        <w:t xml:space="preserve">esattamente la finestra B di Ponte 19 (sezione 7).</w:t>
      </w:r>
    </w:p>
    <w:bookmarkEnd w:id="85"/>
    <w:bookmarkStart w:id="86"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w:t>
      </w:r>
      <w:r>
        <w:t xml:space="preserve">— non alla parità, al semplice</w:t>
      </w:r>
      <w:r>
        <w:t xml:space="preserve"> </w:t>
      </w:r>
      <w:r>
        <w:t xml:space="preserve">comportamento regionale — vale</w:t>
      </w:r>
      <w:r>
        <w:t xml:space="preserve"> </w:t>
      </w:r>
      <w:r>
        <w:rPr>
          <w:b/>
          <w:bCs/>
        </w:rPr>
        <w:t xml:space="preserve">+279 donne</w:t>
      </w:r>
      <w:r>
        <w:t xml:space="preserve"> </w:t>
      </w:r>
      <w:r>
        <w:t xml:space="preserve">che lavorano fuori comune; la parità piena con</w:t>
      </w:r>
      <w:r>
        <w:t xml:space="preserve"> </w:t>
      </w:r>
      <w:r>
        <w:t xml:space="preserve">gli uomini di Bagheria ne varrebbe 449. È lo stesso ordine di grandezza degli scenari</w:t>
      </w:r>
      <w:r>
        <w:t xml:space="preserve"> </w:t>
      </w:r>
      <w:r>
        <w:t xml:space="preserve">occupazionali della sezione 3 (+239 con la parità coi coetanei, +262 col tasso femminile</w:t>
      </w:r>
      <w:r>
        <w:t xml:space="preserve"> </w:t>
      </w:r>
      <w:r>
        <w:t xml:space="preserve">italiano), su misure che non condividono denominatore. →</w:t>
      </w:r>
      <w:r>
        <w:t xml:space="preserve"> </w:t>
      </w:r>
      <w:r>
        <w:rPr>
          <w:rStyle w:val="VerbatimChar"/>
        </w:rPr>
        <w:t xml:space="preserve">mob_sintesi.csv</w:t>
      </w:r>
      <w:r>
        <w:t xml:space="preserve">,</w:t>
      </w:r>
      <w:r>
        <w:t xml:space="preserve"> </w:t>
      </w:r>
      <w:r>
        <w:rPr>
          <w:rStyle w:val="VerbatimChar"/>
        </w:rPr>
        <w:t xml:space="preserve">genere_gap_persone.csv</w:t>
      </w:r>
    </w:p>
    <w:p>
      <w:pPr>
        <w:pStyle w:val="BodyText"/>
      </w:pPr>
      <w:r>
        <w:rPr>
          <w:b/>
          <w:bCs/>
        </w:rPr>
        <w:t xml:space="preserve">I limiti, per primi.</w:t>
      </w:r>
    </w:p>
    <w:p>
      <w:pPr>
        <w:pStyle w:val="Compact"/>
        <w:numPr>
          <w:ilvl w:val="0"/>
          <w:numId w:val="1008"/>
        </w:numPr>
      </w:pPr>
      <w:r>
        <w:rPr>
          <w:b/>
          <w:bCs/>
        </w:rPr>
        <w:t xml:space="preserve">Nessuna età.</w:t>
      </w:r>
      <w:r>
        <w:t xml:space="preserve"> </w:t>
      </w:r>
      <w:r>
        <w:t xml:space="preserve">Né la matrice né la tavola del censimento permanente hanno la dimensione</w:t>
      </w:r>
      <w:r>
        <w:t xml:space="preserve"> </w:t>
      </w:r>
      <w:r>
        <w:t xml:space="preserve">età (verificato:</w:t>
      </w:r>
      <w:r>
        <w:t xml:space="preserve"> </w:t>
      </w:r>
      <w:r>
        <w:rPr>
          <w:rStyle w:val="VerbatimChar"/>
        </w:rPr>
        <w:t xml:space="preserve">AGE_NOCLASS</w:t>
      </w:r>
      <w:r>
        <w:t xml:space="preserve"> </w:t>
      </w:r>
      <w:r>
        <w:t xml:space="preserve">servita solo come</w:t>
      </w:r>
      <w:r>
        <w:t xml:space="preserve"> </w:t>
      </w:r>
      <w:r>
        <w:rPr>
          <w:rStyle w:val="VerbatimChar"/>
        </w:rPr>
        <w:t xml:space="preserve">TOTAL</w:t>
      </w:r>
      <w:r>
        <w:t xml:space="preserve">, anche a livello nazionale). Il</w:t>
      </w:r>
      <w:r>
        <w:t xml:space="preserve"> </w:t>
      </w:r>
      <w:r>
        <w:t xml:space="preserve">target 15-34 del brief</w:t>
      </w:r>
      <w:r>
        <w:t xml:space="preserve"> </w:t>
      </w:r>
      <w:r>
        <w:rPr>
          <w:b/>
          <w:bCs/>
        </w:rPr>
        <w:t xml:space="preserve">non è isolabile sul pendolarismo</w:t>
      </w:r>
      <w:r>
        <w:t xml:space="preserve">. Il motivo è un’informazione</w:t>
      </w:r>
      <w:r>
        <w:t xml:space="preserve"> </w:t>
      </w:r>
      <w:r>
        <w:t xml:space="preserve">d’età parziale e va usata come tale: chi esce per studio è quasi solo secondaria superiore</w:t>
      </w:r>
      <w:r>
        <w:t xml:space="preserve"> </w:t>
      </w:r>
      <w:r>
        <w:t xml:space="preserve">e università, perché i cicli precedenti a Bagheria ci sono tutti.</w:t>
      </w:r>
    </w:p>
    <w:p>
      <w:pPr>
        <w:pStyle w:val="Compact"/>
        <w:numPr>
          <w:ilvl w:val="0"/>
          <w:numId w:val="1008"/>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w:t>
      </w:r>
      <w:r>
        <w:t xml:space="preserve"> </w:t>
      </w:r>
      <w:r>
        <w:t xml:space="preserve">2021 chi si reca al lavoro</w:t>
      </w:r>
      <w:r>
        <w:t xml:space="preserve"> </w:t>
      </w:r>
      <w:r>
        <w:rPr>
          <w:i/>
          <w:iCs/>
        </w:rPr>
        <w:t xml:space="preserve">almeno tre giorni a settimana</w:t>
      </w:r>
      <w:r>
        <w:t xml:space="preserve">, e il 2021 copre il solo lavoro</w:t>
      </w:r>
      <w:r>
        <w:t xml:space="preserve"> </w:t>
      </w:r>
      <w:r>
        <w:t xml:space="preserve">e non ha il sesso. Si confronta la composizione — dove vanno, su cento che escono — mai il</w:t>
      </w:r>
      <w:r>
        <w:t xml:space="preserve"> </w:t>
      </w:r>
      <w:r>
        <w:t xml:space="preserve">livello; la colonna</w:t>
      </w:r>
      <w:r>
        <w:t xml:space="preserve"> </w:t>
      </w:r>
      <w:r>
        <w:rPr>
          <w:rStyle w:val="VerbatimChar"/>
        </w:rPr>
        <w:t xml:space="preserve">definizione</w:t>
      </w:r>
      <w:r>
        <w:t xml:space="preserve"> </w:t>
      </w:r>
      <w:r>
        <w:t xml:space="preserve">della tabella lo porta scritto riga per riga.</w:t>
      </w:r>
    </w:p>
    <w:p>
      <w:pPr>
        <w:pStyle w:val="Compact"/>
        <w:numPr>
          <w:ilvl w:val="0"/>
          <w:numId w:val="1008"/>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il carico di cura resta un’ipotesi.</w:t>
      </w:r>
    </w:p>
    <w:p>
      <w:pPr>
        <w:pStyle w:val="Compact"/>
        <w:numPr>
          <w:ilvl w:val="0"/>
          <w:numId w:val="1008"/>
        </w:numPr>
      </w:pPr>
      <w:r>
        <w:rPr>
          <w:b/>
          <w:bCs/>
        </w:rPr>
        <w:t xml:space="preserve">Correlazioni ecologiche.</w:t>
      </w:r>
      <w:r>
        <w:t xml:space="preserve"> </w:t>
      </w:r>
      <w:r>
        <w:t xml:space="preserve">Sui 390 comuni la mobilità fuori comune correla con</w:t>
      </w:r>
      <w:r>
        <w:t xml:space="preserve"> </w:t>
      </w:r>
      <w:r>
        <w:t xml:space="preserve">l’occupazione femminile (Spearman +0,32): orienta l’ipotesi, non la dimostra. E l’</w:t>
      </w:r>
      <w:r>
        <w:rPr>
          <w:rStyle w:val="VerbatimChar"/>
        </w:rPr>
        <w:t xml:space="preserve">R²</w:t>
      </w:r>
      <w:r>
        <w:t xml:space="preserve"> </w:t>
      </w:r>
      <w:r>
        <w:t xml:space="preserve">dei</w:t>
      </w:r>
      <w:r>
        <w:t xml:space="preserve"> </w:t>
      </w:r>
      <w:r>
        <w:t xml:space="preserve">modelli sui divari di genere è vicino a zero — «atteso» lì vuol dire poco più di «media</w:t>
      </w:r>
      <w:r>
        <w:t xml:space="preserve"> </w:t>
      </w:r>
      <w:r>
        <w:t xml:space="preserve">siciliana». →</w:t>
      </w:r>
      <w:r>
        <w:t xml:space="preserve"> </w:t>
      </w:r>
      <w:r>
        <w:rPr>
          <w:rStyle w:val="VerbatimChar"/>
        </w:rPr>
        <w:t xml:space="preserve">genere_mobilita_2011.csv</w:t>
      </w:r>
    </w:p>
    <w:p>
      <w:pPr>
        <w:pStyle w:val="Compact"/>
        <w:numPr>
          <w:ilvl w:val="0"/>
          <w:numId w:val="1008"/>
        </w:numPr>
      </w:pPr>
      <w:r>
        <w:rPr>
          <w:b/>
          <w:bCs/>
        </w:rPr>
        <w:t xml:space="preserve">Palermo non è un termine di paragone su questa misura</w:t>
      </w:r>
      <w:r>
        <w:t xml:space="preserve">: è un comune grande e compare con</w:t>
      </w:r>
      <w:r>
        <w:t xml:space="preserve"> </w:t>
      </w:r>
      <w:r>
        <w:t xml:space="preserve">valori bassissimi per costruzione.</w:t>
      </w:r>
    </w:p>
    <w:p>
      <w:r>
        <w:pict>
          <v:rect style="width:0;height:1.5pt" o:hralign="center" o:hrstd="t" o:hr="t"/>
        </w:pict>
      </w:r>
    </w:p>
    <w:bookmarkEnd w:id="86"/>
    <w:bookmarkEnd w:id="87"/>
    <w:bookmarkStart w:id="91" w:name="la-fuga-contata-il-denominatore-si-muove"/>
    <w:p>
      <w:pPr>
        <w:pStyle w:val="Heading1"/>
      </w:pPr>
      <w:r>
        <w:t xml:space="preserve">6. La fuga, contata: il denominatore si muove</w:t>
      </w:r>
    </w:p>
    <w:p>
      <w:pPr>
        <w:pStyle w:val="FirstParagraph"/>
      </w:pPr>
      <w:r>
        <w:t xml:space="preserve">La «fuga di talenti» del brief non è un aneddoto: sta nel denominatore di ogni tasso di</w:t>
      </w:r>
      <w:r>
        <w:t xml:space="preserve"> </w:t>
      </w:r>
      <w:r>
        <w:t xml:space="preserve">questa relazione.</w:t>
      </w:r>
    </w:p>
    <w:p>
      <w:pPr>
        <w:pStyle w:val="Compact"/>
        <w:numPr>
          <w:ilvl w:val="0"/>
          <w:numId w:val="1009"/>
        </w:numPr>
      </w:pPr>
      <w:r>
        <w:t xml:space="preserve">La popolazione 15-34 passa da</w:t>
      </w:r>
      <w:r>
        <w:t xml:space="preserve"> </w:t>
      </w:r>
      <w:r>
        <w:rPr>
          <w:b/>
          <w:bCs/>
        </w:rPr>
        <w:t xml:space="preserve">12.174 (2021) a 11.861 (2024)</w:t>
      </w:r>
      <w:r>
        <w:t xml:space="preserve">: −313 persone, −2,6%</w:t>
      </w:r>
      <w:r>
        <w:t xml:space="preserve"> </w:t>
      </w:r>
      <w:r>
        <w:t xml:space="preserve">in tre anni. →</w:t>
      </w:r>
      <w:r>
        <w:t xml:space="preserve"> </w:t>
      </w:r>
      <w:r>
        <w:rPr>
          <w:rStyle w:val="VerbatimChar"/>
        </w:rPr>
        <w:t xml:space="preserve">analisi_popolazione_giovane.csv</w:t>
      </w:r>
    </w:p>
    <w:p>
      <w:pPr>
        <w:pStyle w:val="Compact"/>
        <w:numPr>
          <w:ilvl w:val="0"/>
          <w:numId w:val="1009"/>
        </w:numPr>
      </w:pPr>
      <w:r>
        <w:t xml:space="preserve">Il ricambio migratorio non c’è: gli stranieri sono l’</w:t>
      </w:r>
      <w:r>
        <w:rPr>
          <w:b/>
          <w:bCs/>
        </w:rPr>
        <w:t xml:space="preserve">1,6% del 15-34</w:t>
      </w:r>
      <w:r>
        <w:t xml:space="preserve"> </w:t>
      </w:r>
      <w:r>
        <w:t xml:space="preserve">(195 persone)</w:t>
      </w:r>
      <w:r>
        <w:t xml:space="preserve"> </w:t>
      </w:r>
      <w:r>
        <w:t xml:space="preserve">contro 5,1% a Palermo, 6,4% in Sicilia, 12,4% in Italia. Fra 2021 e 2024: −350</w:t>
      </w:r>
      <w:r>
        <w:t xml:space="preserve"> </w:t>
      </w:r>
      <w:r>
        <w:t xml:space="preserve">italiani (di cui −219 ragazze), +37 stranieri.</w:t>
      </w:r>
      <w:r>
        <w:t xml:space="preserve"> </w:t>
      </w:r>
      <w:r>
        <w:rPr>
          <w:b/>
          <w:bCs/>
        </w:rPr>
        <w:t xml:space="preserve">La fuga è al netto di niente.</w:t>
      </w:r>
      <w:r>
        <w:t xml:space="preserve"> </w:t>
      </w:r>
      <w:r>
        <w:t xml:space="preserve">→</w:t>
      </w:r>
      <w:r>
        <w:t xml:space="preserve"> </w:t>
      </w:r>
      <w:r>
        <w:rPr>
          <w:rStyle w:val="VerbatimChar"/>
        </w:rPr>
        <w:t xml:space="preserve">genere_stranieri.csv</w:t>
      </w:r>
    </w:p>
    <w:p>
      <w:pPr>
        <w:pStyle w:val="FirstParagraph"/>
      </w:pPr>
      <w:r>
        <w:drawing>
          <wp:inline>
            <wp:extent cx="6108700" cy="3772133"/>
            <wp:effectExtent b="0" l="0" r="0" t="0"/>
            <wp:docPr descr="" title="" id="89" name="Picture"/>
            <a:graphic>
              <a:graphicData uri="http://schemas.openxmlformats.org/drawingml/2006/picture">
                <pic:pic>
                  <pic:nvPicPr>
                    <pic:cNvPr descr="/home/kiycoh/Documents/dev/datapolis-2026-hackathon/.docx-build/edu_fig08_popolazione.png" id="90" name="Picture"/>
                    <pic:cNvPicPr>
                      <a:picLocks noChangeArrowheads="1" noChangeAspect="1"/>
                    </pic:cNvPicPr>
                  </pic:nvPicPr>
                  <pic:blipFill>
                    <a:blip r:embed="rId88"/>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Compact"/>
        <w:numPr>
          <w:ilvl w:val="0"/>
          <w:numId w:val="1010"/>
        </w:numPr>
      </w:pPr>
      <w:r>
        <w:t xml:space="preserve">Chi avrà 15-24 anni nel 2029 e nel 2034</w:t>
      </w:r>
      <w:r>
        <w:t xml:space="preserve"> </w:t>
      </w:r>
      <w:r>
        <w:rPr>
          <w:b/>
          <w:bCs/>
        </w:rPr>
        <w:t xml:space="preserve">è già nato e già residente</w:t>
      </w:r>
      <w:r>
        <w:t xml:space="preserve">: nessuna</w:t>
      </w:r>
      <w:r>
        <w:t xml:space="preserve"> </w:t>
      </w:r>
      <w:r>
        <w:t xml:space="preserve">proiezione, un conteggio. Le ragazze passano da 2.882 (2024) a 2.651 (2029, −8,0%) a</w:t>
      </w:r>
      <w:r>
        <w:t xml:space="preserve"> </w:t>
      </w:r>
      <w:r>
        <w:rPr>
          <w:b/>
          <w:bCs/>
        </w:rPr>
        <w:t xml:space="preserve">2.435 (2034, −15,5%)</w:t>
      </w:r>
      <w:r>
        <w:t xml:space="preserve">; i ragazzi −2,5% e −5,8%. Nei territori di confronto il calo</w:t>
      </w:r>
      <w:r>
        <w:t xml:space="preserve"> </w:t>
      </w:r>
      <w:r>
        <w:t xml:space="preserve">è simmetrico fra i generi; a Bagheria no. →</w:t>
      </w:r>
      <w:r>
        <w:t xml:space="preserve"> </w:t>
      </w:r>
      <w:r>
        <w:rPr>
          <w:rStyle w:val="VerbatimChar"/>
        </w:rPr>
        <w:t xml:space="preserve">genere_platea.csv</w:t>
      </w:r>
      <w:r>
        <w:t xml:space="preserve"> </w:t>
      </w:r>
      <w:r>
        <w:t xml:space="preserve">(cautela: l’asimmetria origina da una sex ratio 5-14 anomala, 117 maschi per 100 femmine</w:t>
      </w:r>
      <w:r>
        <w:t xml:space="preserve"> </w:t>
      </w:r>
      <w:r>
        <w:t xml:space="preserve">contro 104-106 dei benchmark, in salita dal 2011, identica su due tavole indipendenti;</w:t>
      </w:r>
      <w:r>
        <w:t xml:space="preserve"> </w:t>
      </w:r>
      <w:r>
        <w:t xml:space="preserve">il meccanismo è aperto e il dato si cita solo insieme al suo audit:</w:t>
      </w:r>
      <w:r>
        <w:t xml:space="preserve"> </w:t>
      </w:r>
      <w:r>
        <w:rPr>
          <w:rStyle w:val="VerbatimChar"/>
        </w:rPr>
        <w:t xml:space="preserve">genere_sex_ratio_5_14.csv</w:t>
      </w:r>
      <w:r>
        <w:t xml:space="preserve">)</w:t>
      </w:r>
    </w:p>
    <w:p>
      <w:pPr>
        <w:pStyle w:val="FirstParagraph"/>
      </w:pPr>
      <w:r>
        <w:t xml:space="preserve">La conseguenza per qualunque intervento è aritmetica, ed è il secondo pilastro della</w:t>
      </w:r>
      <w:r>
        <w:t xml:space="preserve"> </w:t>
      </w:r>
      <w:r>
        <w:t xml:space="preserve">proposta: al tasso obiettivo di Palermo (9,59%), l’equivalente di «+40 occupate»</w:t>
      </w:r>
      <w:r>
        <w:t xml:space="preserve"> </w:t>
      </w:r>
      <w:r>
        <w:t xml:space="preserve">misurato sulla platea di ciascun anno vale</w:t>
      </w:r>
      <w:r>
        <w:t xml:space="preserve"> </w:t>
      </w:r>
      <w:r>
        <w:rPr>
          <w:b/>
          <w:bCs/>
        </w:rPr>
        <w:t xml:space="preserve">+18 nel 2029 e −2 nel 2034</w:t>
      </w:r>
      <w:r>
        <w:t xml:space="preserve"> </w:t>
      </w:r>
      <w:r>
        <w:t xml:space="preserve">(lordo +40,4;</w:t>
      </w:r>
      <w:r>
        <w:t xml:space="preserve"> </w:t>
      </w:r>
      <w:r>
        <w:t xml:space="preserve">attrito demografico −22,2 e −42,9). Un obiettivo scritto in teste si annulla da solo</w:t>
      </w:r>
      <w:r>
        <w:t xml:space="preserve"> </w:t>
      </w:r>
      <w:r>
        <w:t xml:space="preserve">senza che 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r>
        <w:pict>
          <v:rect style="width:0;height:1.5pt" o:hralign="center" o:hrstd="t" o:hr="t"/>
        </w:pict>
      </w:r>
    </w:p>
    <w:bookmarkEnd w:id="91"/>
    <w:bookmarkStart w:id="102"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è</w:t>
      </w:r>
      <w:r>
        <w:t xml:space="preserve"> </w:t>
      </w:r>
      <w:r>
        <w:rPr>
          <w:rStyle w:val="VerbatimChar"/>
        </w:rPr>
        <w:t xml:space="preserve">docs/POLICY_PONTE_19.md</w:t>
      </w:r>
      <w:r>
        <w:t xml:space="preserve">. Qui la sua derivazione dall’evidenza, nel formato fissato dal</w:t>
      </w:r>
      <w:r>
        <w:t xml:space="preserve"> </w:t>
      </w:r>
      <w:r>
        <w:t xml:space="preserve">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giovani fuori da lavoro e studio non cerca (sez. 2.1); la conversione titoli→lavoro fallisce soprattutto sulle ragazze (sez. 3.1) in una finestra 22-25 (sez. 3.3); il vincolo di mobilità ha lo stesso segno e lo stesso tempismo - le ragazze escono dal comune per studiare più dei coetanei (+2,6 punti) e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 non a domanda spontanea -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Quota di genere ≥50% F sui presi in carico. Capacità pilota: 200 persone/anno (~18% degli inattivi non studenti)</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(7.4)</w:t>
            </w:r>
          </w:p>
        </w:tc>
      </w:tr>
    </w:tbl>
    <w:bookmarkStart w:id="92" w:name="perché-non-è-un-intervento-sui-trasporti"/>
    <w:p>
      <w:pPr>
        <w:pStyle w:val="Heading2"/>
      </w:pPr>
      <w:r>
        <w:t xml:space="preserve">7.0 Perché non è un intervento sui trasporti</w:t>
      </w:r>
    </w:p>
    <w:p>
      <w:pPr>
        <w:pStyle w:val="FirstParagraph"/>
      </w:pPr>
      <w:r>
        <w:t xml:space="preserve">La domanda arriva da sola leggendo la sezione 5: se il collegamento con Palermo è il canale</w:t>
      </w:r>
      <w:r>
        <w:t xml:space="preserve"> </w:t>
      </w:r>
      <w:r>
        <w:t xml:space="preserve">delle donne, perché non intervenire lì? Perché</w:t>
      </w:r>
      <w:r>
        <w:t xml:space="preserve"> </w:t>
      </w:r>
      <w:r>
        <w:rPr>
          <w:b/>
          <w:bCs/>
        </w:rPr>
        <w:t xml:space="preserve">i dati lo escludono</w:t>
      </w:r>
      <w:r>
        <w:t xml:space="preserve">, e in due modi</w:t>
      </w:r>
      <w:r>
        <w:t xml:space="preserve"> </w:t>
      </w:r>
      <w:r>
        <w:t xml:space="preserve">indipendenti. Il treno di Bagheria è già al 98° percentile siciliano per uso (sez. 5.4):</w:t>
      </w:r>
      <w:r>
        <w:t xml:space="preserve"> </w:t>
      </w:r>
      <w:r>
        <w:t xml:space="preserve">non c’è un’infrastruttura sottoutilizzata da attivare. E sui 390 comuni una maggiore quota di</w:t>
      </w:r>
      <w:r>
        <w:t xml:space="preserve"> </w:t>
      </w:r>
      <w:r>
        <w:t xml:space="preserve">mezzo collettivo</w:t>
      </w:r>
      <w:r>
        <w:t xml:space="preserve"> </w:t>
      </w:r>
      <w:r>
        <w:rPr>
          <w:b/>
          <w:bCs/>
        </w:rPr>
        <w:t xml:space="preserve">non</w:t>
      </w:r>
      <w:r>
        <w:t xml:space="preserve"> </w:t>
      </w:r>
      <w:r>
        <w:t xml:space="preserve">si accompagna a un divario di genere più piccolo — l’associazione è</w:t>
      </w:r>
      <w:r>
        <w:t xml:space="preserve"> </w:t>
      </w:r>
      <w:r>
        <w:t xml:space="preserve">nulla, e col segno sbagliato.</w:t>
      </w:r>
    </w:p>
    <w:p>
      <w:pPr>
        <w:pStyle w:val="BodyText"/>
      </w:pPr>
      <w:r>
        <w:t xml:space="preserve">Resta però un vincolo operativo che il servizio deve rispettare: per le donne di Bagheria il</w:t>
      </w:r>
      <w:r>
        <w:t xml:space="preserve"> </w:t>
      </w:r>
      <w:r>
        <w:t xml:space="preserve">canale verso Palermo è il mezzo collettivo (34,7% contro 18,9%), per gli uomini è l’auto</w:t>
      </w:r>
      <w:r>
        <w:t xml:space="preserve"> </w:t>
      </w:r>
      <w:r>
        <w:t xml:space="preserve">(79,0%).</w:t>
      </w:r>
      <w:r>
        <w:t xml:space="preserve"> </w:t>
      </w:r>
      <w:r>
        <w:rPr>
          <w:b/>
          <w:bCs/>
        </w:rPr>
        <w:t xml:space="preserve">Un servizio che dia per scontata l’auto seleziona per genere</w:t>
      </w:r>
      <w:r>
        <w:t xml:space="preserve">, e selezionerebbe</w:t>
      </w:r>
      <w:r>
        <w:t xml:space="preserve"> </w:t>
      </w:r>
      <w:r>
        <w:t xml:space="preserve">proprio contro la metà che la quota di 7.2 vuole raggiungere: gli orari di convocazione, i</w:t>
      </w:r>
      <w:r>
        <w:t xml:space="preserve"> </w:t>
      </w:r>
      <w:r>
        <w:t xml:space="preserve">tirocini e le sedi vanno scelti su ciò che è raggiungibile in treno e autobus, e la cosa va</w:t>
      </w:r>
      <w:r>
        <w:t xml:space="preserve"> </w:t>
      </w:r>
      <w:r>
        <w:t xml:space="preserve">misurata, non assunta.</w:t>
      </w:r>
    </w:p>
    <w:bookmarkEnd w:id="92"/>
    <w:bookmarkStart w:id="93" w:name="perché-due-finestre"/>
    <w:p>
      <w:pPr>
        <w:pStyle w:val="Heading2"/>
      </w:pPr>
      <w:r>
        <w:t xml:space="preserve">7.1 Perché due finestre</w:t>
      </w:r>
    </w:p>
    <w:p>
      <w:pPr>
        <w:pStyle w:val="FirstParagraph"/>
      </w:pPr>
      <w:r>
        <w:t xml:space="preserve">Le uscite hanno due tempi (sez. 3.3): un servizio con una sola finestra 18-24 prende</w:t>
      </w:r>
      <w:r>
        <w:t xml:space="preserve"> </w:t>
      </w:r>
      <w:r>
        <w:t xml:space="preserve">l’onda maschile precoce e manca le ragazze che se ne andranno a 26. La finestra B esiste</w:t>
      </w:r>
      <w:r>
        <w:t xml:space="preserve"> </w:t>
      </w:r>
      <w:r>
        <w:t xml:space="preserve">per loro.</w:t>
      </w:r>
    </w:p>
    <w:bookmarkEnd w:id="93"/>
    <w:bookmarkStart w:id="94" w:name="perché-la-quota-di-genere"/>
    <w:p>
      <w:pPr>
        <w:pStyle w:val="Heading2"/>
      </w:pPr>
      <w:r>
        <w:t xml:space="preserve">7.2 Perché la quota di genere</w:t>
      </w:r>
    </w:p>
    <w:p>
      <w:pPr>
        <w:pStyle w:val="FirstParagraph"/>
      </w:pPr>
      <w:r>
        <w:t xml:space="preserve">Il gruppo da raggiungere è 51% femminile nelle dimensioni ma radicalmente diverso</w:t>
      </w:r>
      <w:r>
        <w:t xml:space="preserve"> </w:t>
      </w:r>
      <w:r>
        <w:t xml:space="preserve">nell’etichetta (sez. 3.2): un servizio formalmente neutro, coi canali di contatto</w:t>
      </w:r>
      <w:r>
        <w:t xml:space="preserve"> </w:t>
      </w:r>
      <w:r>
        <w:t xml:space="preserve">standard, riprodurrebbe l’asimmetria che deve correggere. La quota impone di costruire</w:t>
      </w:r>
      <w:r>
        <w:t xml:space="preserve"> </w:t>
      </w:r>
      <w:r>
        <w:t xml:space="preserve">i due agganci; non esclude nessuno.</w:t>
      </w:r>
    </w:p>
    <w:bookmarkEnd w:id="94"/>
    <w:bookmarkStart w:id="95" w:name="perché-loutreach-e-non-lo-sportello"/>
    <w:p>
      <w:pPr>
        <w:pStyle w:val="Heading2"/>
      </w:pPr>
      <w:r>
        <w:t xml:space="preserve">7.3 Perché l’outreach e non lo sportello</w:t>
      </w:r>
    </w:p>
    <w:p>
      <w:pPr>
        <w:pStyle w:val="FirstParagraph"/>
      </w:pPr>
      <w:r>
        <w:t xml:space="preserve">Il segmento che cerca lavoro si sta già riducendo da sé (−10,2 punti dal 2018); quello</w:t>
      </w:r>
      <w:r>
        <w:t xml:space="preserve"> </w:t>
      </w:r>
      <w:r>
        <w:t xml:space="preserve">inattivo è fermo (−0,6). Un servizio a domanda spontanea raggiunge il segmento</w:t>
      </w:r>
      <w:r>
        <w:t xml:space="preserve"> </w:t>
      </w:r>
      <w:r>
        <w:t xml:space="preserve">sbagliato per costruzione (sez. 2.2). E poiché almeno l’89% delle casalinghe è nubile,</w:t>
      </w:r>
      <w:r>
        <w:t xml:space="preserve"> </w:t>
      </w:r>
      <w:r>
        <w:t xml:space="preserve">l’aggancio femminile è l’</w:t>
      </w:r>
      <w:r>
        <w:rPr>
          <w:b/>
          <w:bCs/>
        </w:rPr>
        <w:t xml:space="preserve">attivazione</w:t>
      </w:r>
      <w:r>
        <w:t xml:space="preserve"> </w:t>
      </w:r>
      <w:r>
        <w:t xml:space="preserve">dalla famiglia d’origine, non la sola</w:t>
      </w:r>
      <w:r>
        <w:t xml:space="preserve"> </w:t>
      </w:r>
      <w:r>
        <w:t xml:space="preserve">conciliazione (sez. 3.2).</w:t>
      </w:r>
    </w:p>
    <w:bookmarkEnd w:id="95"/>
    <w:bookmarkStart w:id="99"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punti)</w:t>
      </w:r>
      <w:r>
        <w:t xml:space="preserve"> </w:t>
      </w:r>
      <w:r>
        <w:t xml:space="preserve">sta sotto il minimo rilevabile in un anno (MDE 2,14 punti, potenza 46%). Dichiararlo</w:t>
      </w:r>
      <w:r>
        <w:t xml:space="preserve"> </w:t>
      </w:r>
      <w:r>
        <w:t xml:space="preserve">prima dell’avvio è parte della proposta. La lettura annuale spetta agli indicatori di</w:t>
      </w:r>
      <w:r>
        <w:t xml:space="preserve"> </w:t>
      </w:r>
      <w:r>
        <w:t xml:space="preserve">processo (contatti nei 30 giorni, piani nei 15, utenza per età singola e genere contro</w:t>
      </w:r>
      <w:r>
        <w:t xml:space="preserve"> </w:t>
      </w:r>
      <w:r>
        <w:t xml:space="preserve">la platea residente), che oggi nessuno rileva e che il servizio produce.</w:t>
      </w:r>
      <w:r>
        <w:t xml:space="preserve"> </w:t>
      </w:r>
      <w:r>
        <w:t xml:space="preserve">→</w:t>
      </w:r>
      <w:r>
        <w:t xml:space="preserve"> </w:t>
      </w:r>
      <w:r>
        <w:rPr>
          <w:rStyle w:val="VerbatimChar"/>
        </w:rPr>
        <w:t xml:space="preserve">genere_mde.csv</w:t>
      </w:r>
      <w:r>
        <w:t xml:space="preserve"> </w:t>
      </w:r>
      <w:r>
        <w:t xml:space="preserve">(fig09)</w:t>
      </w:r>
    </w:p>
    <w:p>
      <w:pPr>
        <w:pStyle w:val="BodyText"/>
      </w:pPr>
      <w:r>
        <w:drawing>
          <wp:inline>
            <wp:extent cx="6108700" cy="4911712"/>
            <wp:effectExtent b="0" l="0" r="0" t="0"/>
            <wp:docPr descr="" title="" id="97" name="Picture"/>
            <a:graphic>
              <a:graphicData uri="http://schemas.openxmlformats.org/drawingml/2006/picture">
                <pic:pic>
                  <pic:nvPicPr>
                    <pic:cNvPr descr="/home/kiycoh/Documents/dev/datapolis-2026-hackathon/.docx-build/fig09_kpi_finestra.png" id="98" name="Picture"/>
                    <pic:cNvPicPr>
                      <a:picLocks noChangeArrowheads="1" noChangeAspect="1"/>
                    </pic:cNvPicPr>
                  </pic:nvPicPr>
                  <pic:blipFill>
                    <a:blip r:embed="rId96"/>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pPr>
        <w:pStyle w:val="BodyText"/>
      </w:pPr>
      <w:r>
        <w:t xml:space="preserve">Se serve un equivalente in teste per la comunicazione: «+40 occupate sulla platea 2024;</w:t>
      </w:r>
      <w:r>
        <w:t xml:space="preserve"> </w:t>
      </w:r>
      <w:r>
        <w:t xml:space="preserve">il target si riparametra ogni anno come tasso-obiettivo × platea dell’anno», con la</w:t>
      </w:r>
      <w:r>
        <w:t xml:space="preserve"> </w:t>
      </w:r>
      <w:r>
        <w:t xml:space="preserve">formula pubblicata (sez. 6).</w:t>
      </w:r>
    </w:p>
    <w:p>
      <w:pPr>
        <w:pStyle w:val="BodyText"/>
      </w:pPr>
      <w:r>
        <w:t xml:space="preserve">La valutazione è a rollout scaglionato con controfattuale</w:t>
      </w:r>
      <w:r>
        <w:t xml:space="preserve"> </w:t>
      </w:r>
      <w:r>
        <w:rPr>
          <w:b/>
          <w:bCs/>
        </w:rPr>
        <w:t xml:space="preserve">dichiarato in anticipo:</w:t>
      </w:r>
      <w:r>
        <w:rPr>
          <w:b/>
          <w:bCs/>
        </w:rPr>
        <w:t xml:space="preserve"> </w:t>
      </w:r>
      <w:r>
        <w:rPr>
          <w:b/>
          <w:bCs/>
        </w:rPr>
        <w:t xml:space="preserve">Palermo</w:t>
      </w:r>
      <w:r>
        <w:t xml:space="preserve">, e il prerequisito è testato, non assunto: la pendenza del tasso femminile di</w:t>
      </w:r>
      <w:r>
        <w:t xml:space="preserve"> </w:t>
      </w:r>
      <w:r>
        <w:t xml:space="preserve">Bagheria 2018-2024 (+0,65 punti/anno) è indistinguibile da Palermo e Italia</w:t>
      </w:r>
      <w:r>
        <w:t xml:space="preserve"> </w:t>
      </w:r>
      <w:r>
        <w:t xml:space="preserve">(p = 0,29 / 0,33). →</w:t>
      </w:r>
      <w:r>
        <w:t xml:space="preserve"> </w:t>
      </w:r>
      <w:r>
        <w:rPr>
          <w:rStyle w:val="VerbatimChar"/>
        </w:rPr>
        <w:t xml:space="preserve">genere_pretrend.csv</w:t>
      </w:r>
    </w:p>
    <w:bookmarkEnd w:id="99"/>
    <w:bookmarkStart w:id="100" w:name="il-dato-che-il-servizio-produce"/>
    <w:p>
      <w:pPr>
        <w:pStyle w:val="Heading2"/>
      </w:pPr>
      <w:r>
        <w:t xml:space="preserve">7.5 Il dato che il servizio produce</w:t>
      </w:r>
    </w:p>
    <w:p>
      <w:pPr>
        <w:pStyle w:val="FirstParagraph"/>
      </w:pPr>
      <w:r>
        <w:t xml:space="preserve">Ogni presa in carico genera un record pseudonimizzato, titolo/indirizzo → data di</w:t>
      </w:r>
      <w:r>
        <w:t xml:space="preserve"> </w:t>
      </w:r>
      <w:r>
        <w:t xml:space="preserve">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 4): la proposta non consuma soltanto dati,</w:t>
      </w:r>
      <w:r>
        <w:t xml:space="preserve"> </w:t>
      </w:r>
      <w:r>
        <w:rPr>
          <w:b/>
          <w:bCs/>
        </w:rPr>
        <w:t xml:space="preserve">ne produce</w:t>
      </w:r>
      <w:r>
        <w:rPr>
          <w:b/>
          <w:bCs/>
        </w:rPr>
        <w:t xml:space="preserve"> </w:t>
      </w:r>
      <w:r>
        <w:rPr>
          <w:b/>
          <w:bCs/>
        </w:rPr>
        <w:t xml:space="preserve">dove le statistiche pubbliche finiscono</w:t>
      </w:r>
      <w:r>
        <w:t xml:space="preserve">, con una dashboard trimestrale aggregata come</w:t>
      </w:r>
      <w:r>
        <w:t xml:space="preserve"> </w:t>
      </w:r>
      <w:r>
        <w:t xml:space="preserve">impegno di accountability.</w:t>
      </w:r>
    </w:p>
    <w:bookmarkEnd w:id="100"/>
    <w:bookmarkStart w:id="101" w:name="rotta-f-il-modulo-di-genere"/>
    <w:p>
      <w:pPr>
        <w:pStyle w:val="Heading2"/>
      </w:pPr>
      <w:r>
        <w:t xml:space="preserve">7.6 Rotta F: il modulo di genere</w:t>
      </w:r>
    </w:p>
    <w:p>
      <w:pPr>
        <w:pStyle w:val="FirstParagraph"/>
      </w:pPr>
      <w:r>
        <w:t xml:space="preserve">La quota di genere (7.2) impedisce al servizio di riprodurre l’asimmetria che deve</w:t>
      </w:r>
      <w:r>
        <w:t xml:space="preserve"> </w:t>
      </w:r>
      <w:r>
        <w:t xml:space="preserve">correggere, ma</w:t>
      </w:r>
      <w:r>
        <w:t xml:space="preserve"> </w:t>
      </w:r>
      <w:r>
        <w:rPr>
          <w:b/>
          <w:bCs/>
        </w:rPr>
        <w:t xml:space="preserve">non dice come la si corregge</w:t>
      </w:r>
      <w:r>
        <w:t xml:space="preserve">. Lo dice</w:t>
      </w:r>
      <w:r>
        <w:t xml:space="preserve"> </w:t>
      </w:r>
      <w:r>
        <w:rPr>
          <w:rStyle w:val="VerbatimChar"/>
        </w:rPr>
        <w:t xml:space="preserve">docs/POLICY_PONTE_19.md</w:t>
      </w:r>
      <w:r>
        <w:t xml:space="preserve"> </w:t>
      </w:r>
      <w:r>
        <w:t xml:space="preserve">§4-bis,</w:t>
      </w:r>
      <w:r>
        <w:t xml:space="preserve"> </w:t>
      </w:r>
      <w:r>
        <w:t xml:space="preserve">che è la parte di Ponte 19 che risponde al focus principale del bando e vale quasi due</w:t>
      </w:r>
      <w:r>
        <w:t xml:space="preserve"> </w:t>
      </w:r>
      <w:r>
        <w:t xml:space="preserve">quinti della proposta: qui se ne riassume l’ossatura, perché una relazione che mette il</w:t>
      </w:r>
      <w:r>
        <w:t xml:space="preserve"> </w:t>
      </w:r>
      <w:r>
        <w:t xml:space="preserve">genere al centro non può rimandare altrove l’unico pezzo di intervento costruito su di</w:t>
      </w:r>
      <w:r>
        <w:t xml:space="preserve"> </w:t>
      </w:r>
      <w:r>
        <w:t xml:space="preserve">esso.</w:t>
      </w:r>
    </w:p>
    <w:p>
      <w:pPr>
        <w:pStyle w:val="BodyText"/>
      </w:pPr>
      <w:r>
        <w:t xml:space="preserve">Il meccanismo in una riga:</w:t>
      </w:r>
      <w:r>
        <w:t xml:space="preserve"> </w:t>
      </w:r>
      <w:r>
        <w:rPr>
          <w:b/>
          <w:bCs/>
        </w:rPr>
        <w:t xml:space="preserve">le ragazze di Bagheria si spostano per studiare e si fermano</w:t>
      </w:r>
      <w:r>
        <w:rPr>
          <w:b/>
          <w:bCs/>
        </w:rPr>
        <w:t xml:space="preserve"> </w:t>
      </w:r>
      <w:r>
        <w:rPr>
          <w:b/>
          <w:bCs/>
        </w:rPr>
        <w:t xml:space="preserve">per lavorare</w:t>
      </w:r>
      <w:r>
        <w:t xml:space="preserve">. Il modulo apre una componente su ciascuno dei tre anelli che le sezioni 3 e</w:t>
      </w:r>
      <w:r>
        <w:t xml:space="preserve"> </w:t>
      </w:r>
      <w:r>
        <w:t xml:space="preserve">5 mostrano rotti, il contatto, la barriera e la domanda.</w:t>
      </w:r>
    </w:p>
    <w:p>
      <w:pPr>
        <w:pStyle w:val="BodyText"/>
      </w:pPr>
      <w:r>
        <w:rPr>
          <w:b/>
          <w:bCs/>
        </w:rPr>
        <w:t xml:space="preserve">F1 -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nessuna lista nominativa esiste né va</w:t>
      </w:r>
      <w:r>
        <w:t xml:space="preserve"> </w:t>
      </w:r>
      <w:r>
        <w:t xml:space="preserve">costruita. L’etichetta dice dove cercare, non chi. Il contatto passa quindi dai luoghi che</w:t>
      </w:r>
      <w:r>
        <w:t xml:space="preserve"> </w:t>
      </w:r>
      <w:r>
        <w:t xml:space="preserve">quella popolazione già la vedono, le sedi secondarie cittadine, i servizi sociali, i</w:t>
      </w:r>
      <w:r>
        <w:t xml:space="preserve"> </w:t>
      </w:r>
      <w:r>
        <w:t xml:space="preserve">consultori, le associazioni, ed è la traccia femminile delle due tracce di contatto: per le</w:t>
      </w:r>
      <w:r>
        <w:t xml:space="preserve"> </w:t>
      </w:r>
      <w:r>
        <w:t xml:space="preserve">ragazze il carico di cura ha già un nome censuario su cui aprire il colloquio, per i ragazzi</w:t>
      </w:r>
      <w:r>
        <w:t xml:space="preserve"> </w:t>
      </w:r>
      <w:r>
        <w:t xml:space="preserve">quel nome non c’è (sez. 3.2).</w:t>
      </w:r>
    </w:p>
    <w:p>
      <w:pPr>
        <w:pStyle w:val="BodyText"/>
      </w:pPr>
      <w:r>
        <w:rPr>
          <w:b/>
          <w:bCs/>
        </w:rPr>
        <w:t xml:space="preserve">F2 - Barriera: non il collegamento, ma l’orario e il mezzo dati per scontati.</w:t>
      </w:r>
      <w:r>
        <w:t xml:space="preserve"> </w:t>
      </w:r>
      <w:r>
        <w:t xml:space="preserve">È la</w:t>
      </w:r>
      <w:r>
        <w:t xml:space="preserve"> </w:t>
      </w:r>
      <w:r>
        <w:t xml:space="preserve">componente controintuitiva, ed è il punto in cui la proposta rinuncia alla soluzione che</w:t>
      </w:r>
      <w:r>
        <w:t xml:space="preserve"> </w:t>
      </w:r>
      <w:r>
        <w:t xml:space="preserve">tutti si aspettano: l’intervento infrastrutturale è escluso dai dati (7.0), quindi F2 non</w:t>
      </w:r>
      <w:r>
        <w:t xml:space="preserve"> </w:t>
      </w:r>
      <w:r>
        <w:t xml:space="preserve">si appoggia all’offerta di trasporto e non finanzia trasporto. Quello che resta di genere è</w:t>
      </w:r>
      <w:r>
        <w:t xml:space="preserve"> </w:t>
      </w:r>
      <w:r>
        <w:t xml:space="preserve">il canale: verso Palermo le donne vanno sul mezzo collettivo e gli uomini in auto (treno</w:t>
      </w:r>
      <w:r>
        <w:t xml:space="preserve"> </w:t>
      </w:r>
      <w:r>
        <w:t xml:space="preserve">31,5% contro 16,4%, sez. 5.4). Un servizio che dia per scontata l’auto seleziona per genere,</w:t>
      </w:r>
      <w:r>
        <w:t xml:space="preserve"> </w:t>
      </w:r>
      <w:r>
        <w:t xml:space="preserve">e lo fa in silenzio. La regola operativa che ne discende è una sola: nessuna opportunità</w:t>
      </w:r>
      <w:r>
        <w:t xml:space="preserve"> </w:t>
      </w:r>
      <w:r>
        <w:t xml:space="preserve">entra nel piano di transizione senza</w:t>
      </w:r>
      <w:r>
        <w:t xml:space="preserve"> </w:t>
      </w:r>
      <w:r>
        <w:rPr>
          <w:b/>
          <w:bCs/>
        </w:rPr>
        <w:t xml:space="preserve">verifica di raggiungibilità col mezzo collettivo</w:t>
      </w:r>
      <w:r>
        <w:rPr>
          <w:b/>
          <w:bCs/>
        </w:rPr>
        <w:t xml:space="preserve"> </w:t>
      </w:r>
      <w:r>
        <w:rPr>
          <w:b/>
          <w:bCs/>
        </w:rPr>
        <w:t xml:space="preserve">negli orari reali della posizione</w:t>
      </w:r>
      <w:r>
        <w:t xml:space="preserve">. Costa istruttoria, non budget.</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w:t>
      </w:r>
      <w:r>
        <w:t xml:space="preserve"> </w:t>
      </w:r>
      <w:r>
        <w:t xml:space="preserve">opportunità nelle gare e nelle concessioni comunali, sul modello dell’art. 47 del DL 77/2021</w:t>
      </w:r>
      <w:r>
        <w:t xml:space="preserve"> </w:t>
      </w:r>
      <w:r>
        <w:t xml:space="preserve">(assunzioni di donne e under 36 negli appalti PNRR), orientati alle</w:t>
      </w:r>
      <w:r>
        <w:t xml:space="preserve"> </w:t>
      </w:r>
      <w:r>
        <w:rPr>
          <w:b/>
          <w:bCs/>
        </w:rPr>
        <w:t xml:space="preserve">donne 22-25</w:t>
      </w:r>
      <w:r>
        <w:t xml:space="preserve"> </w:t>
      </w:r>
      <w:r>
        <w:t xml:space="preserve">e con</w:t>
      </w:r>
      <w:r>
        <w:t xml:space="preserve"> </w:t>
      </w:r>
      <w:r>
        <w:t xml:space="preserve">verifica dell’esito a 6 e 12 mesi. Premialità, non riserva né requisito di residenza: il</w:t>
      </w:r>
      <w:r>
        <w:t xml:space="preserve"> </w:t>
      </w:r>
      <w:r>
        <w:t xml:space="preserve">radicamento locale dell’esito si misura a valle, non si impone in gara. È l’unica delle tre</w:t>
      </w:r>
      <w:r>
        <w:t xml:space="preserve"> </w:t>
      </w:r>
      <w:r>
        <w:t xml:space="preserve">componenti che non richiede una struttura nuova: è uno strumento amministrativo esistente</w:t>
      </w:r>
      <w:r>
        <w:t xml:space="preserve"> </w:t>
      </w:r>
      <w:r>
        <w:t xml:space="preserve">riorientato su un target dichiarato. Cautela: il volume è piccolo per costruzione, e F3 rende</w:t>
      </w:r>
      <w:r>
        <w:t xml:space="preserve"> </w:t>
      </w:r>
      <w:r>
        <w:t xml:space="preserve">la domanda</w:t>
      </w:r>
      <w:r>
        <w:t xml:space="preserve"> </w:t>
      </w:r>
      <w:r>
        <w:rPr>
          <w:b/>
          <w:bCs/>
        </w:rPr>
        <w:t xml:space="preserve">verificabile</w:t>
      </w:r>
      <w:r>
        <w:t xml:space="preserve">, non la crea (sez. 2.4,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fuori da lavoro e studio (sez. 3.2); la</w:t>
      </w:r>
      <w:r>
        <w:t xml:space="preserve"> </w:t>
      </w:r>
      <w:r>
        <w:t xml:space="preserve">presa in carico pilota è la metà dei 200 previsti dalla quota (7), concentrata sulla</w:t>
      </w:r>
      <w:r>
        <w:t xml:space="preserve"> </w:t>
      </w:r>
      <w:r>
        <w:t xml:space="preserve">finestra prioritaria</w:t>
      </w:r>
      <w:r>
        <w:t xml:space="preserve"> </w:t>
      </w:r>
      <w:r>
        <w:rPr>
          <w:b/>
          <w:bCs/>
        </w:rPr>
        <w:t xml:space="preserve">22-25</w:t>
      </w:r>
      <w:r>
        <w:t xml:space="preserve">, dove il vantaggio educativo non si converte e la ritenzione</w:t>
      </w:r>
      <w:r>
        <w:t xml:space="preserve"> </w:t>
      </w:r>
      <w:r>
        <w:t xml:space="preserve">si rompe senza rientri (sez. 3.3).</w:t>
      </w:r>
    </w:p>
    <w:p>
      <w:pPr>
        <w:pStyle w:val="BodyText"/>
      </w:pPr>
      <w:r>
        <w:rPr>
          <w:b/>
          <w:bCs/>
        </w:rPr>
        <w:t xml:space="preserve">KPI.</w:t>
      </w:r>
      <w:r>
        <w:t xml:space="preserve"> </w:t>
      </w:r>
      <w:r>
        <w:t xml:space="preserve">Il primario del modulo è la</w:t>
      </w:r>
      <w:r>
        <w:t xml:space="preserve"> </w:t>
      </w:r>
      <w:r>
        <w:rPr>
          <w:b/>
          <w:bCs/>
        </w:rPr>
        <w:t xml:space="preserve">quota di casalinghe 15-24</w:t>
      </w:r>
      <w:r>
        <w:t xml:space="preserve"> </w:t>
      </w:r>
      <w:r>
        <w:t xml:space="preserve">(13,4% verso l’11,3% di</w:t>
      </w:r>
      <w:r>
        <w:t xml:space="preserve"> </w:t>
      </w:r>
      <w:r>
        <w:t xml:space="preserve">Palermo), non il tasso di occupazione. La ragione è la finestra di lettura e non la</w:t>
      </w:r>
      <w:r>
        <w:t xml:space="preserve"> </w:t>
      </w:r>
      <w:r>
        <w:t xml:space="preserve">preferenza: fra i due è l’unico che si legge già su un biennio, quindi l’unico che</w:t>
      </w:r>
      <w:r>
        <w:t xml:space="preserve"> </w:t>
      </w:r>
      <w:r>
        <w:t xml:space="preserve">restituisce un verdetto dentro la durata di un mandato. L’occupazione femminile resta</w:t>
      </w:r>
      <w:r>
        <w:t xml:space="preserve"> </w:t>
      </w:r>
      <w:r>
        <w:t xml:space="preserve">l’esito che dà senso al primo e si legge sul triennio pooled (7.4).</w:t>
      </w:r>
    </w:p>
    <w:p>
      <w:pPr>
        <w:pStyle w:val="BodyText"/>
      </w:pPr>
      <w:r>
        <w:rPr>
          <w:b/>
          <w:bCs/>
        </w:rPr>
        <w:t xml:space="preserve">Cosa il modulo non promette</w:t>
      </w:r>
      <w:r>
        <w:t xml:space="preserve">, con lo stesso metro della sezione 9: non identifica le</w:t>
      </w:r>
      <w:r>
        <w:t xml:space="preserve"> </w:t>
      </w:r>
      <w:r>
        <w:t xml:space="preserve">387; non attribuisce la condizione di casalinga a una scelta né a un vincolo familiare</w:t>
      </w:r>
      <w:r>
        <w:t xml:space="preserve"> </w:t>
      </w:r>
      <w:r>
        <w:t xml:space="preserve">osservato, perché lo stato civile esclude il matrimonio precoce come canale ma non osserva</w:t>
      </w:r>
      <w:r>
        <w:t xml:space="preserve"> </w:t>
      </w:r>
      <w:r>
        <w:t xml:space="preserve">convivenze né maternità; non propone interventi sul trasporto; e non sostiene alcuna tesi</w:t>
      </w:r>
      <w:r>
        <w:t xml:space="preserve"> </w:t>
      </w:r>
      <w:r>
        <w:t xml:space="preserve">di segregazione per indirizzo di studio, perché l’anagrafe MIUR dà le sedi e non gli</w:t>
      </w:r>
      <w:r>
        <w:t xml:space="preserve"> </w:t>
      </w:r>
      <w:r>
        <w:t xml:space="preserve">iscritti per genere e indirizzo. Quel dato non esiste, e senza di esso «gli indirizzi</w:t>
      </w:r>
      <w:r>
        <w:t xml:space="preserve"> </w:t>
      </w:r>
      <w:r>
        <w:t xml:space="preserve">femminili non convertono» resterebbe un’ipotesi travestita da evidenza.</w:t>
      </w:r>
    </w:p>
    <w:p>
      <w:r>
        <w:pict>
          <v:rect style="width:0;height:1.5pt" o:hralign="center" o:hrstd="t" o:hr="t"/>
        </w:pict>
      </w:r>
    </w:p>
    <w:bookmarkEnd w:id="101"/>
    <w:bookmarkEnd w:id="102"/>
    <w:bookmarkStart w:id="103" w:name="le-figure"/>
    <w:p>
      <w:pPr>
        <w:pStyle w:val="Heading1"/>
      </w:pPr>
      <w:r>
        <w:t xml:space="preserve">8. Le figure</w:t>
      </w:r>
    </w:p>
    <w:p>
      <w:pPr>
        <w:pStyle w:val="FirstParagraph"/>
      </w:pPr>
      <w:r>
        <w:t xml:space="preserve">La locandina chiede 2-3 visualizzazioni avanzate. La terna consegnata, chiusa il</w:t>
      </w:r>
      <w:r>
        <w:t xml:space="preserve"> </w:t>
      </w:r>
      <w:r>
        <w:t xml:space="preserve">2026-08-29 (criterio e alternativa scartata in</w:t>
      </w:r>
      <w:r>
        <w:t xml:space="preserve"> </w:t>
      </w:r>
      <w:r>
        <w:rPr>
          <w:rStyle w:val="VerbatimChar"/>
        </w:rPr>
        <w:t xml:space="preserve">docs/RELAZIONE.md</w:t>
      </w:r>
      <w:r>
        <w:t xml:space="preserve"> </w:t>
      </w:r>
      <w:r>
        <w:t xml:space="preserve">§3), copre la voce</w:t>
      </w:r>
      <w:r>
        <w:t xml:space="preserve"> </w:t>
      </w:r>
      <w:r>
        <w:t xml:space="preserve">obbligatoria della locandina, il focus esplorativo scelto e l’obiettivo del brief:</w:t>
      </w:r>
    </w:p>
    <w:p>
      <w:pPr>
        <w:pStyle w:val="Compact"/>
        <w:numPr>
          <w:ilvl w:val="0"/>
          <w:numId w:val="1011"/>
        </w:numPr>
      </w:pPr>
      <w:r>
        <w:rPr>
          <w:rStyle w:val="VerbatimChar"/>
          <w:b/>
          <w:bCs/>
        </w:rPr>
        <w:t xml:space="preserve">fig05_forbice</w:t>
      </w:r>
      <w:r>
        <w:t xml:space="preserve"> </w:t>
      </w:r>
      <w:r>
        <w:t xml:space="preserve">- il paradosso in un’immagine: il quadrante «più istruite, meno</w:t>
      </w:r>
      <w:r>
        <w:t xml:space="preserve"> </w:t>
      </w:r>
      <w:r>
        <w:t xml:space="preserve">occupate» sulla stessa fascia 15-24, e la forbice nel tempo col cuneo dal 2021.</w:t>
      </w:r>
    </w:p>
    <w:p>
      <w:pPr>
        <w:pStyle w:val="Compact"/>
        <w:numPr>
          <w:ilvl w:val="0"/>
          <w:numId w:val="1011"/>
        </w:numPr>
      </w:pPr>
      <w:r>
        <w:rPr>
          <w:rStyle w:val="VerbatimChar"/>
          <w:b/>
          <w:bCs/>
        </w:rPr>
        <w:t xml:space="preserve">fig07_ritenzione_eta</w:t>
      </w:r>
      <w:r>
        <w:t xml:space="preserve"> </w:t>
      </w:r>
      <w:r>
        <w:t xml:space="preserve">- il</w:t>
      </w:r>
      <w:r>
        <w:t xml:space="preserve"> </w:t>
      </w:r>
      <w:r>
        <w:rPr>
          <w:i/>
          <w:iCs/>
        </w:rPr>
        <w:t xml:space="preserve">quando</w:t>
      </w:r>
      <w:r>
        <w:t xml:space="preserve"> </w:t>
      </w:r>
      <w:r>
        <w:t xml:space="preserve">della fuga, per genere: profilo di</w:t>
      </w:r>
      <w:r>
        <w:t xml:space="preserve"> </w:t>
      </w:r>
      <w:r>
        <w:t xml:space="preserve">ritenzione per età singola con la finestra 22-25, e i due decenni a confronto.</w:t>
      </w:r>
    </w:p>
    <w:p>
      <w:pPr>
        <w:pStyle w:val="Compact"/>
        <w:numPr>
          <w:ilvl w:val="0"/>
          <w:numId w:val="1011"/>
        </w:numPr>
      </w:pPr>
      <w:r>
        <w:rPr>
          <w:rStyle w:val="VerbatimChar"/>
          <w:b/>
          <w:bCs/>
        </w:rPr>
        <w:t xml:space="preserve">fig04_mappa_sicilia</w:t>
      </w:r>
      <w:r>
        <w:t xml:space="preserve"> </w:t>
      </w:r>
      <w:r>
        <w:t xml:space="preserve">- la scala: coropleta dei 390 comuni, «nel 2024 Bagheria</w:t>
      </w:r>
      <w:r>
        <w:t xml:space="preserve"> </w:t>
      </w:r>
      <w:r>
        <w:t xml:space="preserve">arriva dove stava la mediana siciliana nel 2011».</w:t>
      </w:r>
    </w:p>
    <w:p>
      <w:pPr>
        <w:pStyle w:val="FirstParagraph"/>
      </w:pPr>
      <w:r>
        <w:t xml:space="preserve">A supporto:</w:t>
      </w:r>
      <w:r>
        <w:t xml:space="preserve"> </w:t>
      </w:r>
      <w:r>
        <w:rPr>
          <w:rStyle w:val="VerbatimChar"/>
          <w:b/>
          <w:bCs/>
        </w:rPr>
        <w:t xml:space="preserve">fig09_kpi_finestra</w:t>
      </w:r>
      <w:r>
        <w:t xml:space="preserve"> </w:t>
      </w:r>
      <w:r>
        <w:t xml:space="preserve">vive dentro la policy proposal (è la figura che</w:t>
      </w:r>
      <w:r>
        <w:t xml:space="preserve"> </w:t>
      </w:r>
      <w:r>
        <w:t xml:space="preserve">dichiara quando si potrà dire se l’intervento ha funzionato, con la cascata del KPI netto).</w:t>
      </w:r>
    </w:p>
    <w:p>
      <w:pPr>
        <w:pStyle w:val="BodyText"/>
      </w:pPr>
      <w:r>
        <w:t xml:space="preserve">Il terzo focus del brief ha una serie propria, aggiunta con il thread mobilità:</w:t>
      </w:r>
    </w:p>
    <w:p>
      <w:pPr>
        <w:pStyle w:val="Compact"/>
        <w:numPr>
          <w:ilvl w:val="0"/>
          <w:numId w:val="1012"/>
        </w:numPr>
      </w:pPr>
      <w:r>
        <w:rPr>
          <w:rStyle w:val="VerbatimChar"/>
          <w:b/>
          <w:bCs/>
        </w:rPr>
        <w:t xml:space="preserve">mob_fig01_verso_palermo</w:t>
      </w:r>
      <w:r>
        <w:t xml:space="preserve"> </w:t>
      </w:r>
      <w:r>
        <w:t xml:space="preserve">- la carta a flussi: dove vanno i pendolari di Bagheria,</w:t>
      </w:r>
      <w:r>
        <w:t xml:space="preserve"> </w:t>
      </w:r>
      <w:r>
        <w:t xml:space="preserve">per studio e per lavoro, col nome del comune di arrivo. È la risposta letterale alla</w:t>
      </w:r>
      <w:r>
        <w:t xml:space="preserve"> </w:t>
      </w:r>
      <w:r>
        <w:t xml:space="preserve">domanda della locandina, ed è la</w:t>
      </w:r>
      <w:r>
        <w:t xml:space="preserve"> </w:t>
      </w:r>
      <w:r>
        <w:rPr>
          <w:b/>
          <w:bCs/>
        </w:rPr>
        <w:t xml:space="preserve">prima riserva</w:t>
      </w:r>
      <w:r>
        <w:t xml:space="preserve"> </w:t>
      </w:r>
      <w:r>
        <w:t xml:space="preserve">della terna: resta fuori perché</w:t>
      </w:r>
      <w:r>
        <w:t xml:space="preserve"> </w:t>
      </w:r>
      <w:r>
        <w:rPr>
          <w:rStyle w:val="VerbatimChar"/>
        </w:rPr>
        <w:t xml:space="preserve">fig04</w:t>
      </w:r>
      <w:r>
        <w:t xml:space="preserve"> </w:t>
      </w:r>
      <w:r>
        <w:t xml:space="preserve">è già una carta e perché togliere</w:t>
      </w:r>
      <w:r>
        <w:t xml:space="preserve"> </w:t>
      </w:r>
      <w:r>
        <w:rPr>
          <w:rStyle w:val="VerbatimChar"/>
        </w:rPr>
        <w:t xml:space="preserve">fig07</w:t>
      </w:r>
      <w:r>
        <w:t xml:space="preserve"> </w:t>
      </w:r>
      <w:r>
        <w:t xml:space="preserve">lascerebbe la finestra d’età della</w:t>
      </w:r>
      <w:r>
        <w:t xml:space="preserve"> </w:t>
      </w:r>
      <w:r>
        <w:t xml:space="preserve">proposta senza la figura che la giustifica.</w:t>
      </w:r>
    </w:p>
    <w:p>
      <w:pPr>
        <w:pStyle w:val="Compact"/>
        <w:numPr>
          <w:ilvl w:val="0"/>
          <w:numId w:val="1012"/>
        </w:numPr>
      </w:pPr>
      <w:r>
        <w:rPr>
          <w:rStyle w:val="VerbatimChar"/>
          <w:b/>
          <w:bCs/>
        </w:rPr>
        <w:t xml:space="preserve">mob_fig02_ribaltamento</w:t>
      </w:r>
      <w:r>
        <w:t xml:space="preserve"> </w:t>
      </w:r>
      <w:r>
        <w:t xml:space="preserve">- il risultato del thread: le due misure unite da una linea</w:t>
      </w:r>
      <w:r>
        <w:t xml:space="preserve"> </w:t>
      </w:r>
      <w:r>
        <w:t xml:space="preserve">la cui pendenza è il finding, più la distribuzione dei 390 comuni.</w:t>
      </w:r>
    </w:p>
    <w:p>
      <w:pPr>
        <w:pStyle w:val="Compact"/>
        <w:numPr>
          <w:ilvl w:val="0"/>
          <w:numId w:val="1012"/>
        </w:numPr>
      </w:pPr>
      <w:r>
        <w:rPr>
          <w:rStyle w:val="VerbatimChar"/>
          <w:b/>
          <w:bCs/>
        </w:rPr>
        <w:t xml:space="preserve">mob_fig03_treno_genere</w:t>
      </w:r>
      <w:r>
        <w:t xml:space="preserve"> </w:t>
      </w:r>
      <w:r>
        <w:t xml:space="preserve">- mezzo e orario per genere, e il pannello che impedisce di</w:t>
      </w:r>
      <w:r>
        <w:t xml:space="preserve"> </w:t>
      </w:r>
      <w:r>
        <w:t xml:space="preserve">leggere la figura come «serve più treno».</w:t>
      </w:r>
    </w:p>
    <w:p>
      <w:pPr>
        <w:pStyle w:val="Compact"/>
        <w:numPr>
          <w:ilvl w:val="0"/>
          <w:numId w:val="1012"/>
        </w:numPr>
      </w:pPr>
      <w:r>
        <w:rPr>
          <w:rStyle w:val="VerbatimChar"/>
          <w:b/>
          <w:bCs/>
        </w:rPr>
        <w:t xml:space="preserve">mob_fig04_taglia_distanza</w:t>
      </w:r>
      <w:r>
        <w:t xml:space="preserve"> </w:t>
      </w:r>
      <w:r>
        <w:t xml:space="preserve">- la figura che toglie di mezzo un claim invece di</w:t>
      </w:r>
      <w:r>
        <w:t xml:space="preserve"> </w:t>
      </w:r>
      <w:r>
        <w:t xml:space="preserve">aggiungerne uno: l’anomalia di</w:t>
      </w:r>
      <w:r>
        <w:t xml:space="preserve"> </w:t>
      </w:r>
      <w:r>
        <w:rPr>
          <w:rStyle w:val="VerbatimChar"/>
        </w:rPr>
        <w:t xml:space="preserve">M2</w:t>
      </w:r>
      <w:r>
        <w:t xml:space="preserve"> </w:t>
      </w:r>
      <w:r>
        <w:t xml:space="preserve">era un effetto della taglia.</w:t>
      </w:r>
    </w:p>
    <w:p>
      <w:pPr>
        <w:pStyle w:val="FirstParagraph"/>
      </w:pPr>
      <w:r>
        <w:rPr>
          <w:rStyle w:val="VerbatimChar"/>
          <w:b/>
          <w:bCs/>
        </w:rPr>
        <w:t xml:space="preserve">fig12_pendolarismo</w:t>
      </w:r>
      <w:r>
        <w:t xml:space="preserve"> </w:t>
      </w:r>
      <w:r>
        <w:t xml:space="preserve">resta come lettura sul censimento permanente 2018-2019, cioè la</w:t>
      </w:r>
      <w:r>
        <w:t xml:space="preserve"> </w:t>
      </w:r>
      <w:r>
        <w:t xml:space="preserve">replica indipendente della sezione 5.2. Le altre stanno nei notebook come apparato.</w:t>
      </w:r>
    </w:p>
    <w:p>
      <w:pPr>
        <w:pStyle w:val="BodyText"/>
      </w:pPr>
      <w:r>
        <w:t xml:space="preserve">Tutte le figure: titolo che enuncia il finding, fascia d’età dichiarata, fonte e</w:t>
      </w:r>
      <w:r>
        <w:t xml:space="preserve"> </w:t>
      </w:r>
      <w:r>
        <w:t xml:space="preserve">cautele in caption, palette colorblind-safe, PNG 300dpi + SVG in</w:t>
      </w:r>
      <w:r>
        <w:t xml:space="preserve"> </w:t>
      </w:r>
      <w:r>
        <w:rPr>
          <w:rStyle w:val="VerbatimChar"/>
        </w:rPr>
        <w:t xml:space="preserve">figures/</w:t>
      </w:r>
      <w:r>
        <w:t xml:space="preserve">.</w:t>
      </w:r>
    </w:p>
    <w:p>
      <w:r>
        <w:pict>
          <v:rect style="width:0;height:1.5pt" o:hralign="center" o:hrstd="t" o:hr="t"/>
        </w:pict>
      </w:r>
    </w:p>
    <w:bookmarkEnd w:id="103"/>
    <w:bookmarkStart w:id="104" w:name="cosa-questa-relazione-non-afferma"/>
    <w:p>
      <w:pPr>
        <w:pStyle w:val="Heading1"/>
      </w:pPr>
      <w:r>
        <w:t xml:space="preserve">9. Cosa questa relazione non afferma</w:t>
      </w:r>
    </w:p>
    <w:p>
      <w:pPr>
        <w:pStyle w:val="Compact"/>
        <w:numPr>
          <w:ilvl w:val="0"/>
          <w:numId w:val="1013"/>
        </w:numPr>
      </w:pPr>
      <w:r>
        <w:rPr>
          <w:b/>
          <w:bCs/>
        </w:rPr>
        <w:t xml:space="preserve">Il NEET 15-34 comunale non esiste</w:t>
      </w:r>
      <w:r>
        <w:t xml:space="preserve"> </w:t>
      </w:r>
      <w:r>
        <w:t xml:space="preserve">nei dati pubblici: le due misure usate (15-29</w:t>
      </w:r>
      <w:r>
        <w:t xml:space="preserve"> </w:t>
      </w:r>
      <w:r>
        <w:t xml:space="preserve">al 2011, «fuori da lavoro e istruzione» 15-24 dal 2018) sono etichettate e mai fuse.</w:t>
      </w:r>
    </w:p>
    <w:p>
      <w:pPr>
        <w:pStyle w:val="Compact"/>
        <w:numPr>
          <w:ilvl w:val="0"/>
          <w:numId w:val="1013"/>
        </w:numPr>
      </w:pPr>
      <w:r>
        <w:rPr>
          <w:b/>
          <w:bCs/>
        </w:rPr>
        <w:t xml:space="preserve">Nessun tasso di occupazione per titolo di studio a Bagheria</w:t>
      </w:r>
      <w:r>
        <w:t xml:space="preserve">: l’incrocio</w:t>
      </w:r>
      <w:r>
        <w:t xml:space="preserve"> </w:t>
      </w:r>
      <w:r>
        <w:t xml:space="preserve">individuale non è pubblicato (sez. 4); ogni affermazione del tipo «i diplomati di</w:t>
      </w:r>
      <w:r>
        <w:t xml:space="preserve"> </w:t>
      </w:r>
      <w:r>
        <w:t xml:space="preserve">Bagheria…» sarebbe inventata.</w:t>
      </w:r>
    </w:p>
    <w:p>
      <w:pPr>
        <w:pStyle w:val="Compact"/>
        <w:numPr>
          <w:ilvl w:val="0"/>
          <w:numId w:val="1013"/>
        </w:numPr>
      </w:pPr>
      <w:r>
        <w:rPr>
          <w:b/>
          <w:bCs/>
        </w:rPr>
        <w:t xml:space="preserve">Nessuna età sul pendolarismo</w:t>
      </w:r>
      <w:r>
        <w:t xml:space="preserve">: la destinazione ora c’è (sez. 5, matrice ISTAT), ma</w:t>
      </w:r>
      <w:r>
        <w:t xml:space="preserve"> </w:t>
      </w:r>
      <w:r>
        <w:t xml:space="preserve">né la matrice né il censimento permanente hanno la dimensione età. Il pendolarismo del</w:t>
      </w:r>
      <w:r>
        <w:t xml:space="preserve"> </w:t>
      </w:r>
      <w:r>
        <w:t xml:space="preserve">target 15-34 non è isolabile; il motivo dello spostamento è un’informazione d’età</w:t>
      </w:r>
      <w:r>
        <w:t xml:space="preserve"> </w:t>
      </w:r>
      <w:r>
        <w:t xml:space="preserve">parziale e viene usata come tale. La ritenzione di coorte resta un saldo netto senza</w:t>
      </w:r>
      <w:r>
        <w:t xml:space="preserve"> </w:t>
      </w:r>
      <w:r>
        <w:t xml:space="preserve">destinazioni: le due misure non si sommano.</w:t>
      </w:r>
      <w:r>
        <w:t xml:space="preserve"> </w:t>
      </w:r>
      <w:r>
        <w:rPr>
          <w:i/>
          <w:iCs/>
        </w:rPr>
        <w:t xml:space="preserve">Questo punto, fino al 2026-08-28, diceva «nessun pendolarismo verso Palermo». Era una</w:t>
      </w:r>
      <w:r>
        <w:rPr>
          <w:i/>
          <w:iCs/>
        </w:rPr>
        <w:t xml:space="preserve"> </w:t>
      </w:r>
      <w:r>
        <w:rPr>
          <w:i/>
          <w:iCs/>
        </w:rPr>
        <w:t xml:space="preserve">proprietà delle fonti che avevamo consultato, scritta come se fosse una proprietà dei</w:t>
      </w:r>
      <w:r>
        <w:rPr>
          <w:i/>
          <w:iCs/>
        </w:rPr>
        <w:t xml:space="preserve"> </w:t>
      </w:r>
      <w:r>
        <w:rPr>
          <w:i/>
          <w:iCs/>
        </w:rPr>
        <w:t xml:space="preserve">dati pubblici. Resta qui, corretto, invece che cancellato.</w:t>
      </w:r>
    </w:p>
    <w:p>
      <w:pPr>
        <w:pStyle w:val="Compact"/>
        <w:numPr>
          <w:ilvl w:val="0"/>
          <w:numId w:val="1013"/>
        </w:numPr>
      </w:pPr>
      <w:r>
        <w:rPr>
          <w:b/>
          <w:bCs/>
        </w:rPr>
        <w:t xml:space="preserve">Nessuna stima causale</w:t>
      </w:r>
      <w:r>
        <w:t xml:space="preserve">: confronti territoriali ed ecologici orientano la diagnosi;</w:t>
      </w:r>
      <w:r>
        <w:t xml:space="preserve"> </w:t>
      </w:r>
      <w:r>
        <w:t xml:space="preserve">il disegno di valutazione (sez. 7.4) serve proprio a produrre l’evidenza che oggi</w:t>
      </w:r>
      <w:r>
        <w:t xml:space="preserve"> </w:t>
      </w:r>
      <w:r>
        <w:t xml:space="preserve">manca. L’inattività non è attribuita a una singola causa non osservata.</w:t>
      </w:r>
    </w:p>
    <w:p>
      <w:pPr>
        <w:pStyle w:val="Compact"/>
        <w:numPr>
          <w:ilvl w:val="0"/>
          <w:numId w:val="1013"/>
        </w:numPr>
      </w:pPr>
      <w:r>
        <w:rPr>
          <w:b/>
          <w:bCs/>
        </w:rPr>
        <w:t xml:space="preserve">Nessuna interpolazione</w:t>
      </w:r>
      <w:r>
        <w:t xml:space="preserve">: il 2020 mancante resta mancante; la rottura di misura</w:t>
      </w:r>
      <w:r>
        <w:t xml:space="preserve"> </w:t>
      </w:r>
      <w:r>
        <w:t xml:space="preserve">2019→2021 è dichiarata ogni volta che si cita la serie delle componenti.</w:t>
      </w:r>
    </w:p>
    <w:p>
      <w:pPr>
        <w:pStyle w:val="Compact"/>
        <w:numPr>
          <w:ilvl w:val="0"/>
          <w:numId w:val="1013"/>
        </w:numPr>
      </w:pPr>
      <w:r>
        <w:rPr>
          <w:b/>
          <w:bCs/>
        </w:rPr>
        <w:t xml:space="preserve">La finestra 22-25 è pooled</w:t>
      </w:r>
      <w:r>
        <w:t xml:space="preserve">: sull’anno singolo oscilla, e come lettura annuale non</w:t>
      </w:r>
      <w:r>
        <w:t xml:space="preserve"> </w:t>
      </w:r>
      <w:r>
        <w:t xml:space="preserve">verrebbe usata.</w:t>
      </w:r>
    </w:p>
    <w:p>
      <w:pPr>
        <w:pStyle w:val="Compact"/>
        <w:numPr>
          <w:ilvl w:val="0"/>
          <w:numId w:val="1013"/>
        </w:numPr>
      </w:pPr>
      <w:r>
        <w:rPr>
          <w:b/>
          <w:bCs/>
        </w:rPr>
        <w:t xml:space="preserve">Nessun effetto dell’offerta di trasporto sul divario di genere</w:t>
      </w:r>
      <w:r>
        <w:t xml:space="preserve">: testato sui 390</w:t>
      </w:r>
      <w:r>
        <w:t xml:space="preserve"> </w:t>
      </w:r>
      <w:r>
        <w:t xml:space="preserve">comuni e</w:t>
      </w:r>
      <w:r>
        <w:t xml:space="preserve"> </w:t>
      </w:r>
      <w:r>
        <w:rPr>
          <w:b/>
          <w:bCs/>
        </w:rPr>
        <w:t xml:space="preserve">non trovato</w:t>
      </w:r>
      <w:r>
        <w:t xml:space="preserve"> </w:t>
      </w:r>
      <w:r>
        <w:t xml:space="preserve">(sez. 5.4). Nessuna parte della proposta vi si appoggia.</w:t>
      </w:r>
    </w:p>
    <w:p>
      <w:r>
        <w:pict>
          <v:rect style="width:0;height:1.5pt" o:hralign="center" o:hrstd="t" o:hr="t"/>
        </w:pict>
      </w:r>
    </w:p>
    <w:bookmarkEnd w:id="104"/>
    <w:bookmarkStart w:id="105"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docs/POLICY_PONTE_19.md</w:t>
            </w:r>
          </w:p>
        </w:tc>
      </w:tr>
      <w:tr>
        <w:tc>
          <w:tcPr/>
          <w:p>
            <w:pPr>
              <w:pStyle w:val="Compact"/>
            </w:pPr>
            <w:r>
              <w:t xml:space="preserve">Decisioni editoriali (tesi, figure, limiti)</w:t>
            </w:r>
          </w:p>
        </w:tc>
        <w:tc>
          <w:tcPr/>
          <w:p>
            <w:pPr>
              <w:pStyle w:val="Compact"/>
            </w:pPr>
            <w:r>
              <w:rPr>
                <w:rStyle w:val="VerbatimChar"/>
              </w:rPr>
              <w:t xml:space="preserve">docs/RELAZIONE.md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2026-08-29: sensore</w:t>
      </w:r>
      <w:r>
        <w:t xml:space="preserve"> </w:t>
      </w:r>
      <w:r>
        <w:rPr>
          <w:rStyle w:val="VerbatimChar"/>
        </w:rPr>
        <w:t xml:space="preserve">nbconvert</w:t>
      </w:r>
      <w:r>
        <w:t xml:space="preserve"> </w:t>
      </w:r>
      <w:r>
        <w:rPr>
          <w:b/>
          <w:bCs/>
        </w:rPr>
        <w:t xml:space="preserve">verde sui quattro notebook</w:t>
      </w:r>
      <w:r>
        <w:t xml:space="preserve">;</w:t>
      </w:r>
      <w:r>
        <w:t xml:space="preserve"> </w:t>
      </w:r>
      <w:r>
        <w:rPr>
          <w:rStyle w:val="VerbatimChar"/>
        </w:rPr>
        <w:t xml:space="preserve">pipeline.verifica</w:t>
      </w:r>
      <w:r>
        <w:t xml:space="preserve"> </w:t>
      </w:r>
      <w:r>
        <w:rPr>
          <w:b/>
          <w:bCs/>
        </w:rPr>
        <w:t xml:space="preserve">743/743 PASS</w:t>
      </w:r>
      <w:r>
        <w:t xml:space="preserve">; la matrice del pendolarismo ricostruisce</w:t>
      </w:r>
      <w:r>
        <w:t xml:space="preserve"> </w:t>
      </w:r>
      <w:r>
        <w:rPr>
          <w:b/>
          <w:bCs/>
        </w:rPr>
        <w:t xml:space="preserve">sette su</w:t>
      </w:r>
      <w:r>
        <w:rPr>
          <w:b/>
          <w:bCs/>
        </w:rPr>
        <w:t xml:space="preserve"> </w:t>
      </w:r>
      <w:r>
        <w:rPr>
          <w:b/>
          <w:bCs/>
        </w:rPr>
        <w:t xml:space="preserve">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 da</w:t>
      </w:r>
      <w:r>
        <w:t xml:space="preserve"> </w:t>
      </w:r>
      <w:r>
        <w:t xml:space="preserve">ISTAT; nessun numero di questa relazione è scritto a mano - ogni cifra ha accanto il file o</w:t>
      </w:r>
      <w:r>
        <w:t xml:space="preserve"> </w:t>
      </w:r>
      <w:r>
        <w:t xml:space="preserve">la cella che la rigenera.</w:t>
      </w:r>
    </w:p>
    <w:p>
      <w:r>
        <w:pict>
          <v:rect style="width:0;height:1.5pt" o:hralign="center" o:hrstd="t" o:hr="t"/>
        </w:pict>
      </w:r>
    </w:p>
    <w:bookmarkEnd w:id="105"/>
    <w:bookmarkStart w:id="157"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165779"/>
            <wp:effectExtent b="0" l="0" r="0" t="0"/>
            <wp:docPr descr="" title="" id="107" name="Picture"/>
            <a:graphic>
              <a:graphicData uri="http://schemas.openxmlformats.org/drawingml/2006/picture">
                <pic:pic>
                  <pic:nvPicPr>
                    <pic:cNvPr descr="/home/kiycoh/Documents/dev/datapolis-2026-hackathon/.docx-build/fig02b_casalinghe_territori.png" id="108" name="Picture"/>
                    <pic:cNvPicPr>
                      <a:picLocks noChangeArrowheads="1" noChangeAspect="1"/>
                    </pic:cNvPicPr>
                  </pic:nvPicPr>
                  <pic:blipFill>
                    <a:blip r:embed="rId106"/>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0" name="Picture"/>
            <a:graphic>
              <a:graphicData uri="http://schemas.openxmlformats.org/drawingml/2006/picture">
                <pic:pic>
                  <pic:nvPicPr>
                    <pic:cNvPr descr="/home/kiycoh/Documents/dev/datapolis-2026-hackathon/.docx-build/fig02c_composizione_territori.png" id="111" name="Picture"/>
                    <pic:cNvPicPr>
                      <a:picLocks noChangeArrowheads="1" noChangeAspect="1"/>
                    </pic:cNvPicPr>
                  </pic:nvPicPr>
                  <pic:blipFill>
                    <a:blip r:embed="rId109"/>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3" name="Picture"/>
            <a:graphic>
              <a:graphicData uri="http://schemas.openxmlformats.org/drawingml/2006/picture">
                <pic:pic>
                  <pic:nvPicPr>
                    <pic:cNvPr descr="/home/kiycoh/Documents/dev/datapolis-2026-hackathon/.docx-build/fig04b_persistenza.png" id="114" name="Picture"/>
                    <pic:cNvPicPr>
                      <a:picLocks noChangeArrowheads="1" noChangeAspect="1"/>
                    </pic:cNvPicPr>
                  </pic:nvPicPr>
                  <pic:blipFill>
                    <a:blip r:embed="rId112"/>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16" name="Picture"/>
            <a:graphic>
              <a:graphicData uri="http://schemas.openxmlformats.org/drawingml/2006/picture">
                <pic:pic>
                  <pic:nvPicPr>
                    <pic:cNvPr descr="/home/kiycoh/Documents/dev/datapolis-2026-hackathon/.docx-build/fig04c_graduatoria_390.png" id="117" name="Picture"/>
                    <pic:cNvPicPr>
                      <a:picLocks noChangeArrowheads="1" noChangeAspect="1"/>
                    </pic:cNvPicPr>
                  </pic:nvPicPr>
                  <pic:blipFill>
                    <a:blip r:embed="rId115"/>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19" name="Picture"/>
            <a:graphic>
              <a:graphicData uri="http://schemas.openxmlformats.org/drawingml/2006/picture">
                <pic:pic>
                  <pic:nvPicPr>
                    <pic:cNvPr descr="/home/kiycoh/Documents/dev/datapolis-2026-hackathon/.docx-build/fig05b_forbice_serie.png" id="120" name="Picture"/>
                    <pic:cNvPicPr>
                      <a:picLocks noChangeArrowheads="1" noChangeAspect="1"/>
                    </pic:cNvPicPr>
                  </pic:nvPicPr>
                  <pic:blipFill>
                    <a:blip r:embed="rId118"/>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2" name="Picture"/>
            <a:graphic>
              <a:graphicData uri="http://schemas.openxmlformats.org/drawingml/2006/picture">
                <pic:pic>
                  <pic:nvPicPr>
                    <pic:cNvPr descr="/home/kiycoh/Documents/dev/datapolis-2026-hackathon/.docx-build/fig06_quadrante.png" id="123" name="Picture"/>
                    <pic:cNvPicPr>
                      <a:picLocks noChangeArrowheads="1" noChangeAspect="1"/>
                    </pic:cNvPicPr>
                  </pic:nvPicPr>
                  <pic:blipFill>
                    <a:blip r:embed="rId121"/>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5" name="Picture"/>
            <a:graphic>
              <a:graphicData uri="http://schemas.openxmlformats.org/drawingml/2006/picture">
                <pic:pic>
                  <pic:nvPicPr>
                    <pic:cNvPr descr="/home/kiycoh/Documents/dev/datapolis-2026-hackathon/.docx-build/fig06b_creste_390.png" id="126" name="Picture"/>
                    <pic:cNvPicPr>
                      <a:picLocks noChangeArrowheads="1" noChangeAspect="1"/>
                    </pic:cNvPicPr>
                  </pic:nvPicPr>
                  <pic:blipFill>
                    <a:blip r:embed="rId124"/>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639352"/>
            <wp:effectExtent b="0" l="0" r="0" t="0"/>
            <wp:docPr descr="" title="" id="128" name="Picture"/>
            <a:graphic>
              <a:graphicData uri="http://schemas.openxmlformats.org/drawingml/2006/picture">
                <pic:pic>
                  <pic:nvPicPr>
                    <pic:cNvPr descr="/home/kiycoh/Documents/dev/datapolis-2026-hackathon/.docx-build/fig07b_decennio.png" id="129" name="Picture"/>
                    <pic:cNvPicPr>
                      <a:picLocks noChangeArrowheads="1" noChangeAspect="1"/>
                    </pic:cNvPicPr>
                  </pic:nvPicPr>
                  <pic:blipFill>
                    <a:blip r:embed="rId127"/>
                    <a:stretch>
                      <a:fillRect/>
                    </a:stretch>
                  </pic:blipFill>
                  <pic:spPr bwMode="auto">
                    <a:xfrm>
                      <a:off x="0" y="0"/>
                      <a:ext cx="6108700" cy="3639352"/>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stessa coorte a cinque anni (2018-2023 e 2019-2024), dà per le femmine di Bagheria 92,8% e 93,3% contro 101,9% e 102,2% dell’Italia: il verso regge anche senza mescolare le due rilevazioni.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701001"/>
            <wp:effectExtent b="0" l="0" r="0" t="0"/>
            <wp:docPr descr="" title="" id="131" name="Picture"/>
            <a:graphic>
              <a:graphicData uri="http://schemas.openxmlformats.org/drawingml/2006/picture">
                <pic:pic>
                  <pic:nvPicPr>
                    <pic:cNvPr descr="/home/kiycoh/Documents/dev/datapolis-2026-hackathon/.docx-build/fig09b_potenza.png" id="132" name="Picture"/>
                    <pic:cNvPicPr>
                      <a:picLocks noChangeArrowheads="1" noChangeAspect="1"/>
                    </pic:cNvPicPr>
                  </pic:nvPicPr>
                  <pic:blipFill>
                    <a:blip r:embed="rId130"/>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drawing>
          <wp:inline>
            <wp:extent cx="6108700" cy="3940793"/>
            <wp:effectExtent b="0" l="0" r="0" t="0"/>
            <wp:docPr descr="" title="" id="134" name="Picture"/>
            <a:graphic>
              <a:graphicData uri="http://schemas.openxmlformats.org/drawingml/2006/picture">
                <pic:pic>
                  <pic:nvPicPr>
                    <pic:cNvPr descr="/home/kiycoh/Documents/dev/datapolis-2026-hackathon/.docx-build/fig11b_attainment_18_24.png" id="135" name="Picture"/>
                    <pic:cNvPicPr>
                      <a:picLocks noChangeArrowheads="1" noChangeAspect="1"/>
                    </pic:cNvPicPr>
                  </pic:nvPicPr>
                  <pic:blipFill>
                    <a:blip r:embed="rId133"/>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7" name="Picture"/>
            <a:graphic>
              <a:graphicData uri="http://schemas.openxmlformats.org/drawingml/2006/picture">
                <pic:pic>
                  <pic:nvPicPr>
                    <pic:cNvPr descr="/home/kiycoh/Documents/dev/datapolis-2026-hackathon/.docx-build/fig13_tasso_occupazione_eta.png" id="138" name="Picture"/>
                    <pic:cNvPicPr>
                      <a:picLocks noChangeArrowheads="1" noChangeAspect="1"/>
                    </pic:cNvPicPr>
                  </pic:nvPicPr>
                  <pic:blipFill>
                    <a:blip r:embed="rId136"/>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637362"/>
            <wp:effectExtent b="0" l="0" r="0" t="0"/>
            <wp:docPr descr="" title="" id="140" name="Picture"/>
            <a:graphic>
              <a:graphicData uri="http://schemas.openxmlformats.org/drawingml/2006/picture">
                <pic:pic>
                  <pic:nvPicPr>
                    <pic:cNvPr descr="/home/kiycoh/Documents/dev/datapolis-2026-hackathon/.docx-build/fig13b_occupazione_eta_genere.png" id="141" name="Picture"/>
                    <pic:cNvPicPr>
                      <a:picLocks noChangeArrowheads="1" noChangeAspect="1"/>
                    </pic:cNvPicPr>
                  </pic:nvPicPr>
                  <pic:blipFill>
                    <a:blip r:embed="rId139"/>
                    <a:stretch>
                      <a:fillRect/>
                    </a:stretch>
                  </pic:blipFill>
                  <pic:spPr bwMode="auto">
                    <a:xfrm>
                      <a:off x="0" y="0"/>
                      <a:ext cx="6108700" cy="3637362"/>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3420734"/>
            <wp:effectExtent b="0" l="0" r="0" t="0"/>
            <wp:docPr descr="" title="" id="143" name="Picture"/>
            <a:graphic>
              <a:graphicData uri="http://schemas.openxmlformats.org/drawingml/2006/picture">
                <pic:pic>
                  <pic:nvPicPr>
                    <pic:cNvPr descr="/home/kiycoh/Documents/dev/datapolis-2026-hackathon/.docx-build/edu_fig05_forbice_25_49.png" id="144" name="Picture"/>
                    <pic:cNvPicPr>
                      <a:picLocks noChangeArrowheads="1" noChangeAspect="1"/>
                    </pic:cNvPicPr>
                  </pic:nvPicPr>
                  <pic:blipFill>
                    <a:blip r:embed="rId142"/>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46" name="Picture"/>
            <a:graphic>
              <a:graphicData uri="http://schemas.openxmlformats.org/drawingml/2006/picture">
                <pic:pic>
                  <pic:nvPicPr>
                    <pic:cNvPr descr="/home/kiycoh/Documents/dev/datapolis-2026-hackathon/.docx-build/edu_fig06_gap_sicilia.png" id="147" name="Picture"/>
                    <pic:cNvPicPr>
                      <a:picLocks noChangeArrowheads="1" noChangeAspect="1"/>
                    </pic:cNvPicPr>
                  </pic:nvPicPr>
                  <pic:blipFill>
                    <a:blip r:embed="rId145"/>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49" name="Picture"/>
            <a:graphic>
              <a:graphicData uri="http://schemas.openxmlformats.org/drawingml/2006/picture">
                <pic:pic>
                  <pic:nvPicPr>
                    <pic:cNvPr descr="/home/kiycoh/Documents/dev/datapolis-2026-hackathon/.docx-build/edu_fig07_pari_2011.png" id="150" name="Picture"/>
                    <pic:cNvPicPr>
                      <a:picLocks noChangeArrowheads="1" noChangeAspect="1"/>
                    </pic:cNvPicPr>
                  </pic:nvPicPr>
                  <pic:blipFill>
                    <a:blip r:embed="rId148"/>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2" name="Picture"/>
            <a:graphic>
              <a:graphicData uri="http://schemas.openxmlformats.org/drawingml/2006/picture">
                <pic:pic>
                  <pic:nvPicPr>
                    <pic:cNvPr descr="/home/kiycoh/Documents/dev/datapolis-2026-hackathon/.docx-build/edu_fig09_appendice_modelli.png" id="153" name="Picture"/>
                    <pic:cNvPicPr>
                      <a:picLocks noChangeArrowheads="1" noChangeAspect="1"/>
                    </pic:cNvPicPr>
                  </pic:nvPicPr>
                  <pic:blipFill>
                    <a:blip r:embed="rId151"/>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5" name="Picture"/>
            <a:graphic>
              <a:graphicData uri="http://schemas.openxmlformats.org/drawingml/2006/picture">
                <pic:pic>
                  <pic:nvPicPr>
                    <pic:cNvPr descr="/home/kiycoh/Documents/dev/datapolis-2026-hackathon/.docx-build/edu_fig10_appendice_mobilita.png" id="156" name="Picture"/>
                    <pic:cNvPicPr>
                      <a:picLocks noChangeArrowheads="1" noChangeAspect="1"/>
                    </pic:cNvPicPr>
                  </pic:nvPicPr>
                  <pic:blipFill>
                    <a:blip r:embed="rId154"/>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57"/>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88" Target="media/rId8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41" Target="media/rId41.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58" Target="media/rId58.png" /><Relationship Type="http://schemas.openxmlformats.org/officeDocument/2006/relationships/image" Id="rId127" Target="media/rId127.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130" Target="media/rId130.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3" Target="media/rId133.png" /><Relationship Type="http://schemas.openxmlformats.org/officeDocument/2006/relationships/image" Id="rId74" Target="media/rId74.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2026-08-29T18:18:41Z</dcterms:created>
  <dcterms:modified xsi:type="dcterms:W3CDTF">2026-08-29T18:18:41Z</dcterms:modified>
</cp:coreProperties>
</file>

<file path=docProps/custom.xml><?xml version="1.0" encoding="utf-8"?>
<Properties xmlns="http://schemas.openxmlformats.org/officeDocument/2006/custom-properties" xmlns:vt="http://schemas.openxmlformats.org/officeDocument/2006/docPropsVTypes"/>
</file>