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6.png" ContentType="image/png"/>
  <Override PartName="/word/media/rId64.png" ContentType="image/png"/>
  <Override PartName="/word/media/rId18.png" ContentType="image/png"/>
  <Override PartName="/word/media/rId22.png" ContentType="image/png"/>
  <Override PartName="/word/media/rId146.png" ContentType="image/png"/>
  <Override PartName="/word/media/rId149.png" ContentType="image/png"/>
  <Override PartName="/word/media/rId152.png" ContentType="image/png"/>
  <Override PartName="/word/media/rId89.png" ContentType="image/png"/>
  <Override PartName="/word/media/rId155.png" ContentType="image/png"/>
  <Override PartName="/word/media/rId158.png" ContentType="image/png"/>
  <Override PartName="/word/media/rId44.png" ContentType="image/png"/>
  <Override PartName="/word/media/rId52.png" ContentType="image/png"/>
  <Override PartName="/word/media/rId110.png" ContentType="image/png"/>
  <Override PartName="/word/media/rId113.png" ContentType="image/png"/>
  <Override PartName="/word/media/rId56.png" ContentType="image/png"/>
  <Override PartName="/word/media/rId29.png" ContentType="image/png"/>
  <Override PartName="/word/media/rId116.png" ContentType="image/png"/>
  <Override PartName="/word/media/rId119.png" ContentType="image/png"/>
  <Override PartName="/word/media/rId41.png" ContentType="image/png"/>
  <Override PartName="/word/media/rId122.png" ContentType="image/png"/>
  <Override PartName="/word/media/rId125.png" ContentType="image/png"/>
  <Override PartName="/word/media/rId128.png" ContentType="image/png"/>
  <Override PartName="/word/media/rId59.png" ContentType="image/png"/>
  <Override PartName="/word/media/rId131.png" ContentType="image/png"/>
  <Override PartName="/word/media/rId36.png" ContentType="image/png"/>
  <Override PartName="/word/media/rId92.png" ContentType="image/png"/>
  <Override PartName="/word/media/rId100.png" ContentType="image/png"/>
  <Override PartName="/word/media/rId32.png" ContentType="image/png"/>
  <Override PartName="/word/media/rId47.png" ContentType="image/png"/>
  <Override PartName="/word/media/rId134.png" ContentType="image/png"/>
  <Override PartName="/word/media/rId75.png" ContentType="image/png"/>
  <Override PartName="/word/media/rId137.png" ContentType="image/png"/>
  <Override PartName="/word/media/rId140.png" ContentType="image/png"/>
  <Override PartName="/word/media/rId143.png" ContentType="image/png"/>
  <Override PartName="/word/media/rId68.png" ContentType="image/png"/>
  <Override PartName="/word/media/rId72.png" ContentType="image/png"/>
  <Override PartName="/word/media/rId83.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pertinaEnte"/>
      </w:pPr>
      <w:r>
        <w:t xml:space="preserve">DataPolis 2026 · Bagheria (PA)</w:t>
      </w:r>
    </w:p>
    <w:p>
      <w:pPr>
        <w:pStyle w:val="CopertinaTitolo"/>
      </w:pPr>
      <w:r>
        <w:t xml:space="preserve">La transizione dalla formazione al lavoro dei giovani di Bagheria</w:t>
      </w:r>
    </w:p>
    <w:p>
      <w:pPr>
        <w:pStyle w:val="CopertinaSottotitolo"/>
      </w:pPr>
      <w:r>
        <w:t xml:space="preserve">Profilo statistico, divario di genere e proposta di intervento. Relazione tecnica, DataPolis 2026</w:t>
      </w:r>
    </w:p>
    <w:p>
      <w:pPr>
        <w:pStyle w:val="CopertinaAutori"/>
      </w:pPr>
      <w:r>
        <w:t xml:space="preserve">Alessandro Carosia · Saverio Randazzo</w:t>
      </w:r>
    </w:p>
    <w:p>
      <w:pPr>
        <w:pStyle w:val="Copertina"/>
      </w:pPr>
      <w:r>
        <w:t xml:space="preserve">Bagheria, 2026-08-29, versione rivista del 2026-09-24</w:t>
      </w:r>
    </w:p>
    <w:p>
      <w:pPr>
        <w:pStyle w:val="Copertina"/>
      </w:pPr>
      <w:r>
        <w:t xml:space="preserve"> </w:t>
      </w:r>
    </w:p>
    <w:p>
      <w:pPr>
        <w:pStyle w:val="Copertina"/>
      </w:pPr>
      <w:r>
        <w:t xml:space="preserve">Relazione tecnica, visualizzazioni e proposta di intervento</w:t>
      </w:r>
    </w:p>
    <w:p>
      <w:pPr>
        <w:pStyle w:val="Copertina"/>
      </w:pPr>
      <w:r>
        <w:t xml:space="preserve">Analisi condotta su statistica ufficiale ISTAT, interamente riproducibile</w:t>
      </w:r>
    </w:p>
    <w:p>
      <w:pPr>
        <w:pStyle w:val="Copertina"/>
      </w:pPr>
      <w:r>
        <w:t xml:space="preserve"> </w:t>
      </w:r>
    </w:p>
    <w:p>
      <w:pPr>
        <w:pStyle w:val="Copertina"/>
      </w:pPr>
      <w:r>
        <w:t xml:space="preserve">38 figure · 1005 controlli di regressione indipendenti, tutti superati</w:t>
      </w:r>
    </w:p>
    <w:p>
      <w:pPr>
        <w:pStyle w:val="Copertina"/>
      </w:pPr>
      <w:r>
        <w:t xml:space="preserve"> </w:t>
      </w:r>
    </w:p>
    <w:p>
      <w:pPr>
        <w:pStyle w:val="Didascalia"/>
      </w:pPr>
      <w:r>
        <w:t xml:space="preserve">Ogni cifra in questo documento è riconducibile alle analisi svolte in ambiente Jupyter:</w:t>
      </w:r>
      <w:r>
        <w:t xml:space="preserve"> </w:t>
      </w:r>
      <w:r>
        <w:t xml:space="preserve">proviene da una cella di notebook o da un file di</w:t>
      </w:r>
      <w:r>
        <w:t xml:space="preserve"> </w:t>
      </w:r>
      <w:r>
        <w:rPr>
          <w:rStyle w:val="VerbatimChar"/>
        </w:rPr>
        <w:t xml:space="preserve">data/processed/</w:t>
      </w:r>
      <w:r>
        <w:t xml:space="preserve">. Il controllo di</w:t>
      </w:r>
      <w:r>
        <w:t xml:space="preserve"> </w:t>
      </w:r>
      <w:r>
        <w:t xml:space="preserve">regressione</w:t>
      </w:r>
      <w:r>
        <w:t xml:space="preserve"> </w:t>
      </w:r>
      <w:r>
        <w:rPr>
          <w:rStyle w:val="VerbatimChar"/>
        </w:rPr>
        <w:t xml:space="preserve">pipeline/verifica.py</w:t>
      </w:r>
      <w:r>
        <w:t xml:space="preserve"> </w:t>
      </w:r>
      <w:r>
        <w:t xml:space="preserve">ricalcola ogni cifra dai dati grezzi, con</w:t>
      </w:r>
      <w:r>
        <w:t xml:space="preserve"> </w:t>
      </w:r>
      <w:r>
        <w:t xml:space="preserve">un’implementazione indipendente, e verifica che il testo la riporti alla lettera. Il</w:t>
      </w:r>
      <w:r>
        <w:t xml:space="preserve"> </w:t>
      </w:r>
      <w:r>
        <w:t xml:space="preserve">documento può essere rigenerato tramite</w:t>
      </w:r>
      <w:r>
        <w:t xml:space="preserve"> </w:t>
      </w:r>
      <w:r>
        <w:rPr>
          <w:rStyle w:val="VerbatimChar"/>
        </w:rPr>
        <w:t xml:space="preserve">uv run python -m pipeline.relazione_docx</w:t>
      </w:r>
      <w:r>
        <w:t xml:space="preserve">.</w:t>
      </w:r>
    </w:p>
    <w:p>
      <w:r>
        <w:br w:type="page"/>
      </w:r>
    </w:p>
    <w:bookmarkStart w:id="9" w:name="indice"/>
    <w:p>
      <w:pPr>
        <w:pStyle w:val="Heading1"/>
      </w:pPr>
      <w:r>
        <w:t xml:space="preserve">Indice</w:t>
      </w:r>
    </w:p>
    <w:p>
      <w:pPr>
        <w:pStyle w:val="IndiceUno"/>
      </w:pPr>
      <w:r>
        <w:t xml:space="preserve">1. Metodo: la relazione si rigenera da zero</w:t>
      </w:r>
    </w:p>
    <w:p>
      <w:pPr>
        <w:pStyle w:val="IndiceDue"/>
      </w:pPr>
      <w:r>
        <w:t xml:space="preserve">1.1 Le definizioni, fissate una volta</w:t>
      </w:r>
    </w:p>
    <w:p>
      <w:pPr>
        <w:pStyle w:val="IndiceDue"/>
      </w:pPr>
      <w:r>
        <w:t xml:space="preserve">1.2 I dati disponibili: che cosa è stato scaricato, da dove, quando</w:t>
      </w:r>
    </w:p>
    <w:p>
      <w:pPr>
        <w:pStyle w:val="IndiceDue"/>
      </w:pPr>
      <w:r>
        <w:t xml:space="preserve">1.3 Dal dato grezzo alla tavola d’analisi: le trasformazioni</w:t>
      </w:r>
    </w:p>
    <w:p>
      <w:pPr>
        <w:pStyle w:val="IndiceDue"/>
      </w:pPr>
      <w:r>
        <w:t xml:space="preserve">1.4 Dalle tavole alle inferenze: i metodi</w:t>
      </w:r>
    </w:p>
    <w:p>
      <w:pPr>
        <w:pStyle w:val="IndiceDue"/>
      </w:pPr>
      <w:r>
        <w:t xml:space="preserve">1.5 Che cosa le inferenze autorizzano a dire</w:t>
      </w:r>
    </w:p>
    <w:p>
      <w:pPr>
        <w:pStyle w:val="IndiceUno"/>
      </w:pPr>
      <w:r>
        <w:t xml:space="preserve">2. Il profilo: un recupero vero che non converge</w:t>
      </w:r>
    </w:p>
    <w:p>
      <w:pPr>
        <w:pStyle w:val="IndiceDue"/>
      </w:pPr>
      <w:r>
        <w:t xml:space="preserve">2.1 La fotografia 2024</w:t>
      </w:r>
    </w:p>
    <w:p>
      <w:pPr>
        <w:pStyle w:val="IndiceDue"/>
      </w:pPr>
      <w:r>
        <w:t xml:space="preserve">2.2 Il recupero c’è, la convergenza no</w:t>
      </w:r>
    </w:p>
    <w:p>
      <w:pPr>
        <w:pStyle w:val="IndiceDue"/>
      </w:pPr>
      <w:r>
        <w:t xml:space="preserve">2.3 Il lungo periodo: progresso assoluto, arretramento relativo</w:t>
      </w:r>
    </w:p>
    <w:p>
      <w:pPr>
        <w:pStyle w:val="IndiceDue"/>
      </w:pPr>
      <w:r>
        <w:t xml:space="preserve">2.4 Le lenti di confronto: cosa sopravvive al cambio di «simile»</w:t>
      </w:r>
    </w:p>
    <w:p>
      <w:pPr>
        <w:pStyle w:val="IndiceUno"/>
      </w:pPr>
      <w:r>
        <w:t xml:space="preserve">3. Il focus di genere: il capitale umano che il territorio spreca di più è femminile</w:t>
      </w:r>
    </w:p>
    <w:p>
      <w:pPr>
        <w:pStyle w:val="IndiceDue"/>
      </w:pPr>
      <w:r>
        <w:t xml:space="preserve">3.1 La forbice: più istruite, meno occupate</w:t>
      </w:r>
    </w:p>
    <w:p>
      <w:pPr>
        <w:pStyle w:val="IndiceDue"/>
      </w:pPr>
      <w:r>
        <w:t xml:space="preserve">3.1-bis Dopo i 25 anni il divario non si chiude, e diventa locale</w:t>
      </w:r>
    </w:p>
    <w:p>
      <w:pPr>
        <w:pStyle w:val="IndiceDue"/>
      </w:pPr>
      <w:r>
        <w:t xml:space="preserve">3.2 Dentro l’inattività: le casalinghe ventenni, non sposate</w:t>
      </w:r>
    </w:p>
    <w:p>
      <w:pPr>
        <w:pStyle w:val="IndiceDue"/>
      </w:pPr>
      <w:r>
        <w:t xml:space="preserve">3.3 La fuga avviene all’uscita dal percorso formativo, per entrambi i generi</w:t>
      </w:r>
    </w:p>
    <w:p>
      <w:pPr>
        <w:pStyle w:val="IndiceUno"/>
      </w:pPr>
      <w:r>
        <w:t xml:space="preserve">4. Titolo e condizione: la domanda a cui i dati comunali non rispondono</w:t>
      </w:r>
    </w:p>
    <w:p>
      <w:pPr>
        <w:pStyle w:val="IndiceUno"/>
      </w:pPr>
      <w:r>
        <w:t xml:space="preserve">5. Il pendolarismo verso Palermo: una sola destinazione, e un divario di genere che si apre col lavoro</w:t>
      </w:r>
    </w:p>
    <w:p>
      <w:pPr>
        <w:pStyle w:val="IndiceDue"/>
      </w:pPr>
      <w:r>
        <w:t xml:space="preserve">5.1 La destinazione ha un nome, ed è una sola</w:t>
      </w:r>
    </w:p>
    <w:p>
      <w:pPr>
        <w:pStyle w:val="IndiceDue"/>
      </w:pPr>
      <w:r>
        <w:t xml:space="preserve">5.2 Il ribaltamento: lo scarto di genere cambia segno col motivo</w:t>
      </w:r>
    </w:p>
    <w:p>
      <w:pPr>
        <w:pStyle w:val="IndiceDue"/>
      </w:pPr>
      <w:r>
        <w:t xml:space="preserve">5.3 «Bagheria si muove poco» è una lettura sbagliata di un numero giusto</w:t>
      </w:r>
    </w:p>
    <w:p>
      <w:pPr>
        <w:pStyle w:val="IndiceDue"/>
      </w:pPr>
      <w:r>
        <w:t xml:space="preserve">5.4 Il treno è il canale femminile, e il vincolo non è l’offerta di trasporto</w:t>
      </w:r>
    </w:p>
    <w:p>
      <w:pPr>
        <w:pStyle w:val="IndiceDue"/>
      </w:pPr>
      <w:r>
        <w:t xml:space="preserve">5.5 Il bersaglio, in persone</w:t>
      </w:r>
    </w:p>
    <w:p>
      <w:pPr>
        <w:pStyle w:val="IndiceUno"/>
      </w:pPr>
      <w:r>
        <w:t xml:space="preserve">6. Il denominatore si muove: la platea giovane si restringe</w:t>
      </w:r>
    </w:p>
    <w:p>
      <w:pPr>
        <w:pStyle w:val="IndiceUno"/>
      </w:pPr>
      <w:r>
        <w:t xml:space="preserve">7. Dall’evidenza alla proposta: Ponte 19</w:t>
      </w:r>
    </w:p>
    <w:p>
      <w:pPr>
        <w:pStyle w:val="IndiceDue"/>
      </w:pPr>
      <w:r>
        <w:t xml:space="preserve">7.0 Perché non è un intervento sui trasporti</w:t>
      </w:r>
    </w:p>
    <w:p>
      <w:pPr>
        <w:pStyle w:val="IndiceDue"/>
      </w:pPr>
      <w:r>
        <w:t xml:space="preserve">7.1 Perché due finestre</w:t>
      </w:r>
    </w:p>
    <w:p>
      <w:pPr>
        <w:pStyle w:val="IndiceDue"/>
      </w:pPr>
      <w:r>
        <w:t xml:space="preserve">7.2 Perché la quota di genere</w:t>
      </w:r>
    </w:p>
    <w:p>
      <w:pPr>
        <w:pStyle w:val="IndiceDue"/>
      </w:pPr>
      <w:r>
        <w:t xml:space="preserve">7.3 Perché l’outreach e non lo sportello</w:t>
      </w:r>
    </w:p>
    <w:p>
      <w:pPr>
        <w:pStyle w:val="IndiceDue"/>
      </w:pPr>
      <w:r>
        <w:t xml:space="preserve">7.4 I KPI e le loro finestre di lettura</w:t>
      </w:r>
    </w:p>
    <w:p>
      <w:pPr>
        <w:pStyle w:val="IndiceDue"/>
      </w:pPr>
      <w:r>
        <w:t xml:space="preserve">7.5 Il dato che il servizio produce</w:t>
      </w:r>
    </w:p>
    <w:p>
      <w:pPr>
        <w:pStyle w:val="IndiceDue"/>
      </w:pPr>
      <w:r>
        <w:t xml:space="preserve">7.6 Rotta F: il modulo di genere</w:t>
      </w:r>
    </w:p>
    <w:p>
      <w:pPr>
        <w:pStyle w:val="IndiceUno"/>
      </w:pPr>
      <w:r>
        <w:t xml:space="preserve">8. Le figure</w:t>
      </w:r>
    </w:p>
    <w:p>
      <w:pPr>
        <w:pStyle w:val="IndiceUno"/>
      </w:pPr>
      <w:r>
        <w:t xml:space="preserve">9. Cosa questa relazione non afferma</w:t>
      </w:r>
    </w:p>
    <w:p>
      <w:pPr>
        <w:pStyle w:val="IndiceUno"/>
      </w:pPr>
      <w:r>
        <w:t xml:space="preserve">Appendice A - Mappa dei file</w:t>
      </w:r>
    </w:p>
    <w:p>
      <w:pPr>
        <w:pStyle w:val="IndiceUno"/>
      </w:pPr>
      <w:r>
        <w:t xml:space="preserve">Appendice B - Atlante completo delle figure</w:t>
      </w:r>
    </w:p>
    <w:p>
      <w:r>
        <w:br w:type="page"/>
      </w:r>
    </w:p>
    <w:p>
      <w:pPr>
        <w:pStyle w:val="BodyText"/>
      </w:pPr>
      <w:r>
        <w:t xml:space="preserve">Bagheria, 2026-08-29, versione rivista del 2026-09-24. La relazione accompagna i tre</w:t>
      </w:r>
      <w:r>
        <w:t xml:space="preserve"> </w:t>
      </w:r>
      <w:r>
        <w:t xml:space="preserve">deliverable richiesti dal concorso: il</w:t>
      </w:r>
      <w:r>
        <w:t xml:space="preserve"> </w:t>
      </w:r>
      <w:r>
        <w:rPr>
          <w:b/>
          <w:bCs/>
        </w:rPr>
        <w:t xml:space="preserve">technical notebook</w:t>
      </w:r>
      <w:r>
        <w:t xml:space="preserve"> </w:t>
      </w:r>
      <w:r>
        <w:t xml:space="preserve">(</w:t>
      </w:r>
      <w:r>
        <w:rPr>
          <w:rStyle w:val="VerbatimChar"/>
        </w:rPr>
        <w:t xml:space="preserve">notebooks/analisi.ipynb</w:t>
      </w:r>
      <w:r>
        <w:t xml:space="preserve">,</w:t>
      </w:r>
      <w:r>
        <w:t xml:space="preserve"> </w:t>
      </w:r>
      <w:r>
        <w:rPr>
          <w:rStyle w:val="VerbatimChar"/>
        </w:rPr>
        <w:t xml:space="preserve">notebooks/genere.ipynb</w:t>
      </w:r>
      <w:r>
        <w:t xml:space="preserve">,</w:t>
      </w:r>
      <w:r>
        <w:t xml:space="preserve"> </w:t>
      </w:r>
      <w:r>
        <w:rPr>
          <w:rStyle w:val="VerbatimChar"/>
        </w:rPr>
        <w:t xml:space="preserve">notebooks/educazione.ipynb</w:t>
      </w:r>
      <w:r>
        <w:t xml:space="preserve">,</w:t>
      </w:r>
      <w:r>
        <w:t xml:space="preserve"> </w:t>
      </w:r>
      <w:r>
        <w:rPr>
          <w:rStyle w:val="VerbatimChar"/>
        </w:rPr>
        <w:t xml:space="preserve">notebooks/mobilita.ipynb</w:t>
      </w:r>
      <w:r>
        <w:t xml:space="preserve">), le</w:t>
      </w:r>
      <w:r>
        <w:t xml:space="preserve"> </w:t>
      </w:r>
      <w:r>
        <w:rPr>
          <w:b/>
          <w:bCs/>
        </w:rPr>
        <w:t xml:space="preserve">visualizzazioni</w:t>
      </w:r>
      <w:r>
        <w:t xml:space="preserve"> </w:t>
      </w:r>
      <w:r>
        <w:t xml:space="preserve">(</w:t>
      </w:r>
      <w:r>
        <w:rPr>
          <w:rStyle w:val="VerbatimChar"/>
        </w:rPr>
        <w:t xml:space="preserve">figures/</w:t>
      </w:r>
      <w:r>
        <w:t xml:space="preserve">) e la</w:t>
      </w:r>
      <w:r>
        <w:t xml:space="preserve"> </w:t>
      </w:r>
      <w:r>
        <w:rPr>
          <w:b/>
          <w:bCs/>
        </w:rPr>
        <w:t xml:space="preserve">policy proposal</w:t>
      </w:r>
      <w:r>
        <w:t xml:space="preserve"> </w:t>
      </w:r>
      <w:r>
        <w:t xml:space="preserve">(</w:t>
      </w:r>
      <w:r>
        <w:rPr>
          <w:rStyle w:val="VerbatimChar"/>
        </w:rPr>
        <w:t xml:space="preserve">dist/POLICY_PONTE_19.pdf</w:t>
      </w:r>
      <w:r>
        <w:t xml:space="preserve">).</w:t>
      </w:r>
    </w:p>
    <w:p>
      <w:pPr>
        <w:pStyle w:val="BodyText"/>
      </w:pPr>
      <w:r>
        <w:t xml:space="preserve">Una nota per la lettura. Le frecce (→) in chiusura dei paragrafi indicano il file di</w:t>
      </w:r>
      <w:r>
        <w:t xml:space="preserve"> </w:t>
      </w:r>
      <w:r>
        <w:rPr>
          <w:rStyle w:val="VerbatimChar"/>
        </w:rPr>
        <w:t xml:space="preserve">data/processed/</w:t>
      </w:r>
      <w:r>
        <w:t xml:space="preserve"> </w:t>
      </w:r>
      <w:r>
        <w:t xml:space="preserve">o la cella di notebook che produce le cifre appena citate; la pipeline</w:t>
      </w:r>
      <w:r>
        <w:t xml:space="preserve"> </w:t>
      </w:r>
      <w:r>
        <w:t xml:space="preserve">che le rigenera è descritta nella sezione 1. Quando un numero richiede una cautela, la</w:t>
      </w:r>
      <w:r>
        <w:t xml:space="preserve"> </w:t>
      </w:r>
      <w:r>
        <w:t xml:space="preserve">cautela compare accanto al numero, non in fondo al documento.</w:t>
      </w:r>
    </w:p>
    <w:p>
      <w:r>
        <w:pict>
          <v:rect style="width:0;height:1.5pt" o:hralign="center" o:hrstd="t" o:hr="t"/>
        </w:pict>
      </w:r>
    </w:p>
    <w:bookmarkEnd w:id="9"/>
    <w:bookmarkStart w:id="11" w:name="in-una-pagina"/>
    <w:p>
      <w:pPr>
        <w:pStyle w:val="Heading1"/>
      </w:pPr>
      <w:r>
        <w:t xml:space="preserve">In una pagina</w:t>
      </w:r>
    </w:p>
    <w:p>
      <w:pPr>
        <w:pStyle w:val="BlockText"/>
      </w:pPr>
      <w:r>
        <w:rPr>
          <w:b/>
          <w:bCs/>
        </w:rPr>
        <w:t xml:space="preserve">A Bagheria il diploma arriva, il lavoro no. La conversione fallisce soprattutto per le</w:t>
      </w:r>
      <w:r>
        <w:rPr>
          <w:b/>
          <w:bCs/>
        </w:rPr>
        <w:t xml:space="preserve"> </w:t>
      </w:r>
      <w:r>
        <w:rPr>
          <w:b/>
          <w:bCs/>
        </w:rPr>
        <w:t xml:space="preserve">ragazze: sono più istruite dei coetanei, ma il loro tasso di occupazione 15-24 è</w:t>
      </w:r>
      <w:r>
        <w:rPr>
          <w:b/>
          <w:bCs/>
        </w:rPr>
        <w:t xml:space="preserve"> </w:t>
      </w:r>
      <w:r>
        <w:rPr>
          <w:b/>
          <w:bCs/>
        </w:rPr>
        <w:t xml:space="preserve">dell’8,2%, il minimo dei quattro territori in 6 anni su 6. Dopo i 25 anni il divario non</w:t>
      </w:r>
      <w:r>
        <w:rPr>
          <w:b/>
          <w:bCs/>
        </w:rPr>
        <w:t xml:space="preserve"> </w:t>
      </w:r>
      <w:r>
        <w:rPr>
          <w:b/>
          <w:bCs/>
        </w:rPr>
        <w:t xml:space="preserve">si chiude e diventa un tratto locale:</w:t>
      </w:r>
      <w:r>
        <w:rPr>
          <w:b/>
          <w:bCs/>
        </w:rPr>
        <w:t xml:space="preserve"> </w:t>
      </w:r>
      <w:r>
        <w:rPr>
          <w:b/>
          <w:bCs/>
        </w:rPr>
        <w:t xml:space="preserve">le donne di 25-49 anni lavorano al 39,6%, 8,4 punti sotto Palermo, gli uomini a 1,3 punti.</w:t>
      </w:r>
      <w:r>
        <w:rPr>
          <w:b/>
          <w:bCs/>
        </w:rPr>
        <w:t xml:space="preserve"> </w:t>
      </w:r>
      <w:r>
        <w:rPr>
          <w:b/>
          <w:bCs/>
        </w:rPr>
        <w:t xml:space="preserve">Nemmeno la generazione più giovane fa eccezione. Chi resta fuori, inoltre, non è chi</w:t>
      </w:r>
      <w:r>
        <w:rPr>
          <w:b/>
          <w:bCs/>
        </w:rPr>
        <w:t xml:space="preserve"> </w:t>
      </w:r>
      <w:r>
        <w:rPr>
          <w:b/>
          <w:bCs/>
        </w:rPr>
        <w:t xml:space="preserve">cerca lavoro: dei 15-24enni fuori da lavoro e studio, il 70,6% non lo cerca nemmeno.</w:t>
      </w:r>
    </w:p>
    <w:p>
      <w:pPr>
        <w:pStyle w:val="FirstParagraph"/>
      </w:pPr>
      <w:r>
        <w:t xml:space="preserve">I tre thread di analisi (genere, educazione, mobilità) non producono tre diagnosi diverse:</w:t>
      </w:r>
      <w:r>
        <w:t xml:space="preserve"> </w:t>
      </w:r>
      <w:r>
        <w:t xml:space="preserve">leggono</w:t>
      </w:r>
      <w:r>
        <w:t xml:space="preserve"> </w:t>
      </w:r>
      <w:r>
        <w:rPr>
          <w:b/>
          <w:bCs/>
        </w:rPr>
        <w:t xml:space="preserve">lo stesso passaggio, dalla formazione al lavoro, da tre angolature</w:t>
      </w:r>
      <w:r>
        <w:t xml:space="preserve">. Genere ed</w:t>
      </w:r>
      <w:r>
        <w:t xml:space="preserve"> </w:t>
      </w:r>
      <w:r>
        <w:t xml:space="preserve">educazione interrogano le stesse tavole del censimento permanente con domande diverse;</w:t>
      </w:r>
      <w:r>
        <w:t xml:space="preserve"> </w:t>
      </w:r>
      <w:r>
        <w:t xml:space="preserve">mobilità usa una fonte propria, le matrici del pendolarismo. Sono misure aggregate sullo</w:t>
      </w:r>
      <w:r>
        <w:t xml:space="preserve"> </w:t>
      </w:r>
      <w:r>
        <w:t xml:space="preserve">stesso territorio e non seguono la traiettoria delle stesse persone, perché l’incrocio</w:t>
      </w:r>
      <w:r>
        <w:t xml:space="preserve"> </w:t>
      </w:r>
      <w:r>
        <w:t xml:space="preserve">individuale non è pubblicato (sezione 4).</w:t>
      </w:r>
    </w:p>
    <w:p>
      <w:pPr>
        <w:pStyle w:val="BodyText"/>
      </w:pPr>
      <w:r>
        <w:t xml:space="preserve">La proposta (sezione 7) è</w:t>
      </w:r>
      <w:r>
        <w:t xml:space="preserve"> </w:t>
      </w:r>
      <w:r>
        <w:rPr>
          <w:b/>
          <w:bCs/>
        </w:rPr>
        <w:t xml:space="preserve">Ponte 19</w:t>
      </w:r>
      <w:r>
        <w:t xml:space="preserve">: un servizio comunale di transizione e</w:t>
      </w:r>
      <w:r>
        <w:t xml:space="preserve"> </w:t>
      </w:r>
      <w:r>
        <w:t xml:space="preserve">riattivazione per i 18-25enni, con due finestre di ingaggio e un target esplicito sul</w:t>
      </w:r>
      <w:r>
        <w:t xml:space="preserve"> </w:t>
      </w:r>
      <w:r>
        <w:t xml:space="preserve">genere. Il nome richiama l’età di uscita dalla scuola superiore, 19 anni; l’analisi ha poi</w:t>
      </w:r>
      <w:r>
        <w:t xml:space="preserve"> </w:t>
      </w:r>
      <w:r>
        <w:t xml:space="preserve">fatto emergere una seconda finestra, fra i 22 e i 25 anni. La proposta ha anche un vincolo</w:t>
      </w:r>
      <w:r>
        <w:t xml:space="preserve"> </w:t>
      </w:r>
      <w:r>
        <w:t xml:space="preserve">di misura, che la distingue da un auspicio:</w:t>
      </w:r>
    </w:p>
    <w:p>
      <w:pPr>
        <w:pStyle w:val="BlockText"/>
      </w:pPr>
      <w:r>
        <w:rPr>
          <w:b/>
          <w:bCs/>
        </w:rPr>
        <w:t xml:space="preserve">La platea femminile 15-24 cala del 15,5% entro il 2034, e chi ne farà parte è già nata.</w:t>
      </w:r>
      <w:r>
        <w:rPr>
          <w:b/>
          <w:bCs/>
        </w:rPr>
        <w:t xml:space="preserve"> </w:t>
      </w:r>
      <w:r>
        <w:rPr>
          <w:b/>
          <w:bCs/>
        </w:rPr>
        <w:t xml:space="preserve">Portare il tasso di occupazione delle ragazze al livello di Palermo vale oggi 40 occupate</w:t>
      </w:r>
      <w:r>
        <w:rPr>
          <w:b/>
          <w:bCs/>
        </w:rPr>
        <w:t xml:space="preserve"> </w:t>
      </w:r>
      <w:r>
        <w:rPr>
          <w:b/>
          <w:bCs/>
        </w:rPr>
        <w:t xml:space="preserve">in più. Lo stesso obiettivo, misurato sulla platea del 2029 e del 2034, vale +18,2 e −2,5</w:t>
      </w:r>
      <w:r>
        <w:rPr>
          <w:b/>
          <w:bCs/>
        </w:rPr>
        <w:t xml:space="preserve"> </w:t>
      </w:r>
      <w:r>
        <w:rPr>
          <w:b/>
          <w:bCs/>
        </w:rPr>
        <w:t xml:space="preserve">(fig09). Per questo il KPI si scrive in tasso, non in teste.</w:t>
      </w:r>
    </w:p>
    <w:bookmarkStart w:id="10" w:name="la-risposta-al-bando-in-breve"/>
    <w:p>
      <w:pPr>
        <w:pStyle w:val="Heading2"/>
      </w:pPr>
      <w:r>
        <w:t xml:space="preserve">La risposta al bando, in breve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Richiesta del bando</w:t>
            </w:r>
          </w:p>
        </w:tc>
        <w:tc>
          <w:tcPr/>
          <w:p>
            <w:pPr>
              <w:pStyle w:val="Compact"/>
            </w:pPr>
            <w:r>
              <w:t xml:space="preserve">Risposta</w:t>
            </w:r>
          </w:p>
        </w:tc>
        <w:tc>
          <w:tcPr/>
          <w:p>
            <w:pPr>
              <w:pStyle w:val="Compact"/>
            </w:pPr>
            <w:r>
              <w:t xml:space="preserve">Dove</w:t>
            </w:r>
          </w:p>
        </w:tc>
      </w:tr>
      <w:tr>
        <w:tc>
          <w:tcPr/>
          <w:p>
            <w:pPr>
              <w:pStyle w:val="Compact"/>
            </w:pPr>
            <w:r>
              <w:t xml:space="preserve">Profiling statistico &amp; benchmarking (Sicilia, Italia, Palermo)</w:t>
            </w:r>
          </w:p>
        </w:tc>
        <w:tc>
          <w:tcPr/>
          <w:p>
            <w:pPr>
              <w:pStyle w:val="Compact"/>
            </w:pPr>
            <w:r>
              <w:rPr>
                <w:b/>
                <w:bCs/>
              </w:rPr>
              <w:t xml:space="preserve">Sì</w:t>
            </w:r>
            <w:r>
              <w:t xml:space="preserve">, con intervalli di confidenza, percentili sui 390 comuni siciliani e due gruppi dichiarati di comuni pari</w:t>
            </w:r>
          </w:p>
        </w:tc>
        <w:tc>
          <w:tcPr/>
          <w:p>
            <w:pPr>
              <w:pStyle w:val="Compact"/>
            </w:pPr>
            <w:r>
              <w:t xml:space="preserve">sezioni 2-3</w:t>
            </w:r>
          </w:p>
        </w:tc>
      </w:tr>
      <w:tr>
        <w:tc>
          <w:tcPr/>
          <w:p>
            <w:pPr>
              <w:pStyle w:val="Compact"/>
            </w:pPr>
            <w:r>
              <w:t xml:space="preserve">Focus:</w:t>
            </w:r>
            <w:r>
              <w:t xml:space="preserve"> </w:t>
            </w:r>
            <w:r>
              <w:rPr>
                <w:b/>
                <w:bCs/>
              </w:rPr>
              <w:t xml:space="preserve">impatto delle differenze di genere</w:t>
            </w:r>
          </w:p>
        </w:tc>
        <w:tc>
          <w:tcPr/>
          <w:p>
            <w:pPr>
              <w:pStyle w:val="Compact"/>
            </w:pPr>
            <w:r>
              <w:rPr>
                <w:b/>
                <w:bCs/>
              </w:rPr>
              <w:t xml:space="preserve">Sì</w:t>
            </w:r>
            <w:r>
              <w:t xml:space="preserve">, focus principale</w:t>
            </w:r>
          </w:p>
        </w:tc>
        <w:tc>
          <w:tcPr/>
          <w:p>
            <w:pPr>
              <w:pStyle w:val="Compact"/>
            </w:pPr>
            <w:r>
              <w:t xml:space="preserve">sezione 3</w:t>
            </w:r>
          </w:p>
        </w:tc>
      </w:tr>
      <w:tr>
        <w:tc>
          <w:tcPr/>
          <w:p>
            <w:pPr>
              <w:pStyle w:val="Compact"/>
            </w:pPr>
            <w:r>
              <w:t xml:space="preserve">Focus:</w:t>
            </w:r>
            <w:r>
              <w:t xml:space="preserve"> </w:t>
            </w:r>
            <w:r>
              <w:rPr>
                <w:b/>
                <w:bCs/>
              </w:rPr>
              <w:t xml:space="preserve">titolo di studio × condizione lavorativa</w:t>
            </w:r>
          </w:p>
        </w:tc>
        <w:tc>
          <w:tcPr/>
          <w:p>
            <w:pPr>
              <w:pStyle w:val="Compact"/>
            </w:pPr>
            <w:r>
              <w:rPr>
                <w:b/>
                <w:bCs/>
              </w:rPr>
              <w:t xml:space="preserve">In parte</w:t>
            </w:r>
            <w:r>
              <w:t xml:space="preserve">: l’incrocio non esiste nei dati comunali (verificato); la domanda è risolta con due misure parallele sulla stessa fascia</w:t>
            </w:r>
          </w:p>
        </w:tc>
        <w:tc>
          <w:tcPr/>
          <w:p>
            <w:pPr>
              <w:pStyle w:val="Compact"/>
            </w:pPr>
            <w:r>
              <w:t xml:space="preserve">sezione 4</w:t>
            </w:r>
          </w:p>
        </w:tc>
      </w:tr>
      <w:tr>
        <w:tc>
          <w:tcPr/>
          <w:p>
            <w:pPr>
              <w:pStyle w:val="Compact"/>
            </w:pPr>
            <w:r>
              <w:t xml:space="preserve">Focus:</w:t>
            </w:r>
            <w:r>
              <w:t xml:space="preserve"> </w:t>
            </w:r>
            <w:r>
              <w:rPr>
                <w:b/>
                <w:bCs/>
              </w:rPr>
              <w:t xml:space="preserve">pendolarismo verso Palermo</w:t>
            </w:r>
          </w:p>
        </w:tc>
        <w:tc>
          <w:tcPr/>
          <w:p>
            <w:pPr>
              <w:pStyle w:val="Compact"/>
            </w:pPr>
            <w:r>
              <w:rPr>
                <w:b/>
                <w:bCs/>
              </w:rPr>
              <w:t xml:space="preserve">Sì</w:t>
            </w:r>
            <w:r>
              <w:t xml:space="preserve">, misurato con la matrice origine-destinazione ISTAT: va a Palermo il</w:t>
            </w:r>
            <w:r>
              <w:t xml:space="preserve"> </w:t>
            </w:r>
            <w:r>
              <w:rPr>
                <w:b/>
                <w:bCs/>
              </w:rPr>
              <w:t xml:space="preserve">91,1%</w:t>
            </w:r>
            <w:r>
              <w:t xml:space="preserve"> </w:t>
            </w:r>
            <w:r>
              <w:t xml:space="preserve">di chi esce per studio (2011) e il</w:t>
            </w:r>
            <w:r>
              <w:t xml:space="preserve"> </w:t>
            </w:r>
            <w:r>
              <w:rPr>
                <w:b/>
                <w:bCs/>
              </w:rPr>
              <w:t xml:space="preserve">65,1%</w:t>
            </w:r>
            <w:r>
              <w:t xml:space="preserve"> </w:t>
            </w:r>
            <w:r>
              <w:t xml:space="preserve">di chi esce per lavoro (2021), e lo scarto di genere si ribalta fra i due motivi</w:t>
            </w:r>
          </w:p>
        </w:tc>
        <w:tc>
          <w:tcPr/>
          <w:p>
            <w:pPr>
              <w:pStyle w:val="Compact"/>
            </w:pPr>
            <w:r>
              <w:t xml:space="preserve">sezione 5</w:t>
            </w:r>
          </w:p>
        </w:tc>
      </w:tr>
      <w:tr>
        <w:tc>
          <w:tcPr/>
          <w:p>
            <w:pPr>
              <w:pStyle w:val="Compact"/>
            </w:pPr>
            <w:r>
              <w:t xml:space="preserve">NEET 15-34</w:t>
            </w:r>
          </w:p>
        </w:tc>
        <w:tc>
          <w:tcPr/>
          <w:p>
            <w:pPr>
              <w:pStyle w:val="Compact"/>
            </w:pPr>
            <w:r>
              <w:rPr>
                <w:b/>
                <w:bCs/>
              </w:rPr>
              <w:t xml:space="preserve">In parte</w:t>
            </w:r>
            <w:r>
              <w:t xml:space="preserve">: non calcolabile a livello comunale: si usano due misure etichettate e mai fuse, con il valore regionale della rilevazione sulle forze di lavoro come riferimento</w:t>
            </w:r>
          </w:p>
        </w:tc>
        <w:tc>
          <w:tcPr/>
          <w:p>
            <w:pPr>
              <w:pStyle w:val="Compact"/>
            </w:pPr>
            <w:r>
              <w:t xml:space="preserve">sezione 1.1</w:t>
            </w:r>
          </w:p>
        </w:tc>
      </w:tr>
      <w:tr>
        <w:tc>
          <w:tcPr/>
          <w:p>
            <w:pPr>
              <w:pStyle w:val="Compact"/>
            </w:pPr>
            <w:r>
              <w:t xml:space="preserve">Proposta di intervento</w:t>
            </w:r>
          </w:p>
        </w:tc>
        <w:tc>
          <w:tcPr/>
          <w:p>
            <w:pPr>
              <w:pStyle w:val="Compact"/>
            </w:pPr>
            <w:r>
              <w:rPr>
                <w:b/>
                <w:bCs/>
              </w:rPr>
              <w:t xml:space="preserve">Sì</w:t>
            </w:r>
            <w:r>
              <w:t xml:space="preserve">, Ponte 19, con KPI misurabili e finestre di lettura dichiarate</w:t>
            </w:r>
          </w:p>
        </w:tc>
        <w:tc>
          <w:tcPr/>
          <w:p>
            <w:pPr>
              <w:pStyle w:val="Compact"/>
            </w:pPr>
            <w:r>
              <w:t xml:space="preserve">sezione 7</w:t>
            </w:r>
          </w:p>
        </w:tc>
      </w:tr>
      <w:tr>
        <w:tc>
          <w:tcPr/>
          <w:p>
            <w:pPr>
              <w:pStyle w:val="Compact"/>
            </w:pPr>
            <w:r>
              <w:t xml:space="preserve">Technical notebook riproducibile</w:t>
            </w:r>
          </w:p>
        </w:tc>
        <w:tc>
          <w:tcPr/>
          <w:p>
            <w:pPr>
              <w:pStyle w:val="Compact"/>
            </w:pPr>
            <w:r>
              <w:rPr>
                <w:b/>
                <w:bCs/>
              </w:rPr>
              <w:t xml:space="preserve">Sì</w:t>
            </w:r>
            <w:r>
              <w:t xml:space="preserve">, i quattro notebook girano da zero senza errori; i controlli automatici sono tutti superati</w:t>
            </w:r>
          </w:p>
        </w:tc>
        <w:tc>
          <w:tcPr/>
          <w:p>
            <w:pPr>
              <w:pStyle w:val="Compact"/>
            </w:pPr>
            <w:r>
              <w:t xml:space="preserve">sezione 1</w:t>
            </w:r>
          </w:p>
        </w:tc>
      </w:tr>
      <w:tr>
        <w:tc>
          <w:tcPr/>
          <w:p>
            <w:pPr>
              <w:pStyle w:val="Compact"/>
            </w:pPr>
            <w:r>
              <w:t xml:space="preserve">2-3 data viz avanzate</w:t>
            </w:r>
          </w:p>
        </w:tc>
        <w:tc>
          <w:tcPr/>
          <w:p>
            <w:pPr>
              <w:pStyle w:val="Compact"/>
            </w:pPr>
            <w:r>
              <w:rPr>
                <w:b/>
                <w:bCs/>
              </w:rPr>
              <w:t xml:space="preserve">Sì</w:t>
            </w:r>
            <w:r>
              <w:t xml:space="preserve">, tre figure principali, più figure di supporto dichiarate come tali</w:t>
            </w:r>
          </w:p>
        </w:tc>
        <w:tc>
          <w:tcPr/>
          <w:p>
            <w:pPr>
              <w:pStyle w:val="Compact"/>
            </w:pPr>
            <w:r>
              <w:t xml:space="preserve">sezione 8</w:t>
            </w:r>
          </w:p>
        </w:tc>
      </w:tr>
    </w:tbl>
    <w:p>
      <w:pPr>
        <w:pStyle w:val="BodyText"/>
      </w:pPr>
      <w:r>
        <w:t xml:space="preserve">Le risposte parziali non sono lavori a metà: indicano i punti in cui i dati pubblici finiscono, dichiarati</w:t>
      </w:r>
      <w:r>
        <w:t xml:space="preserve"> </w:t>
      </w:r>
      <w:r>
        <w:t xml:space="preserve">invece che aggirati. In un concorso sulla cultura del dato, sapere dove i dati non arrivano</w:t>
      </w:r>
      <w:r>
        <w:t xml:space="preserve"> </w:t>
      </w:r>
      <w:r>
        <w:t xml:space="preserve">è parte della risposta. È anche uno dei motivi della proposta, che quei dati mancanti li</w:t>
      </w:r>
      <w:r>
        <w:t xml:space="preserve"> </w:t>
      </w:r>
      <w:r>
        <w:t xml:space="preserve">produce (sezione 7.5).</w:t>
      </w:r>
    </w:p>
    <w:p>
      <w:r>
        <w:pict>
          <v:rect style="width:0;height:1.5pt" o:hralign="center" o:hrstd="t" o:hr="t"/>
        </w:pict>
      </w:r>
    </w:p>
    <w:bookmarkEnd w:id="10"/>
    <w:bookmarkEnd w:id="11"/>
    <w:bookmarkStart w:id="17" w:name="metodo-la-relazione-si-rigenera-da-zero"/>
    <w:p>
      <w:pPr>
        <w:pStyle w:val="Heading1"/>
      </w:pPr>
      <w:r>
        <w:t xml:space="preserve">1. Metodo: la relazione si rigenera da zero</w:t>
      </w:r>
    </w:p>
    <w:p>
      <w:pPr>
        <w:pStyle w:val="FirstParagraph"/>
      </w:pPr>
      <w:r>
        <w:t xml:space="preserve">L’intera analisi è una pipeline riproducibile. Da un ambiente pulito, la sequenza è:</w:t>
      </w:r>
    </w:p>
    <w:p>
      <w:pPr>
        <w:pStyle w:val="SourceCode"/>
      </w:pPr>
      <w:r>
        <w:rPr>
          <w:rStyle w:val="ExtensionTok"/>
        </w:rPr>
        <w:t xml:space="preserve">uv</w:t>
      </w:r>
      <w:r>
        <w:rPr>
          <w:rStyle w:val="NormalTok"/>
        </w:rPr>
        <w:t xml:space="preserve"> sync                                         </w:t>
      </w:r>
      <w:r>
        <w:rPr>
          <w:rStyle w:val="CommentTok"/>
        </w:rPr>
        <w:t xml:space="preserve"># ambiente Python</w:t>
      </w:r>
      <w:r>
        <w:br/>
      </w:r>
      <w:r>
        <w:rPr>
          <w:rStyle w:val="ExtensionTok"/>
        </w:rPr>
        <w:t xml:space="preserve">uv</w:t>
      </w:r>
      <w:r>
        <w:rPr>
          <w:rStyle w:val="NormalTok"/>
        </w:rPr>
        <w:t xml:space="preserve"> run python </w:t>
      </w:r>
      <w:r>
        <w:rPr>
          <w:rStyle w:val="AttributeTok"/>
        </w:rPr>
        <w:t xml:space="preserve">-m</w:t>
      </w:r>
      <w:r>
        <w:rPr>
          <w:rStyle w:val="NormalTok"/>
        </w:rPr>
        <w:t xml:space="preserve"> pipeline.build                 </w:t>
      </w:r>
      <w:r>
        <w:rPr>
          <w:rStyle w:val="CommentTok"/>
        </w:rPr>
        <w:t xml:space="preserve"># raw -&gt; data/processed/</w:t>
      </w:r>
      <w:r>
        <w:br/>
      </w:r>
      <w:r>
        <w:rPr>
          <w:rStyle w:val="ExtensionTok"/>
        </w:rPr>
        <w:t xml:space="preserve">uv</w:t>
      </w:r>
      <w:r>
        <w:rPr>
          <w:rStyle w:val="NormalTok"/>
        </w:rPr>
        <w:t xml:space="preserve"> run python </w:t>
      </w:r>
      <w:r>
        <w:rPr>
          <w:rStyle w:val="AttributeTok"/>
        </w:rPr>
        <w:t xml:space="preserve">-m</w:t>
      </w:r>
      <w:r>
        <w:rPr>
          <w:rStyle w:val="NormalTok"/>
        </w:rPr>
        <w:t xml:space="preserve"> pipeline.edu </w:t>
      </w:r>
      <w:r>
        <w:rPr>
          <w:rStyle w:val="AttributeTok"/>
        </w:rPr>
        <w:t xml:space="preserve">--skip-download</w:t>
      </w:r>
      <w:r>
        <w:rPr>
          <w:rStyle w:val="NormalTok"/>
        </w:rPr>
        <w:t xml:space="preserve">   </w:t>
      </w:r>
      <w:r>
        <w:rPr>
          <w:rStyle w:val="CommentTok"/>
        </w:rPr>
        <w:t xml:space="preserve"># thread educazione: raw -&gt; edu_*.csv</w:t>
      </w:r>
      <w:r>
        <w:br/>
      </w:r>
      <w:r>
        <w:rPr>
          <w:rStyle w:val="ExtensionTok"/>
        </w:rPr>
        <w:t xml:space="preserve">uv</w:t>
      </w:r>
      <w:r>
        <w:rPr>
          <w:rStyle w:val="NormalTok"/>
        </w:rPr>
        <w:t xml:space="preserve"> run jupyter nbconvert </w:t>
      </w:r>
      <w:r>
        <w:rPr>
          <w:rStyle w:val="AttributeTok"/>
        </w:rPr>
        <w:t xml:space="preserve">--to</w:t>
      </w:r>
      <w:r>
        <w:rPr>
          <w:rStyle w:val="NormalTok"/>
        </w:rPr>
        <w:t xml:space="preserve"> notebook </w:t>
      </w:r>
      <w:r>
        <w:rPr>
          <w:rStyle w:val="AttributeTok"/>
        </w:rPr>
        <w:t xml:space="preserve">--execute</w:t>
      </w:r>
      <w:r>
        <w:rPr>
          <w:rStyle w:val="NormalTok"/>
        </w:rPr>
        <w:t xml:space="preserve"> </w:t>
      </w:r>
      <w:r>
        <w:rPr>
          <w:rStyle w:val="AttributeTok"/>
        </w:rPr>
        <w:t xml:space="preserve">--inplace</w:t>
      </w:r>
      <w:r>
        <w:rPr>
          <w:rStyle w:val="NormalTok"/>
        </w:rPr>
        <w:t xml:space="preserve"> notebooks/analisi.ipynb</w:t>
      </w:r>
      <w:r>
        <w:br/>
      </w:r>
      <w:r>
        <w:rPr>
          <w:rStyle w:val="ExtensionTok"/>
        </w:rPr>
        <w:t xml:space="preserve">uv</w:t>
      </w:r>
      <w:r>
        <w:rPr>
          <w:rStyle w:val="NormalTok"/>
        </w:rPr>
        <w:t xml:space="preserve"> run jupyter nbconvert </w:t>
      </w:r>
      <w:r>
        <w:rPr>
          <w:rStyle w:val="AttributeTok"/>
        </w:rPr>
        <w:t xml:space="preserve">--to</w:t>
      </w:r>
      <w:r>
        <w:rPr>
          <w:rStyle w:val="NormalTok"/>
        </w:rPr>
        <w:t xml:space="preserve"> notebook </w:t>
      </w:r>
      <w:r>
        <w:rPr>
          <w:rStyle w:val="AttributeTok"/>
        </w:rPr>
        <w:t xml:space="preserve">--execute</w:t>
      </w:r>
      <w:r>
        <w:rPr>
          <w:rStyle w:val="NormalTok"/>
        </w:rPr>
        <w:t xml:space="preserve"> </w:t>
      </w:r>
      <w:r>
        <w:rPr>
          <w:rStyle w:val="AttributeTok"/>
        </w:rPr>
        <w:t xml:space="preserve">--inplace</w:t>
      </w:r>
      <w:r>
        <w:rPr>
          <w:rStyle w:val="NormalTok"/>
        </w:rPr>
        <w:t xml:space="preserve"> notebooks/genere.ipynb</w:t>
      </w:r>
      <w:r>
        <w:br/>
      </w:r>
      <w:r>
        <w:rPr>
          <w:rStyle w:val="ExtensionTok"/>
        </w:rPr>
        <w:t xml:space="preserve">uv</w:t>
      </w:r>
      <w:r>
        <w:rPr>
          <w:rStyle w:val="NormalTok"/>
        </w:rPr>
        <w:t xml:space="preserve"> run jupyter nbconvert </w:t>
      </w:r>
      <w:r>
        <w:rPr>
          <w:rStyle w:val="AttributeTok"/>
        </w:rPr>
        <w:t xml:space="preserve">--to</w:t>
      </w:r>
      <w:r>
        <w:rPr>
          <w:rStyle w:val="NormalTok"/>
        </w:rPr>
        <w:t xml:space="preserve"> notebook </w:t>
      </w:r>
      <w:r>
        <w:rPr>
          <w:rStyle w:val="AttributeTok"/>
        </w:rPr>
        <w:t xml:space="preserve">--execute</w:t>
      </w:r>
      <w:r>
        <w:rPr>
          <w:rStyle w:val="NormalTok"/>
        </w:rPr>
        <w:t xml:space="preserve"> </w:t>
      </w:r>
      <w:r>
        <w:rPr>
          <w:rStyle w:val="AttributeTok"/>
        </w:rPr>
        <w:t xml:space="preserve">--inplace</w:t>
      </w:r>
      <w:r>
        <w:rPr>
          <w:rStyle w:val="NormalTok"/>
        </w:rPr>
        <w:t xml:space="preserve"> notebooks/educazione.ipynb</w:t>
      </w:r>
      <w:r>
        <w:br/>
      </w:r>
      <w:r>
        <w:rPr>
          <w:rStyle w:val="ExtensionTok"/>
        </w:rPr>
        <w:t xml:space="preserve">uv</w:t>
      </w:r>
      <w:r>
        <w:rPr>
          <w:rStyle w:val="NormalTok"/>
        </w:rPr>
        <w:t xml:space="preserve"> run jupyter nbconvert </w:t>
      </w:r>
      <w:r>
        <w:rPr>
          <w:rStyle w:val="AttributeTok"/>
        </w:rPr>
        <w:t xml:space="preserve">--to</w:t>
      </w:r>
      <w:r>
        <w:rPr>
          <w:rStyle w:val="NormalTok"/>
        </w:rPr>
        <w:t xml:space="preserve"> notebook </w:t>
      </w:r>
      <w:r>
        <w:rPr>
          <w:rStyle w:val="AttributeTok"/>
        </w:rPr>
        <w:t xml:space="preserve">--execute</w:t>
      </w:r>
      <w:r>
        <w:rPr>
          <w:rStyle w:val="NormalTok"/>
        </w:rPr>
        <w:t xml:space="preserve"> </w:t>
      </w:r>
      <w:r>
        <w:rPr>
          <w:rStyle w:val="AttributeTok"/>
        </w:rPr>
        <w:t xml:space="preserve">--inplace</w:t>
      </w:r>
      <w:r>
        <w:rPr>
          <w:rStyle w:val="NormalTok"/>
        </w:rPr>
        <w:t xml:space="preserve"> notebooks/mobilita.ipynb</w:t>
      </w:r>
      <w:r>
        <w:br/>
      </w:r>
      <w:r>
        <w:rPr>
          <w:rStyle w:val="ExtensionTok"/>
        </w:rPr>
        <w:t xml:space="preserve">uv</w:t>
      </w:r>
      <w:r>
        <w:rPr>
          <w:rStyle w:val="NormalTok"/>
        </w:rPr>
        <w:t xml:space="preserve"> run python </w:t>
      </w:r>
      <w:r>
        <w:rPr>
          <w:rStyle w:val="AttributeTok"/>
        </w:rPr>
        <w:t xml:space="preserve">-m</w:t>
      </w:r>
      <w:r>
        <w:rPr>
          <w:rStyle w:val="NormalTok"/>
        </w:rPr>
        <w:t xml:space="preserve"> pipeline.verifica              </w:t>
      </w:r>
      <w:r>
        <w:rPr>
          <w:rStyle w:val="CommentTok"/>
        </w:rPr>
        <w:t xml:space="preserve"># controlli automatici</w:t>
      </w:r>
      <w:r>
        <w:br/>
      </w:r>
      <w:r>
        <w:rPr>
          <w:rStyle w:val="ExtensionTok"/>
        </w:rPr>
        <w:t xml:space="preserve">Rscript</w:t>
      </w:r>
      <w:r>
        <w:rPr>
          <w:rStyle w:val="NormalTok"/>
        </w:rPr>
        <w:t xml:space="preserve"> viz/build_all.R                         </w:t>
      </w:r>
      <w:r>
        <w:rPr>
          <w:rStyle w:val="CommentTok"/>
        </w:rPr>
        <w:t xml:space="preserve"># tutte le figure in figures/</w:t>
      </w:r>
      <w:r>
        <w:br/>
      </w:r>
      <w:r>
        <w:rPr>
          <w:rStyle w:val="ExtensionTok"/>
        </w:rPr>
        <w:t xml:space="preserve">Rscript</w:t>
      </w:r>
      <w:r>
        <w:rPr>
          <w:rStyle w:val="NormalTok"/>
        </w:rPr>
        <w:t xml:space="preserve"> viz/dump_didascalie.R                   </w:t>
      </w:r>
      <w:r>
        <w:rPr>
          <w:rStyle w:val="CommentTok"/>
        </w:rPr>
        <w:t xml:space="preserve"># titoli e didascalie -&gt; figures/didascalie.csv</w:t>
      </w:r>
      <w:r>
        <w:br/>
      </w:r>
      <w:r>
        <w:rPr>
          <w:rStyle w:val="ExtensionTok"/>
        </w:rPr>
        <w:t xml:space="preserve">uv</w:t>
      </w:r>
      <w:r>
        <w:rPr>
          <w:rStyle w:val="NormalTok"/>
        </w:rPr>
        <w:t xml:space="preserve"> run python </w:t>
      </w:r>
      <w:r>
        <w:rPr>
          <w:rStyle w:val="AttributeTok"/>
        </w:rPr>
        <w:t xml:space="preserve">-m</w:t>
      </w:r>
      <w:r>
        <w:rPr>
          <w:rStyle w:val="NormalTok"/>
        </w:rPr>
        <w:t xml:space="preserve"> pipeline.schede                </w:t>
      </w:r>
      <w:r>
        <w:rPr>
          <w:rStyle w:val="CommentTok"/>
        </w:rPr>
        <w:t xml:space="preserve"># le quattro schede HTML di docs/schede/</w:t>
      </w:r>
      <w:r>
        <w:br/>
      </w:r>
      <w:r>
        <w:rPr>
          <w:rStyle w:val="ExtensionTok"/>
        </w:rPr>
        <w:t xml:space="preserve">uv</w:t>
      </w:r>
      <w:r>
        <w:rPr>
          <w:rStyle w:val="NormalTok"/>
        </w:rPr>
        <w:t xml:space="preserve"> run python </w:t>
      </w:r>
      <w:r>
        <w:rPr>
          <w:rStyle w:val="AttributeTok"/>
        </w:rPr>
        <w:t xml:space="preserve">-m</w:t>
      </w:r>
      <w:r>
        <w:rPr>
          <w:rStyle w:val="NormalTok"/>
        </w:rPr>
        <w:t xml:space="preserve"> pipeline.relazione_docx        </w:t>
      </w:r>
      <w:r>
        <w:rPr>
          <w:rStyle w:val="CommentTok"/>
        </w:rPr>
        <w:t xml:space="preserve"># questa relazione in .docx, figure incorporate</w:t>
      </w:r>
      <w:r>
        <w:br/>
      </w:r>
      <w:r>
        <w:rPr>
          <w:rStyle w:val="ExtensionTok"/>
        </w:rPr>
        <w:t xml:space="preserve">uv</w:t>
      </w:r>
      <w:r>
        <w:rPr>
          <w:rStyle w:val="NormalTok"/>
        </w:rPr>
        <w:t xml:space="preserve"> run python </w:t>
      </w:r>
      <w:r>
        <w:rPr>
          <w:rStyle w:val="AttributeTok"/>
        </w:rPr>
        <w:t xml:space="preserve">-m</w:t>
      </w:r>
      <w:r>
        <w:rPr>
          <w:rStyle w:val="NormalTok"/>
        </w:rPr>
        <w:t xml:space="preserve"> pipeline.policy_docx           </w:t>
      </w:r>
      <w:r>
        <w:rPr>
          <w:rStyle w:val="CommentTok"/>
        </w:rPr>
        <w:t xml:space="preserve"># la policy proposal in .docx</w:t>
      </w:r>
      <w:r>
        <w:br/>
      </w:r>
      <w:r>
        <w:rPr>
          <w:rStyle w:val="ExtensionTok"/>
        </w:rPr>
        <w:t xml:space="preserve">uv</w:t>
      </w:r>
      <w:r>
        <w:rPr>
          <w:rStyle w:val="NormalTok"/>
        </w:rPr>
        <w:t xml:space="preserve"> run python </w:t>
      </w:r>
      <w:r>
        <w:rPr>
          <w:rStyle w:val="AttributeTok"/>
        </w:rPr>
        <w:t xml:space="preserve">-m</w:t>
      </w:r>
      <w:r>
        <w:rPr>
          <w:rStyle w:val="NormalTok"/>
        </w:rPr>
        <w:t xml:space="preserve"> pipeline.pdf                   </w:t>
      </w:r>
      <w:r>
        <w:rPr>
          <w:rStyle w:val="CommentTok"/>
        </w:rPr>
        <w:t xml:space="preserve"># i PDF, i notebook in HTML e lo zip di dist/</w:t>
      </w:r>
    </w:p>
    <w:p>
      <w:pPr>
        <w:pStyle w:val="FirstParagraph"/>
      </w:pPr>
      <w:r>
        <w:t xml:space="preserve">I dati grezzi sono già in</w:t>
      </w:r>
      <w:r>
        <w:t xml:space="preserve"> </w:t>
      </w:r>
      <w:r>
        <w:rPr>
          <w:rStyle w:val="VerbatimChar"/>
        </w:rPr>
        <w:t xml:space="preserve">data/raw/</w:t>
      </w:r>
      <w:r>
        <w:t xml:space="preserve">, quindi dopo il primo</w:t>
      </w:r>
      <w:r>
        <w:t xml:space="preserve"> </w:t>
      </w:r>
      <w:r>
        <w:rPr>
          <w:rStyle w:val="VerbatimChar"/>
        </w:rPr>
        <w:t xml:space="preserve">uv sync</w:t>
      </w:r>
      <w:r>
        <w:t xml:space="preserve"> </w:t>
      </w:r>
      <w:r>
        <w:t xml:space="preserve">la sequenza gira</w:t>
      </w:r>
      <w:r>
        <w:t xml:space="preserve"> </w:t>
      </w:r>
      <w:r>
        <w:t xml:space="preserve">senza rete.</w:t>
      </w:r>
      <w:r>
        <w:t xml:space="preserve"> </w:t>
      </w:r>
      <w:r>
        <w:rPr>
          <w:rStyle w:val="VerbatimChar"/>
        </w:rPr>
        <w:t xml:space="preserve">pipeline.fetch</w:t>
      </w:r>
      <w:r>
        <w:t xml:space="preserve"> </w:t>
      </w:r>
      <w:r>
        <w:t xml:space="preserve">serve solo ad aggiornarli: scarica file nuovi, datati al giorno del download. L’ordine dei</w:t>
      </w:r>
      <w:r>
        <w:t xml:space="preserve"> </w:t>
      </w:r>
      <w:r>
        <w:t xml:space="preserve">passaggi non è arbitrario:</w:t>
      </w:r>
      <w:r>
        <w:t xml:space="preserve"> </w:t>
      </w:r>
      <w:r>
        <w:rPr>
          <w:rStyle w:val="VerbatimChar"/>
        </w:rPr>
        <w:t xml:space="preserve">genere.ipynb</w:t>
      </w:r>
      <w:r>
        <w:t xml:space="preserve"> </w:t>
      </w:r>
      <w:r>
        <w:t xml:space="preserve">legge tavole prodotte da</w:t>
      </w:r>
      <w:r>
        <w:t xml:space="preserve"> </w:t>
      </w:r>
      <w:r>
        <w:rPr>
          <w:rStyle w:val="VerbatimChar"/>
        </w:rPr>
        <w:t xml:space="preserve">analisi.ipynb</w:t>
      </w:r>
      <w:r>
        <w:t xml:space="preserve"> </w:t>
      </w:r>
      <w:r>
        <w:t xml:space="preserve">e da</w:t>
      </w:r>
      <w:r>
        <w:t xml:space="preserve"> </w:t>
      </w:r>
      <w:r>
        <w:rPr>
          <w:rStyle w:val="VerbatimChar"/>
        </w:rPr>
        <w:t xml:space="preserve">pipeline.edu</w:t>
      </w:r>
      <w:r>
        <w:t xml:space="preserve">, e</w:t>
      </w:r>
      <w:r>
        <w:t xml:space="preserve"> </w:t>
      </w:r>
      <w:r>
        <w:rPr>
          <w:rStyle w:val="VerbatimChar"/>
        </w:rPr>
        <w:t xml:space="preserve">mobilita.ipynb</w:t>
      </w:r>
      <w:r>
        <w:t xml:space="preserve"> </w:t>
      </w:r>
      <w:r>
        <w:t xml:space="preserve">ne legge due prodotte da</w:t>
      </w:r>
      <w:r>
        <w:t xml:space="preserve"> </w:t>
      </w:r>
      <w:r>
        <w:rPr>
          <w:rStyle w:val="VerbatimChar"/>
        </w:rPr>
        <w:t xml:space="preserve">genere.ipynb</w:t>
      </w:r>
      <w:r>
        <w:t xml:space="preserve"> </w:t>
      </w:r>
      <w:r>
        <w:t xml:space="preserve">(</w:t>
      </w:r>
      <w:r>
        <w:rPr>
          <w:rStyle w:val="VerbatimChar"/>
        </w:rPr>
        <w:t xml:space="preserve">genere_gap_persone.csv</w:t>
      </w:r>
      <w:r>
        <w:t xml:space="preserve"> </w:t>
      </w:r>
      <w:r>
        <w:t xml:space="preserve">e</w:t>
      </w:r>
      <w:r>
        <w:t xml:space="preserve"> </w:t>
      </w:r>
      <w:r>
        <w:rPr>
          <w:rStyle w:val="VerbatimChar"/>
        </w:rPr>
        <w:t xml:space="preserve">genere_pendolarismo.csv</w:t>
      </w:r>
      <w:r>
        <w:t xml:space="preserve">).</w:t>
      </w:r>
    </w:p>
    <w:p>
      <w:pPr>
        <w:pStyle w:val="BodyText"/>
      </w:pPr>
      <w:r>
        <w:t xml:space="preserve">La pipeline ha tre proprietà sostanziali:</w:t>
      </w:r>
    </w:p>
    <w:p>
      <w:pPr>
        <w:pStyle w:val="Compact"/>
        <w:numPr>
          <w:ilvl w:val="0"/>
          <w:numId w:val="1001"/>
        </w:numPr>
      </w:pPr>
      <w:r>
        <w:rPr>
          <w:b/>
          <w:bCs/>
        </w:rPr>
        <w:t xml:space="preserve">Provenance completa.</w:t>
      </w:r>
      <w:r>
        <w:t xml:space="preserve"> </w:t>
      </w:r>
      <w:r>
        <w:t xml:space="preserve">Ogni file in</w:t>
      </w:r>
      <w:r>
        <w:t xml:space="preserve"> </w:t>
      </w:r>
      <w:r>
        <w:rPr>
          <w:rStyle w:val="VerbatimChar"/>
        </w:rPr>
        <w:t xml:space="preserve">data/raw/</w:t>
      </w:r>
      <w:r>
        <w:t xml:space="preserve"> </w:t>
      </w:r>
      <w:r>
        <w:t xml:space="preserve">è append-only e ha una riga in</w:t>
      </w:r>
      <w:r>
        <w:t xml:space="preserve"> </w:t>
      </w:r>
      <w:r>
        <w:rPr>
          <w:rStyle w:val="VerbatimChar"/>
        </w:rPr>
        <w:t xml:space="preserve">docs/sources.md</w:t>
      </w:r>
      <w:r>
        <w:t xml:space="preserve"> </w:t>
      </w:r>
      <w:r>
        <w:t xml:space="preserve">con URL esatto, data e parametri. Le correzioni stanno in</w:t>
      </w:r>
      <w:r>
        <w:t xml:space="preserve"> </w:t>
      </w:r>
      <w:r>
        <w:rPr>
          <w:rStyle w:val="VerbatimChar"/>
        </w:rPr>
        <w:t xml:space="preserve">pipeline/</w:t>
      </w:r>
      <w:r>
        <w:t xml:space="preserve">, mai nei raw.</w:t>
      </w:r>
    </w:p>
    <w:p>
      <w:pPr>
        <w:pStyle w:val="Compact"/>
        <w:numPr>
          <w:ilvl w:val="0"/>
          <w:numId w:val="1001"/>
        </w:numPr>
      </w:pPr>
      <w:r>
        <w:rPr>
          <w:b/>
          <w:bCs/>
        </w:rPr>
        <w:t xml:space="preserve">Verifica indipendente.</w:t>
      </w:r>
      <w:r>
        <w:t xml:space="preserve"> </w:t>
      </w:r>
      <w:r>
        <w:rPr>
          <w:rStyle w:val="VerbatimChar"/>
        </w:rPr>
        <w:t xml:space="preserve">pipeline/verifica.py</w:t>
      </w:r>
      <w:r>
        <w:t xml:space="preserve"> </w:t>
      </w:r>
      <w:r>
        <w:t xml:space="preserve">esegue</w:t>
      </w:r>
      <w:r>
        <w:t xml:space="preserve"> </w:t>
      </w:r>
      <w:r>
        <w:rPr>
          <w:b/>
          <w:bCs/>
        </w:rPr>
        <w:t xml:space="preserve">1005 controlli automatici</w:t>
      </w:r>
      <w:r>
        <w:t xml:space="preserve">,</w:t>
      </w:r>
      <w:r>
        <w:t xml:space="preserve"> </w:t>
      </w:r>
      <w:r>
        <w:t xml:space="preserve">tutti superati. Ricalcola i numeri chiave</w:t>
      </w:r>
      <w:r>
        <w:t xml:space="preserve"> </w:t>
      </w:r>
      <w:r>
        <w:rPr>
          <w:b/>
          <w:bCs/>
        </w:rPr>
        <w:t xml:space="preserve">direttamente dai raw, con implementazioni</w:t>
      </w:r>
      <w:r>
        <w:rPr>
          <w:b/>
          <w:bCs/>
        </w:rPr>
        <w:t xml:space="preserve"> </w:t>
      </w:r>
      <w:r>
        <w:rPr>
          <w:b/>
          <w:bCs/>
        </w:rPr>
        <w:t xml:space="preserve">alternative</w:t>
      </w:r>
      <w:r>
        <w:t xml:space="preserve">: intervalli di Wilson e Newcombe riscritti, modello lineare di probabilità</w:t>
      </w:r>
      <w:r>
        <w:t xml:space="preserve"> </w:t>
      </w:r>
      <w:r>
        <w:t xml:space="preserve">in forma analitica, matching rifatto, coorti dalle classi quinquennali. Anche la matrice</w:t>
      </w:r>
      <w:r>
        <w:t xml:space="preserve"> </w:t>
      </w:r>
      <w:r>
        <w:t xml:space="preserve">del pendolarismo ha un parser proprio, che la legge in streaming dagli zip. Il modulo</w:t>
      </w:r>
      <w:r>
        <w:t xml:space="preserve"> </w:t>
      </w:r>
      <w:r>
        <w:t xml:space="preserve">controlla poi che le tavole di</w:t>
      </w:r>
      <w:r>
        <w:t xml:space="preserve"> </w:t>
      </w:r>
      <w:r>
        <w:rPr>
          <w:rStyle w:val="VerbatimChar"/>
        </w:rPr>
        <w:t xml:space="preserve">data/processed/</w:t>
      </w:r>
      <w:r>
        <w:t xml:space="preserve"> </w:t>
      </w:r>
      <w:r>
        <w:t xml:space="preserve">coincidano con quei ricalcoli e che le cifre</w:t>
      </w:r>
      <w:r>
        <w:t xml:space="preserve"> </w:t>
      </w:r>
      <w:r>
        <w:t xml:space="preserve">scritte in questa relazione e nella policy compaiano alla lettera. Se un raw cambia, il</w:t>
      </w:r>
      <w:r>
        <w:t xml:space="preserve"> </w:t>
      </w:r>
      <w:r>
        <w:t xml:space="preserve">controllo fallisce finché notebook, tavole e testo non vengono riallineati.</w:t>
      </w:r>
    </w:p>
    <w:p>
      <w:pPr>
        <w:pStyle w:val="Compact"/>
        <w:numPr>
          <w:ilvl w:val="0"/>
          <w:numId w:val="1001"/>
        </w:numPr>
      </w:pPr>
      <w:r>
        <w:rPr>
          <w:b/>
          <w:bCs/>
        </w:rPr>
        <w:t xml:space="preserve">Separazione dei ruoli.</w:t>
      </w:r>
      <w:r>
        <w:t xml:space="preserve"> </w:t>
      </w:r>
      <w:r>
        <w:t xml:space="preserve">Python trasforma, R disegna. L’interfaccia fra i due sono i</w:t>
      </w:r>
      <w:r>
        <w:t xml:space="preserve"> </w:t>
      </w:r>
      <w:r>
        <w:t xml:space="preserve">CSV di</w:t>
      </w:r>
      <w:r>
        <w:t xml:space="preserve"> </w:t>
      </w:r>
      <w:r>
        <w:rPr>
          <w:rStyle w:val="VerbatimChar"/>
        </w:rPr>
        <w:t xml:space="preserve">data/processed/</w:t>
      </w:r>
      <w:r>
        <w:t xml:space="preserve">, e negli script delle figure non c’è logica di trasformazione.</w:t>
      </w:r>
    </w:p>
    <w:bookmarkStart w:id="12" w:name="le-definizioni-fissate-una-volta"/>
    <w:p>
      <w:pPr>
        <w:pStyle w:val="Heading2"/>
      </w:pPr>
      <w:r>
        <w:t xml:space="preserve">1.1 Le definizioni, fissate una volta</w:t>
      </w:r>
    </w:p>
    <w:p>
      <w:pPr>
        <w:pStyle w:val="Compact"/>
        <w:numPr>
          <w:ilvl w:val="0"/>
          <w:numId w:val="1002"/>
        </w:numPr>
      </w:pPr>
      <w:r>
        <w:rPr>
          <w:b/>
          <w:bCs/>
        </w:rPr>
        <w:t xml:space="preserve">Territori</w:t>
      </w:r>
      <w:r>
        <w:t xml:space="preserve">: Bagheria (</w:t>
      </w:r>
      <w:r>
        <w:rPr>
          <w:rStyle w:val="VerbatimChar"/>
        </w:rPr>
        <w:t xml:space="preserve">082006</w:t>
      </w:r>
      <w:r>
        <w:t xml:space="preserve">), Comune di Palermo (</w:t>
      </w:r>
      <w:r>
        <w:rPr>
          <w:rStyle w:val="VerbatimChar"/>
        </w:rPr>
        <w:t xml:space="preserve">082053</w:t>
      </w:r>
      <w:r>
        <w:t xml:space="preserve">), Sicilia (</w:t>
      </w:r>
      <w:r>
        <w:rPr>
          <w:rStyle w:val="VerbatimChar"/>
        </w:rPr>
        <w:t xml:space="preserve">ITG1</w:t>
      </w:r>
      <w:r>
        <w:t xml:space="preserve">) e</w:t>
      </w:r>
      <w:r>
        <w:t xml:space="preserve"> </w:t>
      </w:r>
      <w:r>
        <w:t xml:space="preserve">Italia (</w:t>
      </w:r>
      <w:r>
        <w:rPr>
          <w:rStyle w:val="VerbatimChar"/>
        </w:rPr>
        <w:t xml:space="preserve">IT</w:t>
      </w:r>
      <w:r>
        <w:t xml:space="preserve">). A questi si aggiungono i</w:t>
      </w:r>
      <w:r>
        <w:t xml:space="preserve"> </w:t>
      </w:r>
      <w:r>
        <w:rPr>
          <w:b/>
          <w:bCs/>
        </w:rPr>
        <w:t xml:space="preserve">390 comuni siciliani</w:t>
      </w:r>
      <w:r>
        <w:t xml:space="preserve">, per i percentili, e</w:t>
      </w:r>
      <w:r>
        <w:t xml:space="preserve"> </w:t>
      </w:r>
      <w:r>
        <w:t xml:space="preserve">due gruppi di comuni pari (sezione 2.4).</w:t>
      </w:r>
    </w:p>
    <w:p>
      <w:pPr>
        <w:pStyle w:val="Compact"/>
        <w:numPr>
          <w:ilvl w:val="0"/>
          <w:numId w:val="1002"/>
        </w:numPr>
      </w:pPr>
      <w:r>
        <w:rPr>
          <w:b/>
          <w:bCs/>
        </w:rPr>
        <w:t xml:space="preserve">Fasce d’età</w:t>
      </w:r>
      <w:r>
        <w:t xml:space="preserve">: dipendono dal dominio, perché le fonti non danno il 15-34 ovunque. Per</w:t>
      </w:r>
      <w:r>
        <w:t xml:space="preserve"> </w:t>
      </w:r>
      <w:r>
        <w:t xml:space="preserve">il lavoro la fascia è</w:t>
      </w:r>
      <w:r>
        <w:t xml:space="preserve"> </w:t>
      </w:r>
      <w:r>
        <w:rPr>
          <w:b/>
          <w:bCs/>
        </w:rPr>
        <w:t xml:space="preserve">15-24</w:t>
      </w:r>
      <w:r>
        <w:t xml:space="preserve">, l’unica classe giovanile comunale della tavola lavoro</w:t>
      </w:r>
      <w:r>
        <w:t xml:space="preserve"> </w:t>
      </w:r>
      <w:r>
        <w:t xml:space="preserve">del censimento permanente. La tavola istruzione ha come classe giovanile solo il</w:t>
      </w:r>
      <w:r>
        <w:t xml:space="preserve"> </w:t>
      </w:r>
      <w:r>
        <w:rPr>
          <w:b/>
          <w:bCs/>
        </w:rPr>
        <w:t xml:space="preserve">9-24</w:t>
      </w:r>
      <w:r>
        <w:t xml:space="preserve">, sempre dichiarato; sotto i 15 anni un diploma non può esserci, quindi le</w:t>
      </w:r>
      <w:r>
        <w:t xml:space="preserve"> </w:t>
      </w:r>
      <w:r>
        <w:t xml:space="preserve">diplomate 9-24 sono anche le diplomate 15-24, e il diploma si riporta sulla fascia del</w:t>
      </w:r>
      <w:r>
        <w:t xml:space="preserve"> </w:t>
      </w:r>
      <w:r>
        <w:t xml:space="preserve">lavoro con il denominatore delle età singole (sezione 3.1). Per la demografia il</w:t>
      </w:r>
      <w:r>
        <w:t xml:space="preserve"> </w:t>
      </w:r>
      <w:r>
        <w:rPr>
          <w:b/>
          <w:bCs/>
        </w:rPr>
        <w:t xml:space="preserve">15-34</w:t>
      </w:r>
      <w:r>
        <w:t xml:space="preserve"> </w:t>
      </w:r>
      <w:r>
        <w:t xml:space="preserve">è esatto, ricostruito dalle età singole. Ogni figura dichiara la fascia.</w:t>
      </w:r>
    </w:p>
    <w:p>
      <w:pPr>
        <w:pStyle w:val="Compact"/>
        <w:numPr>
          <w:ilvl w:val="0"/>
          <w:numId w:val="1002"/>
        </w:numPr>
      </w:pPr>
      <w:r>
        <w:rPr>
          <w:b/>
          <w:bCs/>
        </w:rPr>
        <w:t xml:space="preserve">Anni</w:t>
      </w:r>
      <w:r>
        <w:t xml:space="preserve">: il censimento permanente copre il 2018-2024. Sulla classe 15-24 il</w:t>
      </w:r>
      <w:r>
        <w:t xml:space="preserve"> </w:t>
      </w:r>
      <w:r>
        <w:rPr>
          <w:b/>
          <w:bCs/>
        </w:rPr>
        <w:t xml:space="preserve">2020</w:t>
      </w:r>
      <w:r>
        <w:rPr>
          <w:b/>
          <w:bCs/>
        </w:rPr>
        <w:t xml:space="preserve"> </w:t>
      </w:r>
      <w:r>
        <w:rPr>
          <w:b/>
          <w:bCs/>
        </w:rPr>
        <w:t xml:space="preserve">manca</w:t>
      </w:r>
      <w:r>
        <w:t xml:space="preserve"> </w:t>
      </w:r>
      <w:r>
        <w:t xml:space="preserve">e resta mancante, mai interpolato. 8milaCensus (1991/2001/2011) è una fonte</w:t>
      </w:r>
      <w:r>
        <w:t xml:space="preserve"> </w:t>
      </w:r>
      <w:r>
        <w:t xml:space="preserve">storica separata e sempre etichettata. Fra il 2019 e il 2021 c’è una</w:t>
      </w:r>
      <w:r>
        <w:t xml:space="preserve"> </w:t>
      </w:r>
      <w:r>
        <w:rPr>
          <w:b/>
          <w:bCs/>
        </w:rPr>
        <w:t xml:space="preserve">rottura di</w:t>
      </w:r>
      <w:r>
        <w:rPr>
          <w:b/>
          <w:bCs/>
        </w:rPr>
        <w:t xml:space="preserve"> </w:t>
      </w:r>
      <w:r>
        <w:rPr>
          <w:b/>
          <w:bCs/>
        </w:rPr>
        <w:t xml:space="preserve">misura</w:t>
      </w:r>
      <w:r>
        <w:t xml:space="preserve"> </w:t>
      </w:r>
      <w:r>
        <w:t xml:space="preserve">sulla componente «in cerca di occupazione»: i gap fra territori restano</w:t>
      </w:r>
      <w:r>
        <w:t xml:space="preserve"> </w:t>
      </w:r>
      <w:r>
        <w:t xml:space="preserve">confrontabili, i livelli delle componenti no (</w:t>
      </w:r>
      <w:r>
        <w:rPr>
          <w:rStyle w:val="VerbatimChar"/>
        </w:rPr>
        <w:t xml:space="preserve">docs/sources.md</w:t>
      </w:r>
      <w:r>
        <w:t xml:space="preserve"> </w:t>
      </w:r>
      <w:r>
        <w:t xml:space="preserve">§7).</w:t>
      </w:r>
    </w:p>
    <w:p>
      <w:pPr>
        <w:pStyle w:val="Compact"/>
        <w:numPr>
          <w:ilvl w:val="0"/>
          <w:numId w:val="1002"/>
        </w:numPr>
      </w:pPr>
      <w:r>
        <w:rPr>
          <w:b/>
          <w:bCs/>
        </w:rPr>
        <w:t xml:space="preserve">NEET</w:t>
      </w:r>
      <w:r>
        <w:t xml:space="preserve">: il NEET 15-34 del bando</w:t>
      </w:r>
      <w:r>
        <w:t xml:space="preserve"> </w:t>
      </w:r>
      <w:r>
        <w:rPr>
          <w:b/>
          <w:bCs/>
        </w:rPr>
        <w:t xml:space="preserve">non è calcolabile a livello comunale</w:t>
      </w:r>
      <w:r>
        <w:t xml:space="preserve">, perché la</w:t>
      </w:r>
      <w:r>
        <w:t xml:space="preserve"> </w:t>
      </w:r>
      <w:r>
        <w:t xml:space="preserve">fascia non esiste nei dati. Si usano quindi due misure, etichettate e mai unite: il NEET</w:t>
      </w:r>
      <w:r>
        <w:t xml:space="preserve"> </w:t>
      </w:r>
      <w:r>
        <w:rPr>
          <w:b/>
          <w:bCs/>
        </w:rPr>
        <w:t xml:space="preserve">15-29 al 2011</w:t>
      </w:r>
      <w:r>
        <w:t xml:space="preserve"> </w:t>
      </w:r>
      <w:r>
        <w:t xml:space="preserve">(8milaCensus,</w:t>
      </w:r>
      <w:r>
        <w:t xml:space="preserve"> </w:t>
      </w:r>
      <w:r>
        <w:rPr>
          <w:rStyle w:val="VerbatimChar"/>
        </w:rPr>
        <w:t xml:space="preserve">L4</w:t>
      </w:r>
      <w:r>
        <w:t xml:space="preserve">) e il proxy</w:t>
      </w:r>
      <w:r>
        <w:t xml:space="preserve"> </w:t>
      </w:r>
      <w:r>
        <w:rPr>
          <w:b/>
          <w:bCs/>
        </w:rPr>
        <w:t xml:space="preserve">«fuori da lavoro e studio» 15-24,</w:t>
      </w:r>
      <w:r>
        <w:rPr>
          <w:b/>
          <w:bCs/>
        </w:rPr>
        <w:t xml:space="preserve"> </w:t>
      </w:r>
      <w:r>
        <w:rPr>
          <w:b/>
          <w:bCs/>
        </w:rPr>
        <w:t xml:space="preserve">2018-2024</w:t>
      </w:r>
      <w:r>
        <w:t xml:space="preserve"> </w:t>
      </w:r>
      <w:r>
        <w:t xml:space="preserve">(censimento permanente). Hanno fasce e definizioni diverse, quindi si</w:t>
      </w:r>
      <w:r>
        <w:t xml:space="preserve"> </w:t>
      </w:r>
      <w:r>
        <w:t xml:space="preserve">affiancano e non si mettono mai in serie. La cifra del bando esiste solo a scala</w:t>
      </w:r>
      <w:r>
        <w:t xml:space="preserve"> </w:t>
      </w:r>
      <w:r>
        <w:t xml:space="preserve">regionale, nella rilevazione sulle forze di lavoro, fonte campionaria con definizione</w:t>
      </w:r>
      <w:r>
        <w:t xml:space="preserve"> </w:t>
      </w:r>
      <w:r>
        <w:t xml:space="preserve">europea. Secondo questa rilevazione, nel 2024 il NEET 15-34 della Sicilia è al 30,1%</w:t>
      </w:r>
      <w:r>
        <w:t xml:space="preserve"> </w:t>
      </w:r>
      <w:r>
        <w:t xml:space="preserve">(35,3% fra le donne, 25,2% fra gli uomini), contro il 17,3% dell’Italia. Sul 15-24 la</w:t>
      </w:r>
      <w:r>
        <w:t xml:space="preserve"> </w:t>
      </w:r>
      <w:r>
        <w:t xml:space="preserve">stessa fonte dà 19,5% per la Sicilia, dove il proxy censuario dà 22,3%. Nel 2024</w:t>
      </w:r>
      <w:r>
        <w:t xml:space="preserve"> </w:t>
      </w:r>
      <w:r>
        <w:t xml:space="preserve">l’ordine di grandezza è lo stesso, ma le due serie non si muovono insieme: dal 2021 la</w:t>
      </w:r>
      <w:r>
        <w:t xml:space="preserve"> </w:t>
      </w:r>
      <w:r>
        <w:t xml:space="preserve">rilevazione campionaria scende di oltre dieci punti, il proxy censuario di poco più di</w:t>
      </w:r>
      <w:r>
        <w:t xml:space="preserve"> </w:t>
      </w:r>
      <w:r>
        <w:t xml:space="preserve">tre. Il confronto conferma il livello di un anno, non la tendenza. Il dato regionale è</w:t>
      </w:r>
      <w:r>
        <w:t xml:space="preserve"> </w:t>
      </w:r>
      <w:r>
        <w:t xml:space="preserve">un riferimento, non una misura di Bagheria. →</w:t>
      </w:r>
      <w:r>
        <w:t xml:space="preserve"> </w:t>
      </w:r>
      <w:r>
        <w:rPr>
          <w:rStyle w:val="VerbatimChar"/>
        </w:rPr>
        <w:t xml:space="preserve">genere_neet_rcfl.csv</w:t>
      </w:r>
      <w:r>
        <w:t xml:space="preserve">,</w:t>
      </w:r>
      <w:r>
        <w:t xml:space="preserve"> </w:t>
      </w:r>
      <w:r>
        <w:rPr>
          <w:rStyle w:val="VerbatimChar"/>
        </w:rPr>
        <w:t xml:space="preserve">edu_youth_states_2018_2024.csv</w:t>
      </w:r>
    </w:p>
    <w:p>
      <w:pPr>
        <w:pStyle w:val="Compact"/>
        <w:numPr>
          <w:ilvl w:val="0"/>
          <w:numId w:val="1002"/>
        </w:numPr>
      </w:pPr>
      <w:r>
        <w:rPr>
          <w:b/>
          <w:bCs/>
        </w:rPr>
        <w:t xml:space="preserve">Percentili</w:t>
      </w:r>
      <w:r>
        <w:t xml:space="preserve">: la posizione di Bagheria fra i 390 comuni siciliani, ordinati dal valore</w:t>
      </w:r>
      <w:r>
        <w:t xml:space="preserve"> </w:t>
      </w:r>
      <w:r>
        <w:t xml:space="preserve">più basso al più alto (100° = valore più alto). Su occupazione e istruzione un</w:t>
      </w:r>
      <w:r>
        <w:t xml:space="preserve"> </w:t>
      </w:r>
      <w:r>
        <w:t xml:space="preserve">percentile alto è favorevole; su NEET, uscita precoce e disoccupazione è sfavorevole;</w:t>
      </w:r>
      <w:r>
        <w:t xml:space="preserve"> </w:t>
      </w:r>
      <w:r>
        <w:t xml:space="preserve">sulla mobilità il segno non è univoco (sezione 5.3).</w:t>
      </w:r>
    </w:p>
    <w:p>
      <w:pPr>
        <w:pStyle w:val="Compact"/>
        <w:numPr>
          <w:ilvl w:val="0"/>
          <w:numId w:val="1002"/>
        </w:numPr>
      </w:pPr>
      <w:r>
        <w:rPr>
          <w:b/>
          <w:bCs/>
        </w:rPr>
        <w:t xml:space="preserve">Scarti</w:t>
      </w:r>
      <w:r>
        <w:t xml:space="preserve">: sono calcolati sui valori non arrotondati, quindi possono differire di un</w:t>
      </w:r>
      <w:r>
        <w:t xml:space="preserve"> </w:t>
      </w:r>
      <w:r>
        <w:t xml:space="preserve">decimale dalla differenza fra le cifre stampate.</w:t>
      </w:r>
    </w:p>
    <w:bookmarkEnd w:id="12"/>
    <w:bookmarkStart w:id="13" w:name="Xfa396daac7dcf5d4835da0cc43674fbc8662ba7"/>
    <w:p>
      <w:pPr>
        <w:pStyle w:val="Heading2"/>
      </w:pPr>
      <w:r>
        <w:t xml:space="preserve">1.2 I dati disponibili: che cosa è stato scaricato, da dove, quando</w:t>
      </w:r>
    </w:p>
    <w:p>
      <w:pPr>
        <w:pStyle w:val="FirstParagraph"/>
      </w:pPr>
      <w:r>
        <w:t xml:space="preserve">Nessuna cifra di questa relazione nasce da una raccolta propria. Tutte vengono da</w:t>
      </w:r>
      <w:r>
        <w:t xml:space="preserve"> </w:t>
      </w:r>
      <w:r>
        <w:t xml:space="preserve">statistica ufficiale pubblica, scaricata per via programmatica e conservata immutabile in</w:t>
      </w:r>
      <w:r>
        <w:t xml:space="preserve"> </w:t>
      </w:r>
      <w:r>
        <w:rPr>
          <w:rStyle w:val="VerbatimChar"/>
        </w:rPr>
        <w:t xml:space="preserve">data/raw/</w:t>
      </w:r>
      <w:r>
        <w:t xml:space="preserve">. Un manifesto (</w:t>
      </w:r>
      <w:r>
        <w:rPr>
          <w:rStyle w:val="VerbatimChar"/>
        </w:rPr>
        <w:t xml:space="preserve">data/raw/manifest.csv</w:t>
      </w:r>
      <w:r>
        <w:t xml:space="preserve">) registra per ogni file l’istante del</w:t>
      </w:r>
      <w:r>
        <w:t xml:space="preserve"> </w:t>
      </w:r>
      <w:r>
        <w:t xml:space="preserve">download e l’URL esatto. Le fonti entrate nell’analisi sono otto: una (il GTFS di AMAT)</w:t>
      </w:r>
      <w:r>
        <w:t xml:space="preserve"> </w:t>
      </w:r>
      <w:r>
        <w:t xml:space="preserve">serve solo come controllo, un’altra (la rilevazione sulle forze di lavoro) solo come</w:t>
      </w:r>
      <w:r>
        <w:t xml:space="preserve"> </w:t>
      </w:r>
      <w:r>
        <w:t xml:space="preserve">riferimento regionale. Il portale open data della Regione Siciliana è stato esplorato con</w:t>
      </w:r>
      <w:r>
        <w:t xml:space="preserve"> </w:t>
      </w:r>
      <w:r>
        <w:t xml:space="preserve">esito negativo, dichiarato come tale. Fanno eccezione i parametri di costo della sezione</w:t>
      </w:r>
      <w:r>
        <w:t xml:space="preserve"> </w:t>
      </w:r>
      <w:r>
        <w:t xml:space="preserve">7.4, trascritti da atti ministeriali e regionali e citati uno per uno</w:t>
      </w:r>
      <w:r>
        <w:t xml:space="preserve"> </w:t>
      </w:r>
      <w:r>
        <w:t xml:space="preserve">(</w:t>
      </w:r>
      <w:r>
        <w:rPr>
          <w:rStyle w:val="VerbatimChar"/>
        </w:rPr>
        <w:t xml:space="preserve">genere_costo_parametri.csv</w:t>
      </w:r>
      <w:r>
        <w:t xml:space="preserve">,</w:t>
      </w:r>
      <w:r>
        <w:t xml:space="preserve"> </w:t>
      </w:r>
      <w:r>
        <w:rPr>
          <w:rStyle w:val="VerbatimChar"/>
        </w:rPr>
        <w:t xml:space="preserve">docs/sources.md</w:t>
      </w:r>
      <w:r>
        <w:t xml:space="preserve"> </w:t>
      </w:r>
      <w:r>
        <w:t xml:space="preserve">§13.4).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Fonte</w:t>
            </w:r>
          </w:p>
        </w:tc>
        <w:tc>
          <w:tcPr/>
          <w:p>
            <w:pPr>
              <w:pStyle w:val="Compact"/>
            </w:pPr>
            <w:r>
              <w:t xml:space="preserve">Che cosa dà</w:t>
            </w:r>
          </w:p>
        </w:tc>
        <w:tc>
          <w:tcPr/>
          <w:p>
            <w:pPr>
              <w:pStyle w:val="Compact"/>
            </w:pPr>
            <w:r>
              <w:t xml:space="preserve">Copertura</w:t>
            </w:r>
          </w:p>
        </w:tc>
        <w:tc>
          <w:tcPr/>
          <w:p>
            <w:pPr>
              <w:pStyle w:val="Compact"/>
            </w:pPr>
            <w:r>
              <w:t xml:space="preserve">Ruolo</w:t>
            </w:r>
          </w:p>
        </w:tc>
      </w:tr>
      <w:tr>
        <w:tc>
          <w:tcPr/>
          <w:p>
            <w:pPr>
              <w:pStyle w:val="Compact"/>
            </w:pPr>
            <w:r>
              <w:rPr>
                <w:b/>
                <w:bCs/>
              </w:rPr>
              <w:t xml:space="preserve">ISTAT, 8milaCensus</w:t>
            </w:r>
            <w:r>
              <w:t xml:space="preserve"> </w:t>
            </w:r>
            <w:r>
              <w:t xml:space="preserve">(</w:t>
            </w:r>
            <w:r>
              <w:rPr>
                <w:rStyle w:val="VerbatimChar"/>
              </w:rPr>
              <w:t xml:space="preserve">ottomilacensus.istat.it</w:t>
            </w:r>
            <w:r>
              <w:t xml:space="preserve">)</w:t>
            </w:r>
          </w:p>
        </w:tc>
        <w:tc>
          <w:tcPr/>
          <w:p>
            <w:pPr>
              <w:pStyle w:val="Compact"/>
            </w:pPr>
            <w:r>
              <w:t xml:space="preserve">99 indicatori comunali ai confini 2011, tutti i comuni siciliani più province, regioni e Italia</w:t>
            </w:r>
          </w:p>
        </w:tc>
        <w:tc>
          <w:tcPr/>
          <w:p>
            <w:pPr>
              <w:pStyle w:val="Compact"/>
            </w:pPr>
            <w:r>
              <w:t xml:space="preserve">1991, 2001, 2011</w:t>
            </w:r>
          </w:p>
        </w:tc>
        <w:tc>
          <w:tcPr/>
          <w:p>
            <w:pPr>
              <w:pStyle w:val="Compact"/>
            </w:pPr>
            <w:r>
              <w:t xml:space="preserve">Serie storica lunga, graduatorie, matching fra comuni pari</w:t>
            </w:r>
          </w:p>
        </w:tc>
      </w:tr>
      <w:tr>
        <w:tc>
          <w:tcPr/>
          <w:p>
            <w:pPr>
              <w:pStyle w:val="Compact"/>
            </w:pPr>
            <w:r>
              <w:rPr>
                <w:b/>
                <w:bCs/>
              </w:rPr>
              <w:t xml:space="preserve">ISTAT, Censimento permanente</w:t>
            </w:r>
            <w:r>
              <w:t xml:space="preserve"> </w:t>
            </w:r>
            <w:r>
              <w:t xml:space="preserve">(IstatData, API SDMX)</w:t>
            </w:r>
          </w:p>
        </w:tc>
        <w:tc>
          <w:tcPr/>
          <w:p>
            <w:pPr>
              <w:pStyle w:val="Compact"/>
            </w:pPr>
            <w:r>
              <w:t xml:space="preserve">Condizione professionale, titolo di studio, popolazione per età singola, popolazione per classi quinquennali, pendolarismo dentro/fuori comune</w:t>
            </w:r>
          </w:p>
        </w:tc>
        <w:tc>
          <w:tcPr/>
          <w:p>
            <w:pPr>
              <w:pStyle w:val="Compact"/>
            </w:pPr>
            <w:r>
              <w:t xml:space="preserve">2018-2024 (età singole dal 2021, pendolarismo solo 2018-2019; le classi quinquennali anche 2001 e 2011)</w:t>
            </w:r>
          </w:p>
        </w:tc>
        <w:tc>
          <w:tcPr/>
          <w:p>
            <w:pPr>
              <w:pStyle w:val="Compact"/>
            </w:pPr>
            <w:r>
              <w:t xml:space="preserve">Fotografia recente, serie annuale, tutti gli incroci di genere</w:t>
            </w:r>
          </w:p>
        </w:tc>
      </w:tr>
      <w:tr>
        <w:tc>
          <w:tcPr/>
          <w:p>
            <w:pPr>
              <w:pStyle w:val="Compact"/>
            </w:pPr>
            <w:r>
              <w:rPr>
                <w:b/>
                <w:bCs/>
              </w:rPr>
              <w:t xml:space="preserve">ISTAT, Rilevazione sulle forze di lavoro</w:t>
            </w:r>
            <w:r>
              <w:t xml:space="preserve"> </w:t>
            </w:r>
            <w:r>
              <w:t xml:space="preserve">(IstatData, SDMX)</w:t>
            </w:r>
          </w:p>
        </w:tc>
        <w:tc>
          <w:tcPr/>
          <w:p>
            <w:pPr>
              <w:pStyle w:val="Compact"/>
            </w:pPr>
            <w:r>
              <w:t xml:space="preserve">Incidenza dei NEET per sesso ed età, solo regionale</w:t>
            </w:r>
          </w:p>
        </w:tc>
        <w:tc>
          <w:tcPr/>
          <w:p>
            <w:pPr>
              <w:pStyle w:val="Compact"/>
            </w:pPr>
            <w:r>
              <w:t xml:space="preserve">2018-2025</w:t>
            </w:r>
          </w:p>
        </w:tc>
        <w:tc>
          <w:tcPr/>
          <w:p>
            <w:pPr>
              <w:pStyle w:val="Compact"/>
            </w:pPr>
            <w:r>
              <w:t xml:space="preserve">Riferimento regionale per il NEET 15-34 del bando (sezione 1.1), mai in serie col dato comunale</w:t>
            </w:r>
          </w:p>
        </w:tc>
      </w:tr>
      <w:tr>
        <w:tc>
          <w:tcPr/>
          <w:p>
            <w:pPr>
              <w:pStyle w:val="Compact"/>
            </w:pPr>
            <w:r>
              <w:rPr>
                <w:b/>
                <w:bCs/>
              </w:rPr>
              <w:t xml:space="preserve">ISTAT, DCIS_POPRES1</w:t>
            </w:r>
            <w:r>
              <w:t xml:space="preserve"> </w:t>
            </w:r>
            <w:r>
              <w:t xml:space="preserve">(SDMX)</w:t>
            </w:r>
          </w:p>
        </w:tc>
        <w:tc>
          <w:tcPr/>
          <w:p>
            <w:pPr>
              <w:pStyle w:val="Compact"/>
            </w:pPr>
            <w:r>
              <w:t xml:space="preserve">Popolazione residente per stato civile ed età singola</w:t>
            </w:r>
          </w:p>
        </w:tc>
        <w:tc>
          <w:tcPr/>
          <w:p>
            <w:pPr>
              <w:pStyle w:val="Compact"/>
            </w:pPr>
            <w:r>
              <w:t xml:space="preserve">al 1.1.2025</w:t>
            </w:r>
          </w:p>
        </w:tc>
        <w:tc>
          <w:tcPr/>
          <w:p>
            <w:pPr>
              <w:pStyle w:val="Compact"/>
            </w:pPr>
            <w:r>
              <w:t xml:space="preserve">Verifica del canale «matrimonio precoce» (sezione 3.2)</w:t>
            </w:r>
          </w:p>
        </w:tc>
      </w:tr>
      <w:tr>
        <w:tc>
          <w:tcPr/>
          <w:p>
            <w:pPr>
              <w:pStyle w:val="Compact"/>
            </w:pPr>
            <w:r>
              <w:rPr>
                <w:b/>
                <w:bCs/>
              </w:rPr>
              <w:t xml:space="preserve">ISTAT, Matrici del pendolarismo</w:t>
            </w:r>
          </w:p>
        </w:tc>
        <w:tc>
          <w:tcPr/>
          <w:p>
            <w:pPr>
              <w:pStyle w:val="Compact"/>
            </w:pPr>
            <w:r>
              <w:t xml:space="preserve">Origine-destinazione comune per comune, con sesso, motivo, mezzo, fascia oraria e durata</w:t>
            </w:r>
          </w:p>
        </w:tc>
        <w:tc>
          <w:tcPr/>
          <w:p>
            <w:pPr>
              <w:pStyle w:val="Compact"/>
            </w:pPr>
            <w:r>
              <w:t xml:space="preserve">2001, 2011; solo lavoro nel 2021 (il 1991 è scaricato ma non usato)</w:t>
            </w:r>
          </w:p>
        </w:tc>
        <w:tc>
          <w:tcPr/>
          <w:p>
            <w:pPr>
              <w:pStyle w:val="Compact"/>
            </w:pPr>
            <w:r>
              <w:t xml:space="preserve">La destinazione degli spostamenti (sezione 5)</w:t>
            </w:r>
          </w:p>
        </w:tc>
      </w:tr>
      <w:tr>
        <w:tc>
          <w:tcPr/>
          <w:p>
            <w:pPr>
              <w:pStyle w:val="Compact"/>
            </w:pPr>
            <w:r>
              <w:rPr>
                <w:b/>
                <w:bCs/>
              </w:rPr>
              <w:t xml:space="preserve">ISTAT, Confini amministrativi</w:t>
            </w:r>
            <w:r>
              <w:t xml:space="preserve"> </w:t>
            </w:r>
            <w:r>
              <w:t xml:space="preserve">(cartografia)</w:t>
            </w:r>
          </w:p>
        </w:tc>
        <w:tc>
          <w:tcPr/>
          <w:p>
            <w:pPr>
              <w:pStyle w:val="Compact"/>
            </w:pPr>
            <w:r>
              <w:t xml:space="preserve">Poligoni dei comuni, vintage 01/01/2026</w:t>
            </w:r>
          </w:p>
        </w:tc>
        <w:tc>
          <w:tcPr/>
          <w:p>
            <w:pPr>
              <w:pStyle w:val="Compact"/>
            </w:pPr>
            <w:r>
              <w:t xml:space="preserve">corrente</w:t>
            </w:r>
          </w:p>
        </w:tc>
        <w:tc>
          <w:tcPr/>
          <w:p>
            <w:pPr>
              <w:pStyle w:val="Compact"/>
            </w:pPr>
            <w:r>
              <w:t xml:space="preserve">Base geografica delle mappe e delle distanze</w:t>
            </w:r>
          </w:p>
        </w:tc>
      </w:tr>
      <w:tr>
        <w:tc>
          <w:tcPr/>
          <w:p>
            <w:pPr>
              <w:pStyle w:val="Compact"/>
            </w:pPr>
            <w:r>
              <w:rPr>
                <w:b/>
                <w:bCs/>
              </w:rPr>
              <w:t xml:space="preserve">Ministero dell’Istruzione e del Merito</w:t>
            </w:r>
          </w:p>
        </w:tc>
        <w:tc>
          <w:tcPr/>
          <w:p>
            <w:pPr>
              <w:pStyle w:val="Compact"/>
            </w:pPr>
            <w:r>
              <w:t xml:space="preserve">Anagrafe delle sedi degli istituti tecnici (276 sedi)</w:t>
            </w:r>
          </w:p>
        </w:tc>
        <w:tc>
          <w:tcPr/>
          <w:p>
            <w:pPr>
              <w:pStyle w:val="Compact"/>
            </w:pPr>
            <w:r>
              <w:t xml:space="preserve">a.s. 2025/26</w:t>
            </w:r>
          </w:p>
        </w:tc>
        <w:tc>
          <w:tcPr/>
          <w:p>
            <w:pPr>
              <w:pStyle w:val="Compact"/>
            </w:pPr>
            <w:r>
              <w:t xml:space="preserve">Canali operativi della proposta, non esiti</w:t>
            </w:r>
          </w:p>
        </w:tc>
      </w:tr>
      <w:tr>
        <w:tc>
          <w:tcPr/>
          <w:p>
            <w:pPr>
              <w:pStyle w:val="Compact"/>
            </w:pPr>
            <w:r>
              <w:t xml:space="preserve">Comune di Palermo / AMAT</w:t>
            </w:r>
          </w:p>
        </w:tc>
        <w:tc>
          <w:tcPr/>
          <w:p>
            <w:pPr>
              <w:pStyle w:val="Compact"/>
            </w:pPr>
            <w:r>
              <w:t xml:space="preserve">GTFS della rete urbana</w:t>
            </w:r>
          </w:p>
        </w:tc>
        <w:tc>
          <w:tcPr/>
          <w:p>
            <w:pPr>
              <w:pStyle w:val="Compact"/>
            </w:pPr>
            <w:r>
              <w:t xml:space="preserve">orario 2026</w:t>
            </w:r>
          </w:p>
        </w:tc>
        <w:tc>
          <w:tcPr/>
          <w:p>
            <w:pPr>
              <w:pStyle w:val="Compact"/>
            </w:pPr>
            <w:r>
              <w:t xml:space="preserve">Solo controllo dell’ultimo miglio (sezione 5.4)</w:t>
            </w:r>
          </w:p>
        </w:tc>
      </w:tr>
      <w:tr>
        <w:tc>
          <w:tcPr/>
          <w:p>
            <w:pPr>
              <w:pStyle w:val="Compact"/>
            </w:pPr>
            <w:r>
              <w:t xml:space="preserve">Open Data Regione Siciliana (CKAN)</w:t>
            </w:r>
          </w:p>
        </w:tc>
        <w:tc>
          <w:tcPr/>
          <w:p>
            <w:pPr>
              <w:pStyle w:val="Compact"/>
            </w:pPr>
            <w:r>
              <w:t xml:space="preserve">Nessun indicatore sulla popolazione giovanile di Bagheria (ricognizioni del 2026-08-12 e del 2026-08-29); i due dataset sui servizi al lavoro hanno risposto HTTP 502 al download del 2026-08-25</w:t>
            </w:r>
          </w:p>
        </w:tc>
        <w:tc>
          <w:tcPr/>
          <w:p>
            <w:pPr>
              <w:pStyle w:val="Compact"/>
            </w:pPr>
            <w:r>
              <w:t xml:space="preserve">-</w:t>
            </w:r>
          </w:p>
        </w:tc>
        <w:tc>
          <w:tcPr/>
          <w:p>
            <w:pPr>
              <w:pStyle w:val="Compact"/>
            </w:pPr>
            <w:r>
              <w:rPr>
                <w:b/>
                <w:bCs/>
              </w:rPr>
              <w:t xml:space="preserve">Esito negativo</w:t>
            </w:r>
            <w:r>
              <w:t xml:space="preserve">, documentato in</w:t>
            </w:r>
            <w:r>
              <w:t xml:space="preserve"> </w:t>
            </w:r>
            <w:r>
              <w:rPr>
                <w:rStyle w:val="VerbatimChar"/>
              </w:rPr>
              <w:t xml:space="preserve">docs/sources.md</w:t>
            </w:r>
            <w:r>
              <w:t xml:space="preserve"> </w:t>
            </w:r>
            <w:r>
              <w:t xml:space="preserve">§3, §10 e §12: esclusa da ogni conclusione</w:t>
            </w:r>
          </w:p>
        </w:tc>
      </w:tr>
    </w:tbl>
    <w:p>
      <w:pPr>
        <w:pStyle w:val="BodyText"/>
      </w:pPr>
      <w:r>
        <w:t xml:space="preserve">Due precisazioni contano più di quanto sembri.</w:t>
      </w:r>
    </w:p>
    <w:p>
      <w:pPr>
        <w:pStyle w:val="BodyText"/>
      </w:pPr>
      <w:r>
        <w:t xml:space="preserve">La prima:</w:t>
      </w:r>
      <w:r>
        <w:t xml:space="preserve"> </w:t>
      </w:r>
      <w:r>
        <w:rPr>
          <w:b/>
          <w:bCs/>
        </w:rPr>
        <w:t xml:space="preserve">l’assenza è documentata quanto la presenza</w:t>
      </w:r>
      <w:r>
        <w:t xml:space="preserve">. La ricognizione su</w:t>
      </w:r>
      <w:r>
        <w:t xml:space="preserve"> </w:t>
      </w:r>
      <w:r>
        <w:rPr>
          <w:rStyle w:val="VerbatimChar"/>
        </w:rPr>
        <w:t xml:space="preserve">dati.regione.sicilia.it</w:t>
      </w:r>
      <w:r>
        <w:t xml:space="preserve"> </w:t>
      </w:r>
      <w:r>
        <w:t xml:space="preserve">e su</w:t>
      </w:r>
      <w:r>
        <w:t xml:space="preserve"> </w:t>
      </w:r>
      <w:r>
        <w:rPr>
          <w:rStyle w:val="VerbatimChar"/>
        </w:rPr>
        <w:t xml:space="preserve">opendata.comune.palermo.it</w:t>
      </w:r>
      <w:r>
        <w:t xml:space="preserve"> </w:t>
      </w:r>
      <w:r>
        <w:t xml:space="preserve">è tracciata in</w:t>
      </w:r>
      <w:r>
        <w:t xml:space="preserve"> </w:t>
      </w:r>
      <w:r>
        <w:rPr>
          <w:rStyle w:val="VerbatimChar"/>
        </w:rPr>
        <w:t xml:space="preserve">docs/sources.md</w:t>
      </w:r>
      <w:r>
        <w:t xml:space="preserve">, con le query eseguite e i conteggi ottenuti. Chi rifà il lavoro sa così</w:t>
      </w:r>
      <w:r>
        <w:t xml:space="preserve"> </w:t>
      </w:r>
      <w:r>
        <w:t xml:space="preserve">dove non conviene tornare. Il portale del Comune di Palermo, per esempio, non è un CKAN:</w:t>
      </w:r>
      <w:r>
        <w:t xml:space="preserve"> </w:t>
      </w:r>
      <w:r>
        <w:t xml:space="preserve">espone il catalogo in DCAT Turtle, e chi vi cerca le API standard ottiene 404. Sono</w:t>
      </w:r>
      <w:r>
        <w:t xml:space="preserve"> </w:t>
      </w:r>
      <w:r>
        <w:t xml:space="preserve">dettagli operativi, ma fanno la differenza fra «non c’è» e «non l’abbiamo trovato».</w:t>
      </w:r>
    </w:p>
    <w:p>
      <w:pPr>
        <w:pStyle w:val="BodyText"/>
      </w:pPr>
      <w:r>
        <w:t xml:space="preserve">La seconda:</w:t>
      </w:r>
      <w:r>
        <w:t xml:space="preserve"> </w:t>
      </w:r>
      <w:r>
        <w:rPr>
          <w:b/>
          <w:bCs/>
        </w:rPr>
        <w:t xml:space="preserve">le fonti non sono intercambiabili</w:t>
      </w:r>
      <w:r>
        <w:t xml:space="preserve">. 8milaCensus si ferma al 2011 e il</w:t>
      </w:r>
      <w:r>
        <w:t xml:space="preserve"> </w:t>
      </w:r>
      <w:r>
        <w:t xml:space="preserve">censimento permanente comincia nel 2018, con definizioni che non coincidono. Fra il 2019 e</w:t>
      </w:r>
      <w:r>
        <w:t xml:space="preserve"> </w:t>
      </w:r>
      <w:r>
        <w:t xml:space="preserve">il 2021, inoltre, c’è una rottura di misura sulla componente «in cerca di occupazione».</w:t>
      </w:r>
      <w:r>
        <w:t xml:space="preserve"> </w:t>
      </w:r>
      <w:r>
        <w:t xml:space="preserve">Per questo, quando le due fonti compaiono insieme, sono affiancate ed etichettate con</w:t>
      </w:r>
      <w:r>
        <w:t xml:space="preserve"> </w:t>
      </w:r>
      <w:r>
        <w:t xml:space="preserve">l’anno, mai concatenate in una serie unica.</w:t>
      </w:r>
    </w:p>
    <w:bookmarkEnd w:id="13"/>
    <w:bookmarkStart w:id="14" w:name="Xedd3d1c81f00319ac56bb6d8978849e23485b99"/>
    <w:p>
      <w:pPr>
        <w:pStyle w:val="Heading2"/>
      </w:pPr>
      <w:r>
        <w:t xml:space="preserve">1.3 Dal dato grezzo alla tavola d’analisi: le trasformazioni</w:t>
      </w:r>
    </w:p>
    <w:p>
      <w:pPr>
        <w:pStyle w:val="FirstParagraph"/>
      </w:pPr>
      <w:r>
        <w:rPr>
          <w:rStyle w:val="VerbatimChar"/>
        </w:rPr>
        <w:t xml:space="preserve">pipeline/build.py</w:t>
      </w:r>
      <w:r>
        <w:t xml:space="preserve"> </w:t>
      </w:r>
      <w:r>
        <w:t xml:space="preserve">trasforma i raw soprattutto in</w:t>
      </w:r>
      <w:r>
        <w:t xml:space="preserve"> </w:t>
      </w:r>
      <w:r>
        <w:rPr>
          <w:b/>
          <w:bCs/>
        </w:rPr>
        <w:t xml:space="preserve">tabelle lunghe, più alcune tabelle di</w:t>
      </w:r>
      <w:r>
        <w:rPr>
          <w:b/>
          <w:bCs/>
        </w:rPr>
        <w:t xml:space="preserve"> </w:t>
      </w:r>
      <w:r>
        <w:rPr>
          <w:b/>
          <w:bCs/>
        </w:rPr>
        <w:t xml:space="preserve">lookup</w:t>
      </w:r>
      <w:r>
        <w:t xml:space="preserve">; le principali sono qui sotto. Nessuna scelta di analisi è incorporata</w:t>
      </w:r>
      <w:r>
        <w:t xml:space="preserve"> </w:t>
      </w:r>
      <w:r>
        <w:t xml:space="preserve">nell’interfaccia: ogni thread filtra ciò che gli serve. È questo che rende confrontabili</w:t>
      </w:r>
      <w:r>
        <w:t xml:space="preserve"> </w:t>
      </w:r>
      <w:r>
        <w:t xml:space="preserve">tre analisi indipendenti.</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Tavola</w:t>
            </w:r>
          </w:p>
        </w:tc>
        <w:tc>
          <w:tcPr/>
          <w:p>
            <w:pPr>
              <w:pStyle w:val="Compact"/>
              <w:jc w:val="right"/>
            </w:pPr>
            <w:r>
              <w:t xml:space="preserve">Righe</w:t>
            </w:r>
          </w:p>
        </w:tc>
        <w:tc>
          <w:tcPr/>
          <w:p>
            <w:pPr>
              <w:pStyle w:val="Compact"/>
            </w:pPr>
            <w:r>
              <w:t xml:space="preserve">Che cosa contiene</w:t>
            </w:r>
          </w:p>
        </w:tc>
      </w:tr>
      <w:tr>
        <w:tc>
          <w:tcPr/>
          <w:p>
            <w:pPr>
              <w:pStyle w:val="Compact"/>
            </w:pPr>
            <w:r>
              <w:rPr>
                <w:rStyle w:val="VerbatimChar"/>
              </w:rPr>
              <w:t xml:space="preserve">ottomilacensus_long.csv</w:t>
            </w:r>
          </w:p>
        </w:tc>
        <w:tc>
          <w:tcPr/>
          <w:p>
            <w:pPr>
              <w:pStyle w:val="Compact"/>
              <w:jc w:val="right"/>
            </w:pPr>
            <w:r>
              <w:t xml:space="preserve">154.737</w:t>
            </w:r>
          </w:p>
        </w:tc>
        <w:tc>
          <w:tcPr/>
          <w:p>
            <w:pPr>
              <w:pStyle w:val="Compact"/>
            </w:pPr>
            <w:r>
              <w:t xml:space="preserve">territorio × anno × indicatore, i tre censimenti storici</w:t>
            </w:r>
          </w:p>
        </w:tc>
      </w:tr>
      <w:tr>
        <w:tc>
          <w:tcPr/>
          <w:p>
            <w:pPr>
              <w:pStyle w:val="Compact"/>
            </w:pPr>
            <w:r>
              <w:rPr>
                <w:rStyle w:val="VerbatimChar"/>
              </w:rPr>
              <w:t xml:space="preserve">censpop_popolazione_long.csv</w:t>
            </w:r>
          </w:p>
        </w:tc>
        <w:tc>
          <w:tcPr/>
          <w:p>
            <w:pPr>
              <w:pStyle w:val="Compact"/>
              <w:jc w:val="right"/>
            </w:pPr>
            <w:r>
              <w:t xml:space="preserve">14.462</w:t>
            </w:r>
          </w:p>
        </w:tc>
        <w:tc>
          <w:tcPr/>
          <w:p>
            <w:pPr>
              <w:pStyle w:val="Compact"/>
            </w:pPr>
            <w:r>
              <w:t xml:space="preserve">territorio × anno × genere × età singola × stato civile × cittadinanza</w:t>
            </w:r>
          </w:p>
        </w:tc>
      </w:tr>
      <w:tr>
        <w:tc>
          <w:tcPr/>
          <w:p>
            <w:pPr>
              <w:pStyle w:val="Compact"/>
            </w:pPr>
            <w:r>
              <w:rPr>
                <w:rStyle w:val="VerbatimChar"/>
              </w:rPr>
              <w:t xml:space="preserve">censpop_istr_lav_long.csv</w:t>
            </w:r>
          </w:p>
        </w:tc>
        <w:tc>
          <w:tcPr/>
          <w:p>
            <w:pPr>
              <w:pStyle w:val="Compact"/>
              <w:jc w:val="right"/>
            </w:pPr>
            <w:r>
              <w:t xml:space="preserve">6.552</w:t>
            </w:r>
          </w:p>
        </w:tc>
        <w:tc>
          <w:tcPr/>
          <w:p>
            <w:pPr>
              <w:pStyle w:val="Compact"/>
            </w:pPr>
            <w:r>
              <w:t xml:space="preserve">le due tavole del censimento permanente, lavoro e istruzione, in un file solo</w:t>
            </w:r>
          </w:p>
        </w:tc>
      </w:tr>
      <w:tr>
        <w:tc>
          <w:tcPr/>
          <w:p>
            <w:pPr>
              <w:pStyle w:val="Compact"/>
            </w:pPr>
            <w:r>
              <w:rPr>
                <w:rStyle w:val="VerbatimChar"/>
              </w:rPr>
              <w:t xml:space="preserve">comuni_sicilia_poligoni.csv</w:t>
            </w:r>
          </w:p>
        </w:tc>
        <w:tc>
          <w:tcPr/>
          <w:p>
            <w:pPr>
              <w:pStyle w:val="Compact"/>
              <w:jc w:val="right"/>
            </w:pPr>
            <w:r>
              <w:t xml:space="preserve">15.702</w:t>
            </w:r>
          </w:p>
        </w:tc>
        <w:tc>
          <w:tcPr/>
          <w:p>
            <w:pPr>
              <w:pStyle w:val="Compact"/>
            </w:pPr>
            <w:r>
              <w:t xml:space="preserve">i vertici dei confini comunali, già proiettati</w:t>
            </w:r>
          </w:p>
        </w:tc>
      </w:tr>
      <w:tr>
        <w:tc>
          <w:tcPr/>
          <w:p>
            <w:pPr>
              <w:pStyle w:val="Compact"/>
            </w:pPr>
            <w:r>
              <w:rPr>
                <w:rStyle w:val="VerbatimChar"/>
              </w:rPr>
              <w:t xml:space="preserve">territori.csv</w:t>
            </w:r>
          </w:p>
        </w:tc>
        <w:tc>
          <w:tcPr/>
          <w:p>
            <w:pPr>
              <w:pStyle w:val="Compact"/>
              <w:jc w:val="right"/>
            </w:pPr>
            <w:r>
              <w:t xml:space="preserve">521</w:t>
            </w:r>
          </w:p>
        </w:tc>
        <w:tc>
          <w:tcPr/>
          <w:p>
            <w:pPr>
              <w:pStyle w:val="Compact"/>
            </w:pPr>
            <w:r>
              <w:t xml:space="preserve">anagrafica dei territori, di cui</w:t>
            </w:r>
            <w:r>
              <w:t xml:space="preserve"> </w:t>
            </w:r>
            <w:r>
              <w:rPr>
                <w:b/>
                <w:bCs/>
              </w:rPr>
              <w:t xml:space="preserve">390 comuni siciliani</w:t>
            </w:r>
          </w:p>
        </w:tc>
      </w:tr>
      <w:tr>
        <w:tc>
          <w:tcPr/>
          <w:p>
            <w:pPr>
              <w:pStyle w:val="Compact"/>
            </w:pPr>
            <w:r>
              <w:rPr>
                <w:rStyle w:val="VerbatimChar"/>
              </w:rPr>
              <w:t xml:space="preserve">indicatori.csv</w:t>
            </w:r>
          </w:p>
        </w:tc>
        <w:tc>
          <w:tcPr/>
          <w:p>
            <w:pPr>
              <w:pStyle w:val="Compact"/>
              <w:jc w:val="right"/>
            </w:pPr>
            <w:r>
              <w:t xml:space="preserve">99</w:t>
            </w:r>
          </w:p>
        </w:tc>
        <w:tc>
          <w:tcPr/>
          <w:p>
            <w:pPr>
              <w:pStyle w:val="Compact"/>
            </w:pPr>
            <w:r>
              <w:t xml:space="preserve">codebook degli indicatori 8milaCensus</w:t>
            </w:r>
          </w:p>
        </w:tc>
      </w:tr>
      <w:tr>
        <w:tc>
          <w:tcPr/>
          <w:p>
            <w:pPr>
              <w:pStyle w:val="Compact"/>
            </w:pPr>
            <w:r>
              <w:rPr>
                <w:rStyle w:val="VerbatimChar"/>
              </w:rPr>
              <w:t xml:space="preserve">codici.csv</w:t>
            </w:r>
          </w:p>
        </w:tc>
        <w:tc>
          <w:tcPr/>
          <w:p>
            <w:pPr>
              <w:pStyle w:val="Compact"/>
              <w:jc w:val="right"/>
            </w:pPr>
            <w:r>
              <w:t xml:space="preserve">164</w:t>
            </w:r>
          </w:p>
        </w:tc>
        <w:tc>
          <w:tcPr/>
          <w:p>
            <w:pPr>
              <w:pStyle w:val="Compact"/>
            </w:pPr>
            <w:r>
              <w:t xml:space="preserve">decodifica delle dimensioni SDMX</w:t>
            </w:r>
          </w:p>
        </w:tc>
      </w:tr>
    </w:tbl>
    <w:p>
      <w:pPr>
        <w:pStyle w:val="BodyText"/>
      </w:pPr>
      <w:r>
        <w:t xml:space="preserve">Le operazioni non banali sono tutte in</w:t>
      </w:r>
      <w:r>
        <w:t xml:space="preserve"> </w:t>
      </w:r>
      <w:r>
        <w:rPr>
          <w:rStyle w:val="VerbatimChar"/>
        </w:rPr>
        <w:t xml:space="preserve">pipeline/</w:t>
      </w:r>
      <w:r>
        <w:t xml:space="preserve">; nessuna è fatta a mano sui raw.</w:t>
      </w:r>
    </w:p>
    <w:p>
      <w:pPr>
        <w:pStyle w:val="Compact"/>
        <w:numPr>
          <w:ilvl w:val="0"/>
          <w:numId w:val="1003"/>
        </w:numPr>
      </w:pPr>
      <w:r>
        <w:rPr>
          <w:b/>
          <w:bCs/>
        </w:rPr>
        <w:t xml:space="preserve">Normalizzazione dei codici territoriali.</w:t>
      </w:r>
      <w:r>
        <w:t xml:space="preserve"> </w:t>
      </w:r>
      <w:r>
        <w:t xml:space="preserve">Le due fonti scrivono lo stesso comune in</w:t>
      </w:r>
      <w:r>
        <w:t xml:space="preserve"> </w:t>
      </w:r>
      <w:r>
        <w:t xml:space="preserve">modo diverso (8milaCensus</w:t>
      </w:r>
      <w:r>
        <w:t xml:space="preserve"> </w:t>
      </w:r>
      <w:r>
        <w:rPr>
          <w:rStyle w:val="VerbatimChar"/>
        </w:rPr>
        <w:t xml:space="preserve">82006</w:t>
      </w:r>
      <w:r>
        <w:t xml:space="preserve">, SDMX</w:t>
      </w:r>
      <w:r>
        <w:t xml:space="preserve"> </w:t>
      </w:r>
      <w:r>
        <w:rPr>
          <w:rStyle w:val="VerbatimChar"/>
        </w:rPr>
        <w:t xml:space="preserve">082006</w:t>
      </w:r>
      <w:r>
        <w:t xml:space="preserve">). Tutti i codici sono portati a sei</w:t>
      </w:r>
      <w:r>
        <w:t xml:space="preserve"> </w:t>
      </w:r>
      <w:r>
        <w:t xml:space="preserve">cifre con lo zero iniziale, così le tabelle si uniscono senza mappature. Sicilia e</w:t>
      </w:r>
      <w:r>
        <w:t xml:space="preserve"> </w:t>
      </w:r>
      <w:r>
        <w:t xml:space="preserve">Italia mantengono i codici SDMX</w:t>
      </w:r>
      <w:r>
        <w:t xml:space="preserve"> </w:t>
      </w:r>
      <w:r>
        <w:rPr>
          <w:rStyle w:val="VerbatimChar"/>
        </w:rPr>
        <w:t xml:space="preserve">ITG1</w:t>
      </w:r>
      <w:r>
        <w:t xml:space="preserve"> </w:t>
      </w:r>
      <w:r>
        <w:t xml:space="preserve">e</w:t>
      </w:r>
      <w:r>
        <w:t xml:space="preserve"> </w:t>
      </w:r>
      <w:r>
        <w:rPr>
          <w:rStyle w:val="VerbatimChar"/>
        </w:rPr>
        <w:t xml:space="preserve">IT</w:t>
      </w:r>
      <w:r>
        <w:t xml:space="preserve">.</w:t>
      </w:r>
    </w:p>
    <w:p>
      <w:pPr>
        <w:pStyle w:val="Compact"/>
        <w:numPr>
          <w:ilvl w:val="0"/>
          <w:numId w:val="1003"/>
        </w:numPr>
      </w:pPr>
      <w:r>
        <w:rPr>
          <w:b/>
          <w:bCs/>
        </w:rPr>
        <w:t xml:space="preserve">Disambiguazione di «Bagheria».</w:t>
      </w:r>
      <w:r>
        <w:t xml:space="preserve"> </w:t>
      </w:r>
      <w:r>
        <w:t xml:space="preserve">Nella codelist territoriale esistono anche un Sistema</w:t>
      </w:r>
      <w:r>
        <w:t xml:space="preserve"> </w:t>
      </w:r>
      <w:r>
        <w:t xml:space="preserve">Locale del Lavoro e un Distretto con lo stesso nome. Sono territori diversi dal comune, e</w:t>
      </w:r>
      <w:r>
        <w:t xml:space="preserve"> </w:t>
      </w:r>
      <w:r>
        <w:t xml:space="preserve">confonderli è un errore silenzioso e plausibile. La pipeline usa solo</w:t>
      </w:r>
      <w:r>
        <w:t xml:space="preserve"> </w:t>
      </w:r>
      <w:r>
        <w:rPr>
          <w:rStyle w:val="VerbatimChar"/>
        </w:rPr>
        <w:t xml:space="preserve">082006</w:t>
      </w:r>
      <w:r>
        <w:t xml:space="preserve">.</w:t>
      </w:r>
    </w:p>
    <w:p>
      <w:pPr>
        <w:pStyle w:val="Compact"/>
        <w:numPr>
          <w:ilvl w:val="0"/>
          <w:numId w:val="1003"/>
        </w:numPr>
      </w:pPr>
      <w:r>
        <w:rPr>
          <w:b/>
          <w:bCs/>
        </w:rPr>
        <w:t xml:space="preserve">Esclusione dei totali.</w:t>
      </w:r>
      <w:r>
        <w:t xml:space="preserve"> </w:t>
      </w:r>
      <w:r>
        <w:t xml:space="preserve">Ogni dimensione SDMX ha un codice di totale (</w:t>
      </w:r>
      <w:r>
        <w:rPr>
          <w:rStyle w:val="VerbatimChar"/>
        </w:rPr>
        <w:t xml:space="preserve">T</w:t>
      </w:r>
      <w:r>
        <w:t xml:space="preserve"> </w:t>
      </w:r>
      <w:r>
        <w:t xml:space="preserve">per il</w:t>
      </w:r>
      <w:r>
        <w:t xml:space="preserve"> </w:t>
      </w:r>
      <w:r>
        <w:t xml:space="preserve">genere,</w:t>
      </w:r>
      <w:r>
        <w:t xml:space="preserve"> </w:t>
      </w:r>
      <w:r>
        <w:rPr>
          <w:rStyle w:val="VerbatimChar"/>
        </w:rPr>
        <w:t xml:space="preserve">TOTAL</w:t>
      </w:r>
      <w:r>
        <w:t xml:space="preserve"> </w:t>
      </w:r>
      <w:r>
        <w:t xml:space="preserve">per la cittadinanza,</w:t>
      </w:r>
      <w:r>
        <w:t xml:space="preserve"> </w:t>
      </w:r>
      <w:r>
        <w:rPr>
          <w:rStyle w:val="VerbatimChar"/>
        </w:rPr>
        <w:t xml:space="preserve">99</w:t>
      </w:r>
      <w:r>
        <w:t xml:space="preserve"> </w:t>
      </w:r>
      <w:r>
        <w:t xml:space="preserve">per la condizione,</w:t>
      </w:r>
      <w:r>
        <w:t xml:space="preserve"> </w:t>
      </w:r>
      <w:r>
        <w:rPr>
          <w:rStyle w:val="VerbatimChar"/>
        </w:rPr>
        <w:t xml:space="preserve">ALL</w:t>
      </w:r>
      <w:r>
        <w:t xml:space="preserve"> </w:t>
      </w:r>
      <w:r>
        <w:t xml:space="preserve">per il titolo), che</w:t>
      </w:r>
      <w:r>
        <w:t xml:space="preserve"> </w:t>
      </w:r>
      <w:r>
        <w:t xml:space="preserve">convive come riga sorella con i dettagli. Sommare senza filtrarli raddoppia i numeri,</w:t>
      </w:r>
      <w:r>
        <w:t xml:space="preserve"> </w:t>
      </w:r>
      <w:r>
        <w:t xml:space="preserve">quindi la partizione è verificata cella per cella.</w:t>
      </w:r>
    </w:p>
    <w:p>
      <w:pPr>
        <w:pStyle w:val="Compact"/>
        <w:numPr>
          <w:ilvl w:val="0"/>
          <w:numId w:val="1003"/>
        </w:numPr>
      </w:pPr>
      <w:r>
        <w:rPr>
          <w:b/>
          <w:bCs/>
        </w:rPr>
        <w:t xml:space="preserve">Ricostruzione della fascia 15-34.</w:t>
      </w:r>
      <w:r>
        <w:t xml:space="preserve"> </w:t>
      </w:r>
      <w:r>
        <w:t xml:space="preserve">La classe non esiste nelle tavole. Per età e</w:t>
      </w:r>
      <w:r>
        <w:t xml:space="preserve"> </w:t>
      </w:r>
      <w:r>
        <w:t xml:space="preserve">genere si ottiene sommando le età singole, che esistono dal 2021. Le classi quinquennali</w:t>
      </w:r>
      <w:r>
        <w:t xml:space="preserve"> </w:t>
      </w:r>
      <w:r>
        <w:t xml:space="preserve">la ricompongono anche per il 2001, il 2011 e il 2018-2019, e servono alla ritenzione</w:t>
      </w:r>
      <w:r>
        <w:t xml:space="preserve"> </w:t>
      </w:r>
      <w:r>
        <w:t xml:space="preserve">decennale (sezione 3.3).</w:t>
      </w:r>
    </w:p>
    <w:p>
      <w:pPr>
        <w:pStyle w:val="Compact"/>
        <w:numPr>
          <w:ilvl w:val="0"/>
          <w:numId w:val="1003"/>
        </w:numPr>
      </w:pPr>
      <w:r>
        <w:rPr>
          <w:b/>
          <w:bCs/>
        </w:rPr>
        <w:t xml:space="preserve">Geometria senza</w:t>
      </w:r>
      <w:r>
        <w:rPr>
          <w:b/>
          <w:bCs/>
        </w:rPr>
        <w:t xml:space="preserve"> </w:t>
      </w:r>
      <w:r>
        <w:rPr>
          <w:rStyle w:val="VerbatimChar"/>
          <w:b/>
          <w:bCs/>
        </w:rPr>
        <w:t xml:space="preserve">sf</w:t>
      </w:r>
      <w:r>
        <w:rPr>
          <w:b/>
          <w:bCs/>
        </w:rPr>
        <w:t xml:space="preserve">.</w:t>
      </w:r>
      <w:r>
        <w:t xml:space="preserve"> </w:t>
      </w:r>
      <w:r>
        <w:t xml:space="preserve">La libreria R per i dati spaziali richiede librerie di sistema</w:t>
      </w:r>
      <w:r>
        <w:t xml:space="preserve"> </w:t>
      </w:r>
      <w:r>
        <w:t xml:space="preserve">(GDAL, GEOS, PROJ) che non si installano senza privilegi di amministratore. Per non</w:t>
      </w:r>
      <w:r>
        <w:t xml:space="preserve"> </w:t>
      </w:r>
      <w:r>
        <w:t xml:space="preserve">imporle a chi riproduce, la geometria è calcolata in Python con geopandas, che esporta i</w:t>
      </w:r>
      <w:r>
        <w:t xml:space="preserve"> </w:t>
      </w:r>
      <w:r>
        <w:t xml:space="preserve">poligoni già proiettati (EPSG:32633) come tabella di vertici. R li disegna poi come</w:t>
      </w:r>
      <w:r>
        <w:t xml:space="preserve"> </w:t>
      </w:r>
      <w:r>
        <w:t xml:space="preserve">poligoni, con isole e buchi.</w:t>
      </w:r>
    </w:p>
    <w:p>
      <w:pPr>
        <w:pStyle w:val="Compact"/>
        <w:numPr>
          <w:ilvl w:val="0"/>
          <w:numId w:val="1003"/>
        </w:numPr>
      </w:pPr>
      <w:r>
        <w:rPr>
          <w:b/>
          <w:bCs/>
        </w:rPr>
        <w:t xml:space="preserve">Lettura della matrice del pendolarismo.</w:t>
      </w:r>
      <w:r>
        <w:t xml:space="preserve"> </w:t>
      </w:r>
      <w:r>
        <w:t xml:space="preserve">Il tracciato è a campi fissi e senza</w:t>
      </w:r>
      <w:r>
        <w:t xml:space="preserve"> </w:t>
      </w:r>
      <w:r>
        <w:t xml:space="preserve">intestazione: un campo sfalsato produrrebbe numeri plausibili ma sbagliati. I file sono</w:t>
      </w:r>
      <w:r>
        <w:t xml:space="preserve"> </w:t>
      </w:r>
      <w:r>
        <w:t xml:space="preserve">letti in streaming dagli zip, senza mai espanderli, e il tracciato è controllato per</w:t>
      </w:r>
      <w:r>
        <w:t xml:space="preserve"> </w:t>
      </w:r>
      <w:r>
        <w:t xml:space="preserve">prova (sezione 5).</w:t>
      </w:r>
    </w:p>
    <w:p>
      <w:pPr>
        <w:pStyle w:val="Compact"/>
        <w:numPr>
          <w:ilvl w:val="0"/>
          <w:numId w:val="1003"/>
        </w:numPr>
      </w:pPr>
      <w:r>
        <w:rPr>
          <w:b/>
          <w:bCs/>
        </w:rPr>
        <w:t xml:space="preserve">Descrizioni fuori dalle tabelle.</w:t>
      </w:r>
      <w:r>
        <w:t xml:space="preserve"> </w:t>
      </w:r>
      <w:r>
        <w:t xml:space="preserve">Le etichette lunghe stanno nelle tabelle di lookup</w:t>
      </w:r>
      <w:r>
        <w:t xml:space="preserve"> </w:t>
      </w:r>
      <w:r>
        <w:t xml:space="preserve">invece di ripetersi riga per riga: da sole portavano</w:t>
      </w:r>
      <w:r>
        <w:t xml:space="preserve"> </w:t>
      </w:r>
      <w:r>
        <w:rPr>
          <w:rStyle w:val="VerbatimChar"/>
        </w:rPr>
        <w:t xml:space="preserve">ottomilacensus_long</w:t>
      </w:r>
      <w:r>
        <w:t xml:space="preserve"> </w:t>
      </w:r>
      <w:r>
        <w:t xml:space="preserve">da 5 a 40 MB.</w:t>
      </w:r>
    </w:p>
    <w:bookmarkEnd w:id="14"/>
    <w:bookmarkStart w:id="15" w:name="dalle-tavole-alle-inferenze-i-metodi"/>
    <w:p>
      <w:pPr>
        <w:pStyle w:val="Heading2"/>
      </w:pPr>
      <w:r>
        <w:t xml:space="preserve">1.4 Dalle tavole alle inferenze: i metodi</w:t>
      </w:r>
    </w:p>
    <w:p>
      <w:pPr>
        <w:pStyle w:val="FirstParagraph"/>
      </w:pPr>
      <w:r>
        <w:t xml:space="preserve">Dalle tavole si ricavano quantità che le tavole non contengono. Ogni passaggio usa un</w:t>
      </w:r>
      <w:r>
        <w:t xml:space="preserve"> </w:t>
      </w:r>
      <w:r>
        <w:t xml:space="preserve">metodo dichiarato, e ogni metodo è riscritto una seconda volta, in forma diversa, in</w:t>
      </w:r>
      <w:r>
        <w:t xml:space="preserve"> </w:t>
      </w:r>
      <w:r>
        <w:rPr>
          <w:rStyle w:val="VerbatimChar"/>
        </w:rPr>
        <w:t xml:space="preserve">pipeline/verifica.py</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Domanda</w:t>
            </w:r>
          </w:p>
        </w:tc>
        <w:tc>
          <w:tcPr/>
          <w:p>
            <w:pPr>
              <w:pStyle w:val="Compact"/>
            </w:pPr>
            <w:r>
              <w:t xml:space="preserve">Metodo</w:t>
            </w:r>
          </w:p>
        </w:tc>
        <w:tc>
          <w:tcPr/>
          <w:p>
            <w:pPr>
              <w:pStyle w:val="Compact"/>
            </w:pPr>
            <w:r>
              <w:t xml:space="preserve">Dove</w:t>
            </w:r>
          </w:p>
        </w:tc>
      </w:tr>
      <w:tr>
        <w:tc>
          <w:tcPr/>
          <w:p>
            <w:pPr>
              <w:pStyle w:val="Compact"/>
            </w:pPr>
            <w:r>
              <w:t xml:space="preserve">Quanto è preciso un tasso?</w:t>
            </w:r>
          </w:p>
        </w:tc>
        <w:tc>
          <w:tcPr/>
          <w:p>
            <w:pPr>
              <w:pStyle w:val="Compact"/>
            </w:pPr>
            <w:r>
              <w:t xml:space="preserve">Intervallo di</w:t>
            </w:r>
            <w:r>
              <w:t xml:space="preserve"> </w:t>
            </w:r>
            <w:r>
              <w:rPr>
                <w:b/>
                <w:bCs/>
              </w:rPr>
              <w:t xml:space="preserve">Wilson</w:t>
            </w:r>
            <w:r>
              <w:t xml:space="preserve"> </w:t>
            </w:r>
            <w:r>
              <w:t xml:space="preserve">al 95%</w:t>
            </w:r>
          </w:p>
        </w:tc>
        <w:tc>
          <w:tcPr/>
          <w:p>
            <w:pPr>
              <w:pStyle w:val="Compact"/>
            </w:pPr>
            <w:r>
              <w:t xml:space="preserve">tassi di occupazione, quote</w:t>
            </w:r>
          </w:p>
        </w:tc>
      </w:tr>
      <w:tr>
        <w:tc>
          <w:tcPr/>
          <w:p>
            <w:pPr>
              <w:pStyle w:val="Compact"/>
            </w:pPr>
            <w:r>
              <w:t xml:space="preserve">Quanto è preciso il divario fra due tassi?</w:t>
            </w:r>
          </w:p>
        </w:tc>
        <w:tc>
          <w:tcPr/>
          <w:p>
            <w:pPr>
              <w:pStyle w:val="Compact"/>
            </w:pPr>
            <w:r>
              <w:t xml:space="preserve">Intervallo di</w:t>
            </w:r>
            <w:r>
              <w:t xml:space="preserve"> </w:t>
            </w:r>
            <w:r>
              <w:rPr>
                <w:b/>
                <w:bCs/>
              </w:rPr>
              <w:t xml:space="preserve">Newcombe</w:t>
            </w:r>
            <w:r>
              <w:t xml:space="preserve"> </w:t>
            </w:r>
            <w:r>
              <w:t xml:space="preserve">al 95% sulla differenza</w:t>
            </w:r>
          </w:p>
        </w:tc>
        <w:tc>
          <w:tcPr/>
          <w:p>
            <w:pPr>
              <w:pStyle w:val="Compact"/>
            </w:pPr>
            <w:r>
              <w:t xml:space="preserve">gap M−F</w:t>
            </w:r>
          </w:p>
        </w:tc>
      </w:tr>
      <w:tr>
        <w:tc>
          <w:tcPr/>
          <w:p>
            <w:pPr>
              <w:pStyle w:val="Compact"/>
            </w:pPr>
            <w:r>
              <w:t xml:space="preserve">Il divario di Bagheria differisce da quello dei territori di confronto?</w:t>
            </w:r>
          </w:p>
        </w:tc>
        <w:tc>
          <w:tcPr/>
          <w:p>
            <w:pPr>
              <w:pStyle w:val="Compact"/>
            </w:pPr>
            <w:r>
              <w:rPr>
                <w:b/>
                <w:bCs/>
              </w:rPr>
              <w:t xml:space="preserve">Modello lineare di probabilità</w:t>
            </w:r>
            <w:r>
              <w:t xml:space="preserve"> </w:t>
            </w:r>
            <w:r>
              <w:t xml:space="preserve">pooled 2022-2024, con test sui coefficienti</w:t>
            </w:r>
          </w:p>
        </w:tc>
        <w:tc>
          <w:tcPr/>
          <w:p>
            <w:pPr>
              <w:pStyle w:val="Compact"/>
            </w:pPr>
            <w:r>
              <w:t xml:space="preserve">sezione 3.1</w:t>
            </w:r>
          </w:p>
        </w:tc>
      </w:tr>
      <w:tr>
        <w:tc>
          <w:tcPr/>
          <w:p>
            <w:pPr>
              <w:pStyle w:val="Compact"/>
            </w:pPr>
            <w:r>
              <w:t xml:space="preserve">Il divario si sta allargando?</w:t>
            </w:r>
          </w:p>
        </w:tc>
        <w:tc>
          <w:tcPr/>
          <w:p>
            <w:pPr>
              <w:pStyle w:val="Compact"/>
            </w:pPr>
            <w:r>
              <w:t xml:space="preserve">Regressione del gap sull’anno, 2018-2024</w:t>
            </w:r>
          </w:p>
        </w:tc>
        <w:tc>
          <w:tcPr/>
          <w:p>
            <w:pPr>
              <w:pStyle w:val="Compact"/>
            </w:pPr>
            <w:r>
              <w:t xml:space="preserve">sezione 3.1</w:t>
            </w:r>
          </w:p>
        </w:tc>
      </w:tr>
      <w:tr>
        <w:tc>
          <w:tcPr/>
          <w:p>
            <w:pPr>
              <w:pStyle w:val="Compact"/>
            </w:pPr>
            <w:r>
              <w:t xml:space="preserve">Rispetto a chi si misura Bagheria?</w:t>
            </w:r>
          </w:p>
        </w:tc>
        <w:tc>
          <w:tcPr/>
          <w:p>
            <w:pPr>
              <w:pStyle w:val="Compact"/>
            </w:pPr>
            <w:r>
              <w:rPr>
                <w:b/>
                <w:bCs/>
              </w:rPr>
              <w:t xml:space="preserve">Percentili sui 390 comuni siciliani</w:t>
            </w:r>
            <w:r>
              <w:t xml:space="preserve"> </w:t>
            </w:r>
            <w:r>
              <w:t xml:space="preserve">e due gruppi di comuni pari costruiti per</w:t>
            </w:r>
            <w:r>
              <w:t xml:space="preserve"> </w:t>
            </w:r>
            <w:r>
              <w:rPr>
                <w:b/>
                <w:bCs/>
              </w:rPr>
              <w:t xml:space="preserve">matching</w:t>
            </w:r>
            <w:r>
              <w:t xml:space="preserve">, su covariate strutturali o sul profilo di istruzione, mai su esiti del lavoro</w:t>
            </w:r>
          </w:p>
        </w:tc>
        <w:tc>
          <w:tcPr/>
          <w:p>
            <w:pPr>
              <w:pStyle w:val="Compact"/>
            </w:pPr>
            <w:r>
              <w:t xml:space="preserve">sezione 2.4</w:t>
            </w:r>
          </w:p>
        </w:tc>
      </w:tr>
      <w:tr>
        <w:tc>
          <w:tcPr/>
          <w:p>
            <w:pPr>
              <w:pStyle w:val="Compact"/>
            </w:pPr>
            <w:r>
              <w:t xml:space="preserve">La graduatoria del 2011 dice ancora qualcosa nel 2024?</w:t>
            </w:r>
          </w:p>
        </w:tc>
        <w:tc>
          <w:tcPr/>
          <w:p>
            <w:pPr>
              <w:pStyle w:val="Compact"/>
            </w:pPr>
            <w:r>
              <w:rPr>
                <w:b/>
                <w:bCs/>
              </w:rPr>
              <w:t xml:space="preserve">rho di Spearman</w:t>
            </w:r>
            <w:r>
              <w:t xml:space="preserve"> </w:t>
            </w:r>
            <w:r>
              <w:t xml:space="preserve">fra le due graduatorie, più la persistenza per quintili</w:t>
            </w:r>
          </w:p>
        </w:tc>
        <w:tc>
          <w:tcPr/>
          <w:p>
            <w:pPr>
              <w:pStyle w:val="Compact"/>
            </w:pPr>
            <w:r>
              <w:t xml:space="preserve">sezione 2.3</w:t>
            </w:r>
          </w:p>
        </w:tc>
      </w:tr>
      <w:tr>
        <w:tc>
          <w:tcPr/>
          <w:p>
            <w:pPr>
              <w:pStyle w:val="Compact"/>
            </w:pPr>
            <w:r>
              <w:t xml:space="preserve">Quanti giovani restano, e a che età se ne vanno?</w:t>
            </w:r>
          </w:p>
        </w:tc>
        <w:tc>
          <w:tcPr/>
          <w:p>
            <w:pPr>
              <w:pStyle w:val="Compact"/>
            </w:pPr>
            <w:r>
              <w:rPr>
                <w:b/>
                <w:bCs/>
              </w:rPr>
              <w:t xml:space="preserve">Ritenzione di coorte</w:t>
            </w:r>
            <w:r>
              <w:t xml:space="preserve">: rapporto fra la stessa coorte a distanza di anni, a passo annuale e decennale</w:t>
            </w:r>
          </w:p>
        </w:tc>
        <w:tc>
          <w:tcPr/>
          <w:p>
            <w:pPr>
              <w:pStyle w:val="Compact"/>
            </w:pPr>
            <w:r>
              <w:t xml:space="preserve">sezione 3.3</w:t>
            </w:r>
          </w:p>
        </w:tc>
      </w:tr>
      <w:tr>
        <w:tc>
          <w:tcPr/>
          <w:p>
            <w:pPr>
              <w:pStyle w:val="Compact"/>
            </w:pPr>
            <w:r>
              <w:t xml:space="preserve">L’anomalia è del comune o della sua taglia?</w:t>
            </w:r>
          </w:p>
        </w:tc>
        <w:tc>
          <w:tcPr/>
          <w:p>
            <w:pPr>
              <w:pStyle w:val="Compact"/>
            </w:pPr>
            <w:r>
              <w:t xml:space="preserve">Regressione su</w:t>
            </w:r>
            <w:r>
              <w:t xml:space="preserve"> </w:t>
            </w:r>
            <w:r>
              <w:rPr>
                <w:b/>
                <w:bCs/>
              </w:rPr>
              <w:t xml:space="preserve">distanza dal capoluogo e dimensione</w:t>
            </w:r>
            <w:r>
              <w:t xml:space="preserve">, lettura del</w:t>
            </w:r>
            <w:r>
              <w:t xml:space="preserve"> </w:t>
            </w:r>
            <w:r>
              <w:rPr>
                <w:b/>
                <w:bCs/>
              </w:rPr>
              <w:t xml:space="preserve">residuo</w:t>
            </w:r>
          </w:p>
        </w:tc>
        <w:tc>
          <w:tcPr/>
          <w:p>
            <w:pPr>
              <w:pStyle w:val="Compact"/>
            </w:pPr>
            <w:r>
              <w:t xml:space="preserve">sezione 5.3</w:t>
            </w:r>
          </w:p>
        </w:tc>
      </w:tr>
      <w:tr>
        <w:tc>
          <w:tcPr/>
          <w:p>
            <w:pPr>
              <w:pStyle w:val="Compact"/>
            </w:pPr>
            <w:r>
              <w:t xml:space="preserve">Quanto vale l’incertezza dei modelli comunali?</w:t>
            </w:r>
          </w:p>
        </w:tc>
        <w:tc>
          <w:tcPr/>
          <w:p>
            <w:pPr>
              <w:pStyle w:val="Compact"/>
            </w:pPr>
            <w:r>
              <w:rPr>
                <w:b/>
                <w:bCs/>
              </w:rPr>
              <w:t xml:space="preserve">Bootstrap</w:t>
            </w:r>
            <w:r>
              <w:t xml:space="preserve"> </w:t>
            </w:r>
            <w:r>
              <w:t xml:space="preserve">sui comuni, più validazione incrociata</w:t>
            </w:r>
          </w:p>
        </w:tc>
        <w:tc>
          <w:tcPr/>
          <w:p>
            <w:pPr>
              <w:pStyle w:val="Compact"/>
            </w:pPr>
            <w:r>
              <w:t xml:space="preserve">sezione 2.4</w:t>
            </w:r>
          </w:p>
        </w:tc>
      </w:tr>
      <w:tr>
        <w:tc>
          <w:tcPr/>
          <w:p>
            <w:pPr>
              <w:pStyle w:val="Compact"/>
            </w:pPr>
            <w:r>
              <w:t xml:space="preserve">Le stime campionarie sono confrontabili con i conteggi?</w:t>
            </w:r>
          </w:p>
        </w:tc>
        <w:tc>
          <w:tcPr/>
          <w:p>
            <w:pPr>
              <w:pStyle w:val="Compact"/>
            </w:pPr>
            <w:r>
              <w:rPr>
                <w:b/>
                <w:bCs/>
              </w:rPr>
              <w:t xml:space="preserve">Calibrazione sui margini esatti</w:t>
            </w:r>
            <w:r>
              <w:t xml:space="preserve"> </w:t>
            </w:r>
            <w:r>
              <w:t xml:space="preserve">dei conteggi esaustivi, con errore relativo misurato</w:t>
            </w:r>
          </w:p>
        </w:tc>
        <w:tc>
          <w:tcPr/>
          <w:p>
            <w:pPr>
              <w:pStyle w:val="Compact"/>
            </w:pPr>
            <w:r>
              <w:t xml:space="preserve">sezione 5.4</w:t>
            </w:r>
          </w:p>
        </w:tc>
      </w:tr>
      <w:tr>
        <w:tc>
          <w:tcPr/>
          <w:p>
            <w:pPr>
              <w:pStyle w:val="Compact"/>
            </w:pPr>
            <w:r>
              <w:t xml:space="preserve">In quanto tempo si potrà dire se l’intervento ha funzionato?</w:t>
            </w:r>
          </w:p>
        </w:tc>
        <w:tc>
          <w:tcPr/>
          <w:p>
            <w:pPr>
              <w:pStyle w:val="Compact"/>
            </w:pPr>
            <w:r>
              <w:rPr>
                <w:b/>
                <w:bCs/>
              </w:rPr>
              <w:t xml:space="preserve">Analisi di potenza</w:t>
            </w:r>
            <w:r>
              <w:t xml:space="preserve"> </w:t>
            </w:r>
            <w:r>
              <w:t xml:space="preserve">e minimo effetto rilevabile (MDE) con due metri: il modello binomiale e la variabilità osservata, senza interventi, nei 33 comuni siciliani di taglia simile</w:t>
            </w:r>
          </w:p>
        </w:tc>
        <w:tc>
          <w:tcPr/>
          <w:p>
            <w:pPr>
              <w:pStyle w:val="Compact"/>
            </w:pPr>
            <w:r>
              <w:t xml:space="preserve">sezione 7.4</w:t>
            </w:r>
          </w:p>
        </w:tc>
      </w:tr>
      <w:tr>
        <w:tc>
          <w:tcPr/>
          <w:p>
            <w:pPr>
              <w:pStyle w:val="Compact"/>
            </w:pPr>
            <w:r>
              <w:t xml:space="preserve">Il pilota vede il proprio effetto?</w:t>
            </w:r>
          </w:p>
        </w:tc>
        <w:tc>
          <w:tcPr/>
          <w:p>
            <w:pPr>
              <w:pStyle w:val="Compact"/>
            </w:pPr>
            <w:r>
              <w:t xml:space="preserve">Potenza del confronto fra due coorti da 100 partecipanti</w:t>
            </w:r>
          </w:p>
        </w:tc>
        <w:tc>
          <w:tcPr/>
          <w:p>
            <w:pPr>
              <w:pStyle w:val="Compact"/>
            </w:pPr>
            <w:r>
              <w:t xml:space="preserve">sezione 7.4</w:t>
            </w:r>
          </w:p>
        </w:tc>
      </w:tr>
      <w:tr>
        <w:tc>
          <w:tcPr/>
          <w:p>
            <w:pPr>
              <w:pStyle w:val="Compact"/>
            </w:pPr>
            <w:r>
              <w:t xml:space="preserve">Il controfattuale scelto è ammissibile?</w:t>
            </w:r>
          </w:p>
        </w:tc>
        <w:tc>
          <w:tcPr/>
          <w:p>
            <w:pPr>
              <w:pStyle w:val="Compact"/>
            </w:pPr>
            <w:r>
              <w:rPr>
                <w:b/>
                <w:bCs/>
              </w:rPr>
              <w:t xml:space="preserve">Test di pre-trend</w:t>
            </w:r>
            <w:r>
              <w:t xml:space="preserve"> </w:t>
            </w:r>
            <w:r>
              <w:t xml:space="preserve">sulle pendenze 2018-2024, ripetuto senza modello binomiale contro le pendenze dei comuni simili</w:t>
            </w:r>
          </w:p>
        </w:tc>
        <w:tc>
          <w:tcPr/>
          <w:p>
            <w:pPr>
              <w:pStyle w:val="Compact"/>
            </w:pPr>
            <w:r>
              <w:t xml:space="preserve">sezione 7.4</w:t>
            </w:r>
          </w:p>
        </w:tc>
      </w:tr>
      <w:tr>
        <w:tc>
          <w:tcPr/>
          <w:p>
            <w:pPr>
              <w:pStyle w:val="Compact"/>
            </w:pPr>
            <w:r>
              <w:t xml:space="preserve">Quante diplomate lavorano, senza l’incrocio individuale?</w:t>
            </w:r>
          </w:p>
        </w:tc>
        <w:tc>
          <w:tcPr/>
          <w:p>
            <w:pPr>
              <w:pStyle w:val="Compact"/>
            </w:pPr>
            <w:r>
              <w:rPr>
                <w:b/>
                <w:bCs/>
              </w:rPr>
              <w:t xml:space="preserve">Limiti di Fréchet</w:t>
            </w:r>
            <w:r>
              <w:t xml:space="preserve"> </w:t>
            </w:r>
            <w:r>
              <w:t xml:space="preserve">sui margini delle due tavole</w:t>
            </w:r>
          </w:p>
        </w:tc>
        <w:tc>
          <w:tcPr/>
          <w:p>
            <w:pPr>
              <w:pStyle w:val="Compact"/>
            </w:pPr>
            <w:r>
              <w:t xml:space="preserve">sezione 4</w:t>
            </w:r>
          </w:p>
        </w:tc>
      </w:tr>
      <w:tr>
        <w:tc>
          <w:tcPr/>
          <w:p>
            <w:pPr>
              <w:pStyle w:val="Compact"/>
            </w:pPr>
            <w:r>
              <w:t xml:space="preserve">Una quota censuaria è un conteggio o una stima?</w:t>
            </w:r>
          </w:p>
        </w:tc>
        <w:tc>
          <w:tcPr/>
          <w:p>
            <w:pPr>
              <w:pStyle w:val="Compact"/>
            </w:pPr>
            <w:r>
              <w:t xml:space="preserve">Quota di celle intere per condizione e anno sui 390 comuni</w:t>
            </w:r>
          </w:p>
        </w:tc>
        <w:tc>
          <w:tcPr/>
          <w:p>
            <w:pPr>
              <w:pStyle w:val="Compact"/>
            </w:pPr>
            <w:r>
              <w:t xml:space="preserve">sezioni 1.5 e 3.2</w:t>
            </w:r>
          </w:p>
        </w:tc>
      </w:tr>
    </w:tbl>
    <w:p>
      <w:pPr>
        <w:pStyle w:val="BodyText"/>
      </w:pPr>
      <w:r>
        <w:t xml:space="preserve">Due proprietà rendono questi conti verificabili, e non solo dichiarati. La prima:</w:t>
      </w:r>
      <w:r>
        <w:t xml:space="preserve"> </w:t>
      </w:r>
      <w:r>
        <w:rPr>
          <w:b/>
          <w:bCs/>
        </w:rPr>
        <w:t xml:space="preserve">il</w:t>
      </w:r>
      <w:r>
        <w:rPr>
          <w:b/>
          <w:bCs/>
        </w:rPr>
        <w:t xml:space="preserve"> </w:t>
      </w:r>
      <w:r>
        <w:rPr>
          <w:b/>
          <w:bCs/>
        </w:rPr>
        <w:t xml:space="preserve">controllo di regressione è indipendente</w:t>
      </w:r>
      <w:r>
        <w:t xml:space="preserve">.</w:t>
      </w:r>
      <w:r>
        <w:t xml:space="preserve"> </w:t>
      </w:r>
      <w:r>
        <w:rPr>
          <w:rStyle w:val="VerbatimChar"/>
        </w:rPr>
        <w:t xml:space="preserve">pipeline/verifica.py</w:t>
      </w:r>
      <w:r>
        <w:t xml:space="preserve"> </w:t>
      </w:r>
      <w:r>
        <w:t xml:space="preserve">non rilegge i risultati</w:t>
      </w:r>
      <w:r>
        <w:t xml:space="preserve"> </w:t>
      </w:r>
      <w:r>
        <w:t xml:space="preserve">dei notebook: li</w:t>
      </w:r>
      <w:r>
        <w:t xml:space="preserve"> </w:t>
      </w:r>
      <w:r>
        <w:rPr>
          <w:b/>
          <w:bCs/>
        </w:rPr>
        <w:t xml:space="preserve">ricalcola dai raw con implementazioni alternative</w:t>
      </w:r>
      <w:r>
        <w:t xml:space="preserve">. Riscrive da zero</w:t>
      </w:r>
      <w:r>
        <w:t xml:space="preserve"> </w:t>
      </w:r>
      <w:r>
        <w:t xml:space="preserve">gli intervalli, stima il modello in forma analitica, rifà il matching, prende le coorti</w:t>
      </w:r>
      <w:r>
        <w:t xml:space="preserve"> </w:t>
      </w:r>
      <w:r>
        <w:t xml:space="preserve">dalle classi quinquennali invece che dalle età singole e usa un secondo parser della</w:t>
      </w:r>
      <w:r>
        <w:t xml:space="preserve"> </w:t>
      </w:r>
      <w:r>
        <w:t xml:space="preserve">matrice del pendolarismo. Se le due strade divergono, il controllo fallisce.</w:t>
      </w:r>
    </w:p>
    <w:p>
      <w:pPr>
        <w:pStyle w:val="BodyText"/>
      </w:pPr>
      <w:r>
        <w:t xml:space="preserve">La seconda:</w:t>
      </w:r>
      <w:r>
        <w:t xml:space="preserve"> </w:t>
      </w:r>
      <w:r>
        <w:rPr>
          <w:b/>
          <w:bCs/>
        </w:rPr>
        <w:t xml:space="preserve">il documento rientra nel perimetro dei controlli</w:t>
      </w:r>
      <w:r>
        <w:t xml:space="preserve">. L’ultimo blocco rilegge</w:t>
      </w:r>
      <w:r>
        <w:t xml:space="preserve"> </w:t>
      </w:r>
      <w:r>
        <w:t xml:space="preserve">le cifre da</w:t>
      </w:r>
      <w:r>
        <w:t xml:space="preserve"> </w:t>
      </w:r>
      <w:r>
        <w:rPr>
          <w:rStyle w:val="VerbatimChar"/>
        </w:rPr>
        <w:t xml:space="preserve">data/processed/</w:t>
      </w:r>
      <w:r>
        <w:t xml:space="preserve">, le formatta all’italiana e pretende che la frase compaia</w:t>
      </w:r>
      <w:r>
        <w:t xml:space="preserve"> </w:t>
      </w:r>
      <w:r>
        <w:t xml:space="preserve">alla lettera in questa relazione. Un numero ritoccato a mano nel testo fa fallire la</w:t>
      </w:r>
      <w:r>
        <w:t xml:space="preserve"> </w:t>
      </w:r>
      <w:r>
        <w:t xml:space="preserve">pipeline esattamente come un errore di calcolo.</w:t>
      </w:r>
    </w:p>
    <w:bookmarkEnd w:id="15"/>
    <w:bookmarkStart w:id="16" w:name="che-cosa-le-inferenze-autorizzano-a-dire"/>
    <w:p>
      <w:pPr>
        <w:pStyle w:val="Heading2"/>
      </w:pPr>
      <w:r>
        <w:t xml:space="preserve">1.5 Che cosa le inferenze autorizzano a dire</w:t>
      </w:r>
    </w:p>
    <w:p>
      <w:pPr>
        <w:pStyle w:val="FirstParagraph"/>
      </w:pPr>
      <w:r>
        <w:t xml:space="preserve">I risultati che seguono non hanno tutti lo stesso statuto. Distinguerli è la premessa per</w:t>
      </w:r>
      <w:r>
        <w:t xml:space="preserve"> </w:t>
      </w:r>
      <w:r>
        <w:t xml:space="preserve">leggerli senza sopravvalutarli.</w:t>
      </w:r>
    </w:p>
    <w:p>
      <w:pPr>
        <w:pStyle w:val="Compact"/>
        <w:numPr>
          <w:ilvl w:val="0"/>
          <w:numId w:val="1004"/>
        </w:numPr>
      </w:pPr>
      <w:r>
        <w:rPr>
          <w:b/>
          <w:bCs/>
        </w:rPr>
        <w:t xml:space="preserve">Descrittivo.</w:t>
      </w:r>
      <w:r>
        <w:t xml:space="preserve"> </w:t>
      </w:r>
      <w:r>
        <w:t xml:space="preserve">Conteggi e quote censuarie su Bagheria. Il censimento permanente li</w:t>
      </w:r>
      <w:r>
        <w:t xml:space="preserve"> </w:t>
      </w:r>
      <w:r>
        <w:t xml:space="preserve">produce integrando registri amministrativi e rilevazioni campionarie, e a livello</w:t>
      </w:r>
      <w:r>
        <w:t xml:space="preserve"> </w:t>
      </w:r>
      <w:r>
        <w:t xml:space="preserve">comunale ISTAT non pubblica un errore di stima. Dove compare un intervallo, quindi,</w:t>
      </w:r>
      <w:r>
        <w:t xml:space="preserve"> </w:t>
      </w:r>
      <w:r>
        <w:t xml:space="preserve">misura la variabilità binomiale della proporzione, non l’incertezza della rilevazione.</w:t>
      </w:r>
      <w:r>
        <w:t xml:space="preserve"> </w:t>
      </w:r>
      <w:r>
        <w:t xml:space="preserve">Dal 2021, inoltre, solo occupati e residenti sono conteggi. Le altre condizioni (in</w:t>
      </w:r>
      <w:r>
        <w:t xml:space="preserve"> </w:t>
      </w:r>
      <w:r>
        <w:t xml:space="preserve">cerca di occupazione, casalinga, studente, pensionato, altra condizione) sono stime</w:t>
      </w:r>
      <w:r>
        <w:t xml:space="preserve"> </w:t>
      </w:r>
      <w:r>
        <w:t xml:space="preserve">di modello: somme di probabilità individuali di cui ISTAT non calcola l’errore standard.</w:t>
      </w:r>
      <w:r>
        <w:t xml:space="preserve"> </w:t>
      </w:r>
      <w:r>
        <w:t xml:space="preserve">Lo si vede nei dati, dove quelle celle non sono intere (sezione 3.2). Il censimento 2011</w:t>
      </w:r>
      <w:r>
        <w:t xml:space="preserve"> </w:t>
      </w:r>
      <w:r>
        <w:t xml:space="preserve">è invece un’enumerazione, salvo le variabili rilevate su campione (sezione 5.4).</w:t>
      </w:r>
    </w:p>
    <w:p>
      <w:pPr>
        <w:pStyle w:val="Compact"/>
        <w:numPr>
          <w:ilvl w:val="0"/>
          <w:numId w:val="1004"/>
        </w:numPr>
      </w:pPr>
      <w:r>
        <w:rPr>
          <w:b/>
          <w:bCs/>
        </w:rPr>
        <w:t xml:space="preserve">Comparativo.</w:t>
      </w:r>
      <w:r>
        <w:t xml:space="preserve"> </w:t>
      </w:r>
      <w:r>
        <w:t xml:space="preserve">Il confronto con Palermo, Sicilia, Italia, i 390 comuni siciliani e i</w:t>
      </w:r>
      <w:r>
        <w:t xml:space="preserve"> </w:t>
      </w:r>
      <w:r>
        <w:t xml:space="preserve">due gruppi di pari. Qui è robusta l’affermazione che</w:t>
      </w:r>
      <w:r>
        <w:t xml:space="preserve"> </w:t>
      </w:r>
      <w:r>
        <w:rPr>
          <w:b/>
          <w:bCs/>
        </w:rPr>
        <w:t xml:space="preserve">sopravvive al cambio di lente</w:t>
      </w:r>
      <w:r>
        <w:t xml:space="preserve">.</w:t>
      </w:r>
      <w:r>
        <w:t xml:space="preserve"> </w:t>
      </w:r>
      <w:r>
        <w:t xml:space="preserve">Dove i due gruppi di pari divergono, la relazione lo dice invece di scegliere il più</w:t>
      </w:r>
      <w:r>
        <w:t xml:space="preserve"> </w:t>
      </w:r>
      <w:r>
        <w:t xml:space="preserve">favorevole.</w:t>
      </w:r>
    </w:p>
    <w:p>
      <w:pPr>
        <w:pStyle w:val="Compact"/>
        <w:numPr>
          <w:ilvl w:val="0"/>
          <w:numId w:val="1004"/>
        </w:numPr>
      </w:pPr>
      <w:r>
        <w:rPr>
          <w:b/>
          <w:bCs/>
        </w:rPr>
        <w:t xml:space="preserve">Ecologico.</w:t>
      </w:r>
      <w:r>
        <w:t xml:space="preserve"> </w:t>
      </w:r>
      <w:r>
        <w:t xml:space="preserve">Le correlazioni fra comuni (mobilità e occupazione femminile, mezzo</w:t>
      </w:r>
      <w:r>
        <w:t xml:space="preserve"> </w:t>
      </w:r>
      <w:r>
        <w:t xml:space="preserve">collettivo e divario di genere). Orientano un’ipotesi e non la dimostrano: valgono sul</w:t>
      </w:r>
      <w:r>
        <w:t xml:space="preserve"> </w:t>
      </w:r>
      <w:r>
        <w:t xml:space="preserve">comune, mai sulla persona. Sono sempre citate con questo limite, e una di esse è</w:t>
      </w:r>
      <w:r>
        <w:t xml:space="preserve"> </w:t>
      </w:r>
      <w:r>
        <w:t xml:space="preserve">riportata proprio perché ha dato</w:t>
      </w:r>
      <w:r>
        <w:t xml:space="preserve"> </w:t>
      </w:r>
      <w:r>
        <w:rPr>
          <w:b/>
          <w:bCs/>
        </w:rPr>
        <w:t xml:space="preserve">esito negativo</w:t>
      </w:r>
      <w:r>
        <w:t xml:space="preserve"> </w:t>
      </w:r>
      <w:r>
        <w:t xml:space="preserve">(sezione 5.4).</w:t>
      </w:r>
    </w:p>
    <w:p>
      <w:pPr>
        <w:pStyle w:val="Compact"/>
        <w:numPr>
          <w:ilvl w:val="0"/>
          <w:numId w:val="1004"/>
        </w:numPr>
      </w:pPr>
      <w:r>
        <w:rPr>
          <w:b/>
          <w:bCs/>
        </w:rPr>
        <w:t xml:space="preserve">Nessuna stima causale.</w:t>
      </w:r>
      <w:r>
        <w:t xml:space="preserve"> </w:t>
      </w:r>
      <w:r>
        <w:t xml:space="preserve">Nessun numero di questa relazione misura l’effetto di un</w:t>
      </w:r>
      <w:r>
        <w:t xml:space="preserve"> </w:t>
      </w:r>
      <w:r>
        <w:t xml:space="preserve">intervento, perché nessun disegno lo consentirebbe. Per questo la proposta include un</w:t>
      </w:r>
      <w:r>
        <w:t xml:space="preserve"> </w:t>
      </w:r>
      <w:r>
        <w:t xml:space="preserve">proprio disegno di valutazione (sezione 7.4), che serve a produrre l’evidenza che oggi</w:t>
      </w:r>
      <w:r>
        <w:t xml:space="preserve"> </w:t>
      </w:r>
      <w:r>
        <w:t xml:space="preserve">manca, non a confermare quella che c’è.</w:t>
      </w:r>
    </w:p>
    <w:p>
      <w:pPr>
        <w:pStyle w:val="FirstParagraph"/>
      </w:pPr>
      <w:r>
        <w:t xml:space="preserve">Ciò che la relazione</w:t>
      </w:r>
      <w:r>
        <w:t xml:space="preserve"> </w:t>
      </w:r>
      <w:r>
        <w:rPr>
          <w:b/>
          <w:bCs/>
        </w:rPr>
        <w:t xml:space="preserve">non</w:t>
      </w:r>
      <w:r>
        <w:t xml:space="preserve"> </w:t>
      </w:r>
      <w:r>
        <w:t xml:space="preserve">afferma è raccolto in chiaro nella sezione 9.</w:t>
      </w:r>
    </w:p>
    <w:p>
      <w:r>
        <w:pict>
          <v:rect style="width:0;height:1.5pt" o:hralign="center" o:hrstd="t" o:hr="t"/>
        </w:pict>
      </w:r>
    </w:p>
    <w:bookmarkEnd w:id="16"/>
    <w:bookmarkEnd w:id="17"/>
    <w:bookmarkStart w:id="40" w:name="X63bb64c9199cb27ed081296be5fa1e8a5a47fe4"/>
    <w:p>
      <w:pPr>
        <w:pStyle w:val="Heading1"/>
      </w:pPr>
      <w:r>
        <w:t xml:space="preserve">2. Il profilo: un recupero vero che non converge</w:t>
      </w:r>
    </w:p>
    <w:bookmarkStart w:id="21" w:name="la-fotografia-2024"/>
    <w:p>
      <w:pPr>
        <w:pStyle w:val="Heading2"/>
      </w:pPr>
      <w:r>
        <w:t xml:space="preserve">2.1 La fotografia 2024</w:t>
      </w:r>
    </w:p>
    <w:p>
      <w:pPr>
        <w:pStyle w:val="FirstParagraph"/>
      </w:pPr>
      <w:r>
        <w:t xml:space="preserve">Nel 2024 Bagheria conta</w:t>
      </w:r>
      <w:r>
        <w:t xml:space="preserve"> </w:t>
      </w:r>
      <w:r>
        <w:rPr>
          <w:b/>
          <w:bCs/>
        </w:rPr>
        <w:t xml:space="preserve">5.904 residenti di 15-24 anni</w:t>
      </w:r>
      <w:r>
        <w:t xml:space="preserve">. Per condizione prevalente si</w:t>
      </w:r>
      <w:r>
        <w:t xml:space="preserve"> </w:t>
      </w:r>
      <w:r>
        <w:t xml:space="preserve">distribuiscono così:</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Condizione 2024</w:t>
            </w:r>
          </w:p>
        </w:tc>
        <w:tc>
          <w:tcPr/>
          <w:p>
            <w:pPr>
              <w:pStyle w:val="Compact"/>
              <w:jc w:val="right"/>
            </w:pPr>
            <w:r>
              <w:t xml:space="preserve">Quota</w:t>
            </w:r>
          </w:p>
        </w:tc>
        <w:tc>
          <w:tcPr/>
          <w:p>
            <w:pPr>
              <w:pStyle w:val="Compact"/>
              <w:jc w:val="right"/>
            </w:pPr>
            <w:r>
              <w:t xml:space="preserve">Persone (stima)</w:t>
            </w:r>
          </w:p>
        </w:tc>
      </w:tr>
      <w:tr>
        <w:tc>
          <w:tcPr/>
          <w:p>
            <w:pPr>
              <w:pStyle w:val="Compact"/>
            </w:pPr>
            <w:r>
              <w:t xml:space="preserve">Studenti</w:t>
            </w:r>
          </w:p>
        </w:tc>
        <w:tc>
          <w:tcPr/>
          <w:p>
            <w:pPr>
              <w:pStyle w:val="Compact"/>
              <w:jc w:val="right"/>
            </w:pPr>
            <w:r>
              <w:t xml:space="preserve">60,7%</w:t>
            </w:r>
          </w:p>
        </w:tc>
        <w:tc>
          <w:tcPr/>
          <w:p>
            <w:pPr>
              <w:pStyle w:val="Compact"/>
              <w:jc w:val="right"/>
            </w:pPr>
            <w:r>
              <w:t xml:space="preserve">~3.581</w:t>
            </w:r>
          </w:p>
        </w:tc>
      </w:tr>
      <w:tr>
        <w:tc>
          <w:tcPr/>
          <w:p>
            <w:pPr>
              <w:pStyle w:val="Compact"/>
            </w:pPr>
            <w:r>
              <w:t xml:space="preserve">Occupati</w:t>
            </w:r>
          </w:p>
        </w:tc>
        <w:tc>
          <w:tcPr/>
          <w:p>
            <w:pPr>
              <w:pStyle w:val="Compact"/>
              <w:jc w:val="right"/>
            </w:pPr>
            <w:r>
              <w:t xml:space="preserve">12,4%</w:t>
            </w:r>
          </w:p>
        </w:tc>
        <w:tc>
          <w:tcPr/>
          <w:p>
            <w:pPr>
              <w:pStyle w:val="Compact"/>
              <w:jc w:val="right"/>
            </w:pPr>
            <w:r>
              <w:t xml:space="preserve">~734</w:t>
            </w:r>
          </w:p>
        </w:tc>
      </w:tr>
      <w:tr>
        <w:tc>
          <w:tcPr/>
          <w:p>
            <w:pPr>
              <w:pStyle w:val="Compact"/>
            </w:pPr>
            <w:r>
              <w:t xml:space="preserve">In cerca di occupazione</w:t>
            </w:r>
          </w:p>
        </w:tc>
        <w:tc>
          <w:tcPr/>
          <w:p>
            <w:pPr>
              <w:pStyle w:val="Compact"/>
              <w:jc w:val="right"/>
            </w:pPr>
            <w:r>
              <w:t xml:space="preserve">7,9%</w:t>
            </w:r>
          </w:p>
        </w:tc>
        <w:tc>
          <w:tcPr/>
          <w:p>
            <w:pPr>
              <w:pStyle w:val="Compact"/>
              <w:jc w:val="right"/>
            </w:pPr>
            <w:r>
              <w:t xml:space="preserve">~467</w:t>
            </w:r>
          </w:p>
        </w:tc>
      </w:tr>
      <w:tr>
        <w:tc>
          <w:tcPr/>
          <w:p>
            <w:pPr>
              <w:pStyle w:val="Compact"/>
            </w:pPr>
            <w:r>
              <w:rPr>
                <w:b/>
                <w:bCs/>
              </w:rPr>
              <w:t xml:space="preserve">Inattivi non studenti</w:t>
            </w:r>
          </w:p>
        </w:tc>
        <w:tc>
          <w:tcPr/>
          <w:p>
            <w:pPr>
              <w:pStyle w:val="Compact"/>
              <w:jc w:val="right"/>
            </w:pPr>
            <w:r>
              <w:rPr>
                <w:b/>
                <w:bCs/>
              </w:rPr>
              <w:t xml:space="preserve">19,0%</w:t>
            </w:r>
          </w:p>
        </w:tc>
        <w:tc>
          <w:tcPr/>
          <w:p>
            <w:pPr>
              <w:pStyle w:val="Compact"/>
              <w:jc w:val="right"/>
            </w:pPr>
            <w:r>
              <w:rPr>
                <w:b/>
                <w:bCs/>
              </w:rPr>
              <w:t xml:space="preserve">~1.121</w:t>
            </w:r>
          </w:p>
        </w:tc>
      </w:tr>
    </w:tbl>
    <w:p>
      <w:pPr>
        <w:pStyle w:val="BodyText"/>
      </w:pPr>
      <w:r>
        <w:t xml:space="preserve">→</w:t>
      </w:r>
      <w:r>
        <w:t xml:space="preserve"> </w:t>
      </w:r>
      <w:r>
        <w:rPr>
          <w:rStyle w:val="VerbatimChar"/>
        </w:rPr>
        <w:t xml:space="preserve">edu_youth_states_2018_2024.csv</w:t>
      </w:r>
      <w:r>
        <w:t xml:space="preserve">,</w:t>
      </w:r>
      <w:r>
        <w:t xml:space="preserve"> </w:t>
      </w:r>
      <w:r>
        <w:rPr>
          <w:rStyle w:val="VerbatimChar"/>
        </w:rPr>
        <w:t xml:space="preserve">analisi_condizione_15_24.csv</w:t>
      </w:r>
    </w:p>
    <w:p>
      <w:pPr>
        <w:pStyle w:val="BodyText"/>
      </w:pPr>
      <w:r>
        <w:t xml:space="preserve">Lo stesso profilo sui quattro territori del bando: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15-24, 2024</w:t>
            </w:r>
          </w:p>
        </w:tc>
        <w:tc>
          <w:tcPr/>
          <w:p>
            <w:pPr>
              <w:pStyle w:val="Compact"/>
              <w:jc w:val="right"/>
            </w:pPr>
            <w:r>
              <w:t xml:space="preserve">Bagheria</w:t>
            </w:r>
          </w:p>
        </w:tc>
        <w:tc>
          <w:tcPr/>
          <w:p>
            <w:pPr>
              <w:pStyle w:val="Compact"/>
              <w:jc w:val="right"/>
            </w:pPr>
            <w:r>
              <w:t xml:space="preserve">Palermo</w:t>
            </w:r>
          </w:p>
        </w:tc>
        <w:tc>
          <w:tcPr/>
          <w:p>
            <w:pPr>
              <w:pStyle w:val="Compact"/>
              <w:jc w:val="right"/>
            </w:pPr>
            <w:r>
              <w:t xml:space="preserve">Sicilia</w:t>
            </w:r>
          </w:p>
        </w:tc>
        <w:tc>
          <w:tcPr/>
          <w:p>
            <w:pPr>
              <w:pStyle w:val="Compact"/>
              <w:jc w:val="right"/>
            </w:pPr>
            <w:r>
              <w:t xml:space="preserve">Italia</w:t>
            </w:r>
          </w:p>
        </w:tc>
      </w:tr>
      <w:tr>
        <w:tc>
          <w:tcPr/>
          <w:p>
            <w:pPr>
              <w:pStyle w:val="Compact"/>
            </w:pPr>
            <w:r>
              <w:t xml:space="preserve">Occupati</w:t>
            </w:r>
          </w:p>
        </w:tc>
        <w:tc>
          <w:tcPr/>
          <w:p>
            <w:pPr>
              <w:pStyle w:val="Compact"/>
              <w:jc w:val="right"/>
            </w:pPr>
            <w:r>
              <w:rPr>
                <w:b/>
                <w:bCs/>
              </w:rPr>
              <w:t xml:space="preserve">12,4%</w:t>
            </w:r>
          </w:p>
        </w:tc>
        <w:tc>
          <w:tcPr/>
          <w:p>
            <w:pPr>
              <w:pStyle w:val="Compact"/>
              <w:jc w:val="right"/>
            </w:pPr>
            <w:r>
              <w:t xml:space="preserve">13,2%</w:t>
            </w:r>
          </w:p>
        </w:tc>
        <w:tc>
          <w:tcPr/>
          <w:p>
            <w:pPr>
              <w:pStyle w:val="Compact"/>
              <w:jc w:val="right"/>
            </w:pPr>
            <w:r>
              <w:t xml:space="preserve">15,6%</w:t>
            </w:r>
          </w:p>
        </w:tc>
        <w:tc>
          <w:tcPr/>
          <w:p>
            <w:pPr>
              <w:pStyle w:val="Compact"/>
              <w:jc w:val="right"/>
            </w:pPr>
            <w:r>
              <w:t xml:space="preserve">22,3%</w:t>
            </w:r>
          </w:p>
        </w:tc>
      </w:tr>
      <w:tr>
        <w:tc>
          <w:tcPr/>
          <w:p>
            <w:pPr>
              <w:pStyle w:val="Compact"/>
            </w:pPr>
            <w:r>
              <w:t xml:space="preserve">In cerca di occupazione</w:t>
            </w:r>
          </w:p>
        </w:tc>
        <w:tc>
          <w:tcPr/>
          <w:p>
            <w:pPr>
              <w:pStyle w:val="Compact"/>
              <w:jc w:val="right"/>
            </w:pPr>
            <w:r>
              <w:rPr>
                <w:b/>
                <w:bCs/>
              </w:rPr>
              <w:t xml:space="preserve">7,9%</w:t>
            </w:r>
          </w:p>
        </w:tc>
        <w:tc>
          <w:tcPr/>
          <w:p>
            <w:pPr>
              <w:pStyle w:val="Compact"/>
              <w:jc w:val="right"/>
            </w:pPr>
            <w:r>
              <w:t xml:space="preserve">8,3%</w:t>
            </w:r>
          </w:p>
        </w:tc>
        <w:tc>
          <w:tcPr/>
          <w:p>
            <w:pPr>
              <w:pStyle w:val="Compact"/>
              <w:jc w:val="right"/>
            </w:pPr>
            <w:r>
              <w:t xml:space="preserve">7,5%</w:t>
            </w:r>
          </w:p>
        </w:tc>
        <w:tc>
          <w:tcPr/>
          <w:p>
            <w:pPr>
              <w:pStyle w:val="Compact"/>
              <w:jc w:val="right"/>
            </w:pPr>
            <w:r>
              <w:t xml:space="preserve">6,2%</w:t>
            </w:r>
          </w:p>
        </w:tc>
      </w:tr>
      <w:tr>
        <w:tc>
          <w:tcPr/>
          <w:p>
            <w:pPr>
              <w:pStyle w:val="Compact"/>
            </w:pPr>
            <w:r>
              <w:t xml:space="preserve">Studenti</w:t>
            </w:r>
          </w:p>
        </w:tc>
        <w:tc>
          <w:tcPr/>
          <w:p>
            <w:pPr>
              <w:pStyle w:val="Compact"/>
              <w:jc w:val="right"/>
            </w:pPr>
            <w:r>
              <w:rPr>
                <w:b/>
                <w:bCs/>
              </w:rPr>
              <w:t xml:space="preserve">60,7%</w:t>
            </w:r>
          </w:p>
        </w:tc>
        <w:tc>
          <w:tcPr/>
          <w:p>
            <w:pPr>
              <w:pStyle w:val="Compact"/>
              <w:jc w:val="right"/>
            </w:pPr>
            <w:r>
              <w:t xml:space="preserve">63,2%</w:t>
            </w:r>
          </w:p>
        </w:tc>
        <w:tc>
          <w:tcPr/>
          <w:p>
            <w:pPr>
              <w:pStyle w:val="Compact"/>
              <w:jc w:val="right"/>
            </w:pPr>
            <w:r>
              <w:t xml:space="preserve">62,2%</w:t>
            </w:r>
          </w:p>
        </w:tc>
        <w:tc>
          <w:tcPr/>
          <w:p>
            <w:pPr>
              <w:pStyle w:val="Compact"/>
              <w:jc w:val="right"/>
            </w:pPr>
            <w:r>
              <w:t xml:space="preserve">62,3%</w:t>
            </w:r>
          </w:p>
        </w:tc>
      </w:tr>
      <w:tr>
        <w:tc>
          <w:tcPr/>
          <w:p>
            <w:pPr>
              <w:pStyle w:val="Compact"/>
            </w:pPr>
            <w:r>
              <w:t xml:space="preserve">Inattivi non studenti</w:t>
            </w:r>
          </w:p>
        </w:tc>
        <w:tc>
          <w:tcPr/>
          <w:p>
            <w:pPr>
              <w:pStyle w:val="Compact"/>
              <w:jc w:val="right"/>
            </w:pPr>
            <w:r>
              <w:rPr>
                <w:b/>
                <w:bCs/>
              </w:rPr>
              <w:t xml:space="preserve">19,0%</w:t>
            </w:r>
          </w:p>
        </w:tc>
        <w:tc>
          <w:tcPr/>
          <w:p>
            <w:pPr>
              <w:pStyle w:val="Compact"/>
              <w:jc w:val="right"/>
            </w:pPr>
            <w:r>
              <w:t xml:space="preserve">15,3%</w:t>
            </w:r>
          </w:p>
        </w:tc>
        <w:tc>
          <w:tcPr/>
          <w:p>
            <w:pPr>
              <w:pStyle w:val="Compact"/>
              <w:jc w:val="right"/>
            </w:pPr>
            <w:r>
              <w:t xml:space="preserve">14,8%</w:t>
            </w:r>
          </w:p>
        </w:tc>
        <w:tc>
          <w:tcPr/>
          <w:p>
            <w:pPr>
              <w:pStyle w:val="Compact"/>
              <w:jc w:val="right"/>
            </w:pPr>
            <w:r>
              <w:t xml:space="preserve">9,2%</w:t>
            </w:r>
          </w:p>
        </w:tc>
      </w:tr>
      <w:tr>
        <w:tc>
          <w:tcPr/>
          <w:p>
            <w:pPr>
              <w:pStyle w:val="Compact"/>
            </w:pPr>
            <w:r>
              <w:t xml:space="preserve">Fuori da lavoro e studio</w:t>
            </w:r>
          </w:p>
        </w:tc>
        <w:tc>
          <w:tcPr/>
          <w:p>
            <w:pPr>
              <w:pStyle w:val="Compact"/>
              <w:jc w:val="right"/>
            </w:pPr>
            <w:r>
              <w:rPr>
                <w:b/>
                <w:bCs/>
              </w:rPr>
              <w:t xml:space="preserve">26,9%</w:t>
            </w:r>
          </w:p>
        </w:tc>
        <w:tc>
          <w:tcPr/>
          <w:p>
            <w:pPr>
              <w:pStyle w:val="Compact"/>
              <w:jc w:val="right"/>
            </w:pPr>
            <w:r>
              <w:t xml:space="preserve">23,6%</w:t>
            </w:r>
          </w:p>
        </w:tc>
        <w:tc>
          <w:tcPr/>
          <w:p>
            <w:pPr>
              <w:pStyle w:val="Compact"/>
              <w:jc w:val="right"/>
            </w:pPr>
            <w:r>
              <w:t xml:space="preserve">22,3%</w:t>
            </w:r>
          </w:p>
        </w:tc>
        <w:tc>
          <w:tcPr/>
          <w:p>
            <w:pPr>
              <w:pStyle w:val="Compact"/>
              <w:jc w:val="right"/>
            </w:pPr>
            <w:r>
              <w:t xml:space="preserve">15,3%</w:t>
            </w:r>
          </w:p>
        </w:tc>
      </w:tr>
      <w:tr>
        <w:tc>
          <w:tcPr/>
          <w:p>
            <w:pPr>
              <w:pStyle w:val="Compact"/>
            </w:pPr>
            <w:r>
              <w:t xml:space="preserve">di cui non cercano lavoro</w:t>
            </w:r>
          </w:p>
        </w:tc>
        <w:tc>
          <w:tcPr/>
          <w:p>
            <w:pPr>
              <w:pStyle w:val="Compact"/>
              <w:jc w:val="right"/>
            </w:pPr>
            <w:r>
              <w:rPr>
                <w:b/>
                <w:bCs/>
              </w:rPr>
              <w:t xml:space="preserve">70,6%</w:t>
            </w:r>
          </w:p>
        </w:tc>
        <w:tc>
          <w:tcPr/>
          <w:p>
            <w:pPr>
              <w:pStyle w:val="Compact"/>
              <w:jc w:val="right"/>
            </w:pPr>
            <w:r>
              <w:t xml:space="preserve">64,9%</w:t>
            </w:r>
          </w:p>
        </w:tc>
        <w:tc>
          <w:tcPr/>
          <w:p>
            <w:pPr>
              <w:pStyle w:val="Compact"/>
              <w:jc w:val="right"/>
            </w:pPr>
            <w:r>
              <w:t xml:space="preserve">66,4%</w:t>
            </w:r>
          </w:p>
        </w:tc>
        <w:tc>
          <w:tcPr/>
          <w:p>
            <w:pPr>
              <w:pStyle w:val="Compact"/>
              <w:jc w:val="right"/>
            </w:pPr>
            <w:r>
              <w:t xml:space="preserve">59,8%</w:t>
            </w:r>
          </w:p>
        </w:tc>
      </w:tr>
    </w:tbl>
    <w:p>
      <w:pPr>
        <w:pStyle w:val="BodyText"/>
      </w:pPr>
      <w:r>
        <w:t xml:space="preserve">→</w:t>
      </w:r>
      <w:r>
        <w:t xml:space="preserve"> </w:t>
      </w:r>
      <w:r>
        <w:rPr>
          <w:rStyle w:val="VerbatimChar"/>
        </w:rPr>
        <w:t xml:space="preserve">edu_youth_states_2018_2024.csv</w:t>
      </w:r>
    </w:p>
    <w:p>
      <w:pPr>
        <w:pStyle w:val="BodyText"/>
      </w:pPr>
      <w:r>
        <w:t xml:space="preserve">Il confronto individua subito il punto critico. L’occupazione 15-24 di Bagheria (12,4%) è</w:t>
      </w:r>
      <w:r>
        <w:t xml:space="preserve"> </w:t>
      </w:r>
      <w:r>
        <w:rPr>
          <w:b/>
          <w:bCs/>
        </w:rPr>
        <w:t xml:space="preserve">3,1 punti sotto la Sicilia</w:t>
      </w:r>
      <w:r>
        <w:t xml:space="preserve"> </w:t>
      </w:r>
      <w:r>
        <w:t xml:space="preserve">(15,6%), mentre gli inattivi non studenti (19,0%) sono</w:t>
      </w:r>
      <w:r>
        <w:t xml:space="preserve"> </w:t>
      </w:r>
      <w:r>
        <w:rPr>
          <w:b/>
          <w:bCs/>
        </w:rPr>
        <w:t xml:space="preserve">4,2</w:t>
      </w:r>
      <w:r>
        <w:rPr>
          <w:b/>
          <w:bCs/>
        </w:rPr>
        <w:t xml:space="preserve"> </w:t>
      </w:r>
      <w:r>
        <w:rPr>
          <w:b/>
          <w:bCs/>
        </w:rPr>
        <w:t xml:space="preserve">punti sopra</w:t>
      </w:r>
      <w:r>
        <w:t xml:space="preserve"> </w:t>
      </w:r>
      <w:r>
        <w:t xml:space="preserve">(14,8%). Nel complesso il 26,9% dei giovani è fuori sia dal lavoro sia dallo</w:t>
      </w:r>
      <w:r>
        <w:t xml:space="preserve"> </w:t>
      </w:r>
      <w:r>
        <w:t xml:space="preserve">studio, contro il 22,3% siciliano. →</w:t>
      </w:r>
      <w:r>
        <w:t xml:space="preserve"> </w:t>
      </w:r>
      <w:r>
        <w:rPr>
          <w:rStyle w:val="VerbatimChar"/>
        </w:rPr>
        <w:t xml:space="preserve">edu_kpi_dashboard.csv</w:t>
      </w:r>
    </w:p>
    <w:p>
      <w:pPr>
        <w:pStyle w:val="BodyText"/>
      </w:pPr>
      <w:r>
        <w:t xml:space="preserve">Dentro quel 26,9% sta il dato che orienta tutta la proposta:</w:t>
      </w:r>
      <w:r>
        <w:t xml:space="preserve"> </w:t>
      </w:r>
      <w:r>
        <w:rPr>
          <w:b/>
          <w:bCs/>
        </w:rPr>
        <w:t xml:space="preserve">il 70,6% non è</w:t>
      </w:r>
      <w:r>
        <w:rPr>
          <w:b/>
          <w:bCs/>
        </w:rPr>
        <w:t xml:space="preserve"> </w:t>
      </w:r>
      <w:r>
        <w:rPr>
          <w:b/>
          <w:bCs/>
        </w:rPr>
        <w:t xml:space="preserve">classificato come persona in cerca di occupazione</w:t>
      </w:r>
      <w:r>
        <w:t xml:space="preserve">, più che a Palermo (64,9%), in Sicilia</w:t>
      </w:r>
      <w:r>
        <w:t xml:space="preserve"> </w:t>
      </w:r>
      <w:r>
        <w:t xml:space="preserve">(66,4%) e in Italia (59,8%). Il livello di questa quota dipende dal metodo di stima in</w:t>
      </w:r>
      <w:r>
        <w:t xml:space="preserve"> </w:t>
      </w:r>
      <w:r>
        <w:t xml:space="preserve">vigore dal 2021 (sezione 2.2): si confronta quindi fra territori nello stesso anno, non</w:t>
      </w:r>
      <w:r>
        <w:t xml:space="preserve"> </w:t>
      </w:r>
      <w:r>
        <w:t xml:space="preserve">lungo la serie. Non sono giovani che cercano e non trovano: sono giovani che non arrivano</w:t>
      </w:r>
      <w:r>
        <w:t xml:space="preserve"> </w:t>
      </w:r>
      <w:r>
        <w:t xml:space="preserve">a cercare.</w:t>
      </w:r>
    </w:p>
    <w:p>
      <w:pPr>
        <w:pStyle w:val="BodyText"/>
      </w:pPr>
      <w:r>
        <w:drawing>
          <wp:inline>
            <wp:extent cx="6108700" cy="4106956"/>
            <wp:effectExtent b="0" l="0" r="0" t="0"/>
            <wp:docPr descr="" title="" id="19" name="Picture"/>
            <a:graphic>
              <a:graphicData uri="http://schemas.openxmlformats.org/drawingml/2006/picture">
                <pic:pic>
                  <pic:nvPicPr>
                    <pic:cNvPr descr="/home/kiycoh/Documents/dev/datapolis-2026-hackathon/.docx-build/edu_fig03_composizione.png" id="20" name="Picture"/>
                    <pic:cNvPicPr>
                      <a:picLocks noChangeArrowheads="1" noChangeAspect="1"/>
                    </pic:cNvPicPr>
                  </pic:nvPicPr>
                  <pic:blipFill>
                    <a:blip r:embed="rId18"/>
                    <a:stretch>
                      <a:fillRect/>
                    </a:stretch>
                  </pic:blipFill>
                  <pic:spPr bwMode="auto">
                    <a:xfrm>
                      <a:off x="0" y="0"/>
                      <a:ext cx="6108700" cy="4106956"/>
                    </a:xfrm>
                    <a:prstGeom prst="rect">
                      <a:avLst/>
                    </a:prstGeom>
                    <a:noFill/>
                    <a:ln w="9525">
                      <a:noFill/>
                      <a:headEnd/>
                      <a:tailEnd/>
                    </a:ln>
                  </pic:spPr>
                </pic:pic>
              </a:graphicData>
            </a:graphic>
          </wp:inline>
        </w:drawing>
      </w:r>
    </w:p>
    <w:p>
      <w:pPr>
        <w:pStyle w:val="Didascalia"/>
      </w:pPr>
      <w:r>
        <w:rPr>
          <w:b/>
          <w:bCs/>
        </w:rPr>
        <w:t xml:space="preserve">Figura 1. Come si legge:</w:t>
      </w:r>
      <w:r>
        <w:t xml:space="preserve"> </w:t>
      </w:r>
      <w:r>
        <w:t xml:space="preserve">la pila è appoggiata sugli inattivi non studenti, cioè il segmento di cui parla il claim, così che la sua banda parta dalla linea di base e il suo spessore si legga senza doverlo misurare a metà pila. Lo spessore verticale di ogni banda in un’annata è la quota di quello stato in quell’anno. Le etichette numeriche riportano la prima e l’ultima annata, mentre le intermedie si leggono sullo spessore delle bande. La striscia grigia verticale occupa l’annata mancante: l’asse si comprime, dove c’è la striscia non c’è misura, e il 2020 non è interpolato. Poiché la composizione somma sempre a 100, una banda che si assottiglia può farlo perché quel gruppo si riduce o perché un altro cresce: la scomposizione fra i due effetti sta in edu_fig04. «Inattivi non studenti» sono i 15-24enni che non lavorano, non cercano e non sono in istruzione: vanno letti per quello, non come il NEET ISTAT 15-29, che a livello comunale non è calcolabile su queste annate.</w:t>
      </w:r>
    </w:p>
    <w:p>
      <w:pPr>
        <w:pStyle w:val="Didascalia"/>
      </w:pPr>
      <w:r>
        <w:rPr>
          <w:b/>
          <w:bCs/>
        </w:rPr>
        <w:t xml:space="preserve">Fonte:</w:t>
      </w:r>
      <w:r>
        <w:t xml:space="preserve"> </w:t>
      </w:r>
      <w:r>
        <w:t xml:space="preserve">ISTAT, Censimento permanente della popolazione, tavola della condizione professionale, classe 15-24 anni, 2018-2024 (6.243 residenti nel 2018 e 5.904 nel 2024). Elaborazione: pipeline/edu (thread educazione), data/processed/edu_youth_states_2018_2024.csv.</w:t>
      </w:r>
    </w:p>
    <w:p>
      <w:pPr>
        <w:pStyle w:val="Didascalia"/>
      </w:pPr>
      <w:r>
        <w:rPr>
          <w:i/>
          <w:iCs/>
        </w:rPr>
        <w:t xml:space="preserve">Figura</w:t>
      </w:r>
      <w:r>
        <w:t xml:space="preserve"> </w:t>
      </w:r>
      <w:r>
        <w:rPr>
          <w:rStyle w:val="VerbatimChar"/>
        </w:rPr>
        <w:t xml:space="preserve">edu_fig03_composizione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viz/edu_fig03_composizione.R</w:t>
      </w:r>
      <w:r>
        <w:rPr>
          <w:i/>
          <w:iCs/>
        </w:rPr>
        <w:t xml:space="preserve">.</w:t>
      </w:r>
    </w:p>
    <w:bookmarkEnd w:id="21"/>
    <w:bookmarkStart w:id="25" w:name="il-recupero-cè-la-convergenza-no"/>
    <w:p>
      <w:pPr>
        <w:pStyle w:val="Heading2"/>
      </w:pPr>
      <w:r>
        <w:t xml:space="preserve">2.2 Il recupero c’è, la convergenza no</w:t>
      </w:r>
    </w:p>
    <w:p>
      <w:pPr>
        <w:pStyle w:val="FirstParagraph"/>
      </w:pPr>
      <w:r>
        <w:t xml:space="preserve">Fra il 2018 e il 2024 l’occupazione 15-24 (maschi e femmine insieme) sale dall’8,2% al</w:t>
      </w:r>
      <w:r>
        <w:t xml:space="preserve"> </w:t>
      </w:r>
      <w:r>
        <w:t xml:space="preserve">12,4%. Lo scarto dalla Sicilia, però, è di</w:t>
      </w:r>
      <w:r>
        <w:t xml:space="preserve"> </w:t>
      </w:r>
      <w:r>
        <w:rPr>
          <w:b/>
          <w:bCs/>
        </w:rPr>
        <w:t xml:space="preserve">−3,1 punti sia nel 2018 sia nel 2024</w:t>
      </w:r>
      <w:r>
        <w:t xml:space="preserve">.</w:t>
      </w:r>
      <w:r>
        <w:t xml:space="preserve"> </w:t>
      </w:r>
      <w:r>
        <w:t xml:space="preserve">Bagheria migliora alla velocità del contesto, non di più.</w:t>
      </w:r>
    </w:p>
    <w:p>
      <w:pPr>
        <w:pStyle w:val="BodyText"/>
      </w:pPr>
      <w:r>
        <w:drawing>
          <wp:inline>
            <wp:extent cx="6108700" cy="4187608"/>
            <wp:effectExtent b="0" l="0" r="0" t="0"/>
            <wp:docPr descr="" title="" id="23" name="Picture"/>
            <a:graphic>
              <a:graphicData uri="http://schemas.openxmlformats.org/drawingml/2006/picture">
                <pic:pic>
                  <pic:nvPicPr>
                    <pic:cNvPr descr="/home/kiycoh/Documents/dev/datapolis-2026-hackathon/.docx-build/edu_fig04_scomposizione.png" id="24" name="Picture"/>
                    <pic:cNvPicPr>
                      <a:picLocks noChangeArrowheads="1" noChangeAspect="1"/>
                    </pic:cNvPicPr>
                  </pic:nvPicPr>
                  <pic:blipFill>
                    <a:blip r:embed="rId22"/>
                    <a:stretch>
                      <a:fillRect/>
                    </a:stretch>
                  </pic:blipFill>
                  <pic:spPr bwMode="auto">
                    <a:xfrm>
                      <a:off x="0" y="0"/>
                      <a:ext cx="6108700" cy="4187608"/>
                    </a:xfrm>
                    <a:prstGeom prst="rect">
                      <a:avLst/>
                    </a:prstGeom>
                    <a:noFill/>
                    <a:ln w="9525">
                      <a:noFill/>
                      <a:headEnd/>
                      <a:tailEnd/>
                    </a:ln>
                  </pic:spPr>
                </pic:pic>
              </a:graphicData>
            </a:graphic>
          </wp:inline>
        </w:drawing>
      </w:r>
    </w:p>
    <w:p>
      <w:pPr>
        <w:pStyle w:val="Didascalia"/>
      </w:pPr>
      <w:r>
        <w:rPr>
          <w:b/>
          <w:bCs/>
        </w:rPr>
        <w:t xml:space="preserve">Figura 2. Come si legge:</w:t>
      </w:r>
      <w:r>
        <w:t xml:space="preserve"> </w:t>
      </w:r>
      <w:r>
        <w:t xml:space="preserve">ogni pannello è uno stato e le barre si leggono in cascata: il grigio è l’effetto del restringimento della coorte, il colore è l’effetto del cambiamento del tasso, e la barra vermiglia è la variazione totale, cioè la somma esatta delle due. La riga verticale allo zero separa le variazioni negative dalle positive. Un effetto di popolazione grande con un effetto di tasso piccolo significa che quello stato non si è svuotato per un cambiamento di comportamento, ma perché ci sono meno giovani. La scomposizione è shift-share sui due estremi del periodo: l’effetto popolazione è la variazione della coorte a tasso 2018 fermo, l’effetto tasso è la variazione del tasso applicata alla coorte 2024, e la somma è esatta, con controllo nel notebook. Le variazioni in persone non sommano a zero fra i quattro pannelli, perché la coorte 15-24 si è ristretta (da 6.243 a 5.904 residenti): la loro somma è esattamente l’effetto demografico complessivo, mentre a sommare a zero sono gli effetti di tasso. «Fuori da lavoro e studio» non ha un pannello perché è la somma di «in cerca» e «inattivi non studenti»: vale -764 persone, ma affiancarlo alle sue componenti le conterebbe due volte.</w:t>
      </w:r>
    </w:p>
    <w:p>
      <w:pPr>
        <w:pStyle w:val="Didascalia"/>
      </w:pPr>
      <w:r>
        <w:rPr>
          <w:b/>
          <w:bCs/>
        </w:rPr>
        <w:t xml:space="preserve">Fonte:</w:t>
      </w:r>
      <w:r>
        <w:t xml:space="preserve"> </w:t>
      </w:r>
      <w:r>
        <w:t xml:space="preserve">ISTAT, Censimento permanente della popolazione, tavola della condizione professionale, classe 15-24 anni, 2018 e 2024. Elaborazione: pipeline/edu (thread educazione), data/processed/edu_change_decomposition_2018_2024.csv (con edu_youth_states_2018_2024.csv per la coorte).</w:t>
      </w:r>
    </w:p>
    <w:p>
      <w:pPr>
        <w:pStyle w:val="Didascalia"/>
      </w:pPr>
      <w:r>
        <w:rPr>
          <w:i/>
          <w:iCs/>
        </w:rPr>
        <w:t xml:space="preserve">Figura</w:t>
      </w:r>
      <w:r>
        <w:t xml:space="preserve"> </w:t>
      </w:r>
      <w:r>
        <w:rPr>
          <w:rStyle w:val="VerbatimChar"/>
        </w:rPr>
        <w:t xml:space="preserve">edu_fig04_scomposizione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viz/edu_fig04_scomposizione.R</w:t>
      </w:r>
      <w:r>
        <w:rPr>
          <w:i/>
          <w:iCs/>
        </w:rPr>
        <w:t xml:space="preserve">.</w:t>
      </w:r>
    </w:p>
    <w:p>
      <w:pPr>
        <w:pStyle w:val="BodyText"/>
      </w:pPr>
      <w:r>
        <w:t xml:space="preserve">→</w:t>
      </w:r>
      <w:r>
        <w:t xml:space="preserve"> </w:t>
      </w:r>
      <w:r>
        <w:rPr>
          <w:rStyle w:val="VerbatimChar"/>
        </w:rPr>
        <w:t xml:space="preserve">edu_finding_summary.csv</w:t>
      </w:r>
    </w:p>
    <w:p>
      <w:pPr>
        <w:pStyle w:val="BodyText"/>
      </w:pPr>
      <w:r>
        <w:t xml:space="preserve">Le componenti di chi è fuori da lavoro e studio richiedono una cautela. Fra il 2019 e il</w:t>
      </w:r>
      <w:r>
        <w:t xml:space="preserve"> </w:t>
      </w:r>
      <w:r>
        <w:t xml:space="preserve">2021 cambia la misura della condizione «in cerca di occupazione», e la sua quota cade in</w:t>
      </w:r>
      <w:r>
        <w:t xml:space="preserve"> </w:t>
      </w:r>
      <w:r>
        <w:t xml:space="preserve">un solo passaggio di 7,5 punti a Bagheria e di 7,1 in Sicilia (</w:t>
      </w:r>
      <w:r>
        <w:rPr>
          <w:rStyle w:val="VerbatimChar"/>
        </w:rPr>
        <w:t xml:space="preserve">docs/sources.md</w:t>
      </w:r>
      <w:r>
        <w:t xml:space="preserve"> </w:t>
      </w:r>
      <w:r>
        <w:t xml:space="preserve">§7). Il</w:t>
      </w:r>
      <w:r>
        <w:t xml:space="preserve"> </w:t>
      </w:r>
      <w:r>
        <w:t xml:space="preserve">confronto corretto resta quindi dentro la stessa definizione, cioè nel 2021-2024. In quel</w:t>
      </w:r>
      <w:r>
        <w:t xml:space="preserve"> </w:t>
      </w:r>
      <w:r>
        <w:t xml:space="preserve">periodo</w:t>
      </w:r>
      <w:r>
        <w:t xml:space="preserve"> </w:t>
      </w:r>
      <w:r>
        <w:rPr>
          <w:b/>
          <w:bCs/>
        </w:rPr>
        <w:t xml:space="preserve">chi cerca lavoro scende da 10,6% a 7,9%, gli inattivi non studenti restano fermi</w:t>
      </w:r>
      <w:r>
        <w:rPr>
          <w:b/>
          <w:bCs/>
        </w:rPr>
        <w:t xml:space="preserve"> </w:t>
      </w:r>
      <w:r>
        <w:rPr>
          <w:b/>
          <w:bCs/>
        </w:rPr>
        <w:t xml:space="preserve">(19,2% → 19,0%)</w:t>
      </w:r>
      <w:r>
        <w:t xml:space="preserve">, e il loro scarto dalla Sicilia sale da 2,7 a 4,2 punti. Il</w:t>
      </w:r>
      <w:r>
        <w:t xml:space="preserve"> </w:t>
      </w:r>
      <w:r>
        <w:t xml:space="preserve">miglioramento, dove c’è, non raggiunge chi non cerca. →</w:t>
      </w:r>
      <w:r>
        <w:t xml:space="preserve"> </w:t>
      </w:r>
      <w:r>
        <w:rPr>
          <w:rStyle w:val="VerbatimChar"/>
        </w:rPr>
        <w:t xml:space="preserve">edu_youth_states_2018_2024.csv</w:t>
      </w:r>
    </w:p>
    <w:p>
      <w:pPr>
        <w:pStyle w:val="BodyText"/>
      </w:pPr>
      <w:r>
        <w:t xml:space="preserve">La fascia adulta recupera un po’ più in fretta, ma resta lontana. Fra i 25-49enni la quota</w:t>
      </w:r>
      <w:r>
        <w:t xml:space="preserve"> </w:t>
      </w:r>
      <w:r>
        <w:t xml:space="preserve">con almeno il diploma passa dal 56,2% al 62,4% e l’occupazione dal 43,0% al 53,6%. Gli</w:t>
      </w:r>
      <w:r>
        <w:t xml:space="preserve"> </w:t>
      </w:r>
      <w:r>
        <w:t xml:space="preserve">scarti dalla Sicilia si riducono di 1,1 e 1,6 punti, ma nel 2024 restano</w:t>
      </w:r>
      <w:r>
        <w:t xml:space="preserve"> </w:t>
      </w:r>
      <w:r>
        <w:t xml:space="preserve">rispettivamente di</w:t>
      </w:r>
      <w:r>
        <w:t xml:space="preserve"> </w:t>
      </w:r>
      <w:r>
        <w:rPr>
          <w:b/>
          <w:bCs/>
        </w:rPr>
        <w:t xml:space="preserve">−4,1 e −5,7 punti</w:t>
      </w:r>
      <w:r>
        <w:t xml:space="preserve">. →</w:t>
      </w:r>
      <w:r>
        <w:t xml:space="preserve"> </w:t>
      </w:r>
      <w:r>
        <w:rPr>
          <w:rStyle w:val="VerbatimChar"/>
        </w:rPr>
        <w:t xml:space="preserve">edu_adult_transition_2018_2024.csv</w:t>
      </w:r>
      <w:r>
        <w:t xml:space="preserve">,</w:t>
      </w:r>
      <w:r>
        <w:t xml:space="preserve"> </w:t>
      </w:r>
      <w:r>
        <w:rPr>
          <w:rStyle w:val="VerbatimChar"/>
        </w:rPr>
        <w:t xml:space="preserve">edu_kpi_dashboard.csv</w:t>
      </w:r>
    </w:p>
    <w:bookmarkEnd w:id="25"/>
    <w:bookmarkStart w:id="35" w:name="X77d0757dcbb3c9bcf9b15ce27a89291c6b5b711"/>
    <w:p>
      <w:pPr>
        <w:pStyle w:val="Heading2"/>
      </w:pPr>
      <w:r>
        <w:t xml:space="preserve">2.3 Il lungo periodo: progresso assoluto, arretramento relativo</w:t>
      </w:r>
    </w:p>
    <w:p>
      <w:pPr>
        <w:pStyle w:val="FirstParagraph"/>
      </w:pPr>
      <w:r>
        <w:t xml:space="preserve">I censimenti del 1991, 2001 e 2011, con il ponte verso il censimento permanente, separano</w:t>
      </w:r>
      <w:r>
        <w:t xml:space="preserve"> </w:t>
      </w:r>
      <w:r>
        <w:t xml:space="preserve">due cose che di solito si confondono: Bagheria</w:t>
      </w:r>
      <w:r>
        <w:t xml:space="preserve"> </w:t>
      </w:r>
      <w:r>
        <w:rPr>
          <w:b/>
          <w:bCs/>
        </w:rPr>
        <w:t xml:space="preserve">migliora in assoluto e arretra in</w:t>
      </w:r>
      <w:r>
        <w:rPr>
          <w:b/>
          <w:bCs/>
        </w:rPr>
        <w:t xml:space="preserve"> </w:t>
      </w:r>
      <w:r>
        <w:rPr>
          <w:b/>
          <w:bCs/>
        </w:rPr>
        <w:t xml:space="preserve">posizione</w:t>
      </w:r>
      <w:r>
        <w:t xml:space="preserve">.</w:t>
      </w:r>
    </w:p>
    <w:p>
      <w:pPr>
        <w:pStyle w:val="BodyText"/>
      </w:pPr>
      <w:r>
        <w:drawing>
          <wp:inline>
            <wp:extent cx="6108700" cy="3631081"/>
            <wp:effectExtent b="0" l="0" r="0" t="0"/>
            <wp:docPr descr="" title="" id="27" name="Picture"/>
            <a:graphic>
              <a:graphicData uri="http://schemas.openxmlformats.org/drawingml/2006/picture">
                <pic:pic>
                  <pic:nvPicPr>
                    <pic:cNvPr descr="/home/kiycoh/Documents/dev/datapolis-2026-hackathon/.docx-build/edu_fig01_storia_posizione.png" id="28" name="Picture"/>
                    <pic:cNvPicPr>
                      <a:picLocks noChangeArrowheads="1" noChangeAspect="1"/>
                    </pic:cNvPicPr>
                  </pic:nvPicPr>
                  <pic:blipFill>
                    <a:blip r:embed="rId26"/>
                    <a:stretch>
                      <a:fillRect/>
                    </a:stretch>
                  </pic:blipFill>
                  <pic:spPr bwMode="auto">
                    <a:xfrm>
                      <a:off x="0" y="0"/>
                      <a:ext cx="6108700" cy="3631081"/>
                    </a:xfrm>
                    <a:prstGeom prst="rect">
                      <a:avLst/>
                    </a:prstGeom>
                    <a:noFill/>
                    <a:ln w="9525">
                      <a:noFill/>
                      <a:headEnd/>
                      <a:tailEnd/>
                    </a:ln>
                  </pic:spPr>
                </pic:pic>
              </a:graphicData>
            </a:graphic>
          </wp:inline>
        </w:drawing>
      </w:r>
    </w:p>
    <w:p>
      <w:pPr>
        <w:pStyle w:val="Didascalia"/>
      </w:pPr>
      <w:r>
        <w:rPr>
          <w:b/>
          <w:bCs/>
        </w:rPr>
        <w:t xml:space="preserve">Figura 3. Come si legge:</w:t>
      </w:r>
      <w:r>
        <w:t xml:space="preserve"> </w:t>
      </w:r>
      <w:r>
        <w:t xml:space="preserve">ogni riga è un indicatore e ogni linea segue Bagheria attraverso i tre censimenti: la pendenza è il movimento in graduatoria, non il movimento del valore. Le etichette di fine linea sono scostate in verticale quel tanto che basta a non sovrapporsi: i pallini stanno sul valore vero, le scritte no. Il nome di ogni riga porta il verso dell’indicatore, così non serve ricordarsi quale direzione sia quella buona, e le fasce d’età, diverse da indicatore a indicatore, sono indicate nel nome di ciascuno. Il percentile è calcolato su tutti e 390 i comuni siciliani di quel censimento, senza esclusioni.</w:t>
      </w:r>
    </w:p>
    <w:p>
      <w:pPr>
        <w:pStyle w:val="Didascalia"/>
      </w:pPr>
      <w:r>
        <w:rPr>
          <w:b/>
          <w:bCs/>
        </w:rPr>
        <w:t xml:space="preserve">Fonte:</w:t>
      </w:r>
      <w:r>
        <w:t xml:space="preserve"> </w:t>
      </w:r>
      <w:r>
        <w:t xml:space="preserve">ISTAT, 8milaCensus, censimenti 1991, 2001 e 2011. Il confronto si ferma al 2011, perché 8milaCensus non prosegue oltre e le tavole 2018-2024 hanno definizioni diverse: i due periodi non formano una serie continua. Elaborazione: pipeline/edu (thread educazione), data/processed/edu_historical_bagheria.csv e edu_historical_change_1991_2011.csv.</w:t>
      </w:r>
    </w:p>
    <w:p>
      <w:pPr>
        <w:pStyle w:val="Didascalia"/>
      </w:pPr>
      <w:r>
        <w:rPr>
          <w:i/>
          <w:iCs/>
        </w:rPr>
        <w:t xml:space="preserve">Figura</w:t>
      </w:r>
      <w:r>
        <w:t xml:space="preserve"> </w:t>
      </w:r>
      <w:r>
        <w:rPr>
          <w:rStyle w:val="VerbatimChar"/>
        </w:rPr>
        <w:t xml:space="preserve">edu_fig01_storia_posizione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viz/edu_fig01_storia_posizione.R</w:t>
      </w:r>
      <w:r>
        <w:rPr>
          <w:i/>
          <w:iCs/>
        </w:rPr>
        <w:t xml:space="preserve">.</w:t>
      </w:r>
    </w:p>
    <w:p>
      <w:pPr>
        <w:pStyle w:val="Compact"/>
        <w:numPr>
          <w:ilvl w:val="0"/>
          <w:numId w:val="1005"/>
        </w:numPr>
      </w:pPr>
      <w:r>
        <w:t xml:space="preserve">NEET 15-29: scende dal 42,9% (1991) al 40,1% (2011), ma fra i 390 comuni siciliani</w:t>
      </w:r>
      <w:r>
        <w:t xml:space="preserve"> </w:t>
      </w:r>
      <w:r>
        <w:t xml:space="preserve">Bagheria passa</w:t>
      </w:r>
      <w:r>
        <w:t xml:space="preserve"> </w:t>
      </w:r>
      <w:r>
        <w:rPr>
          <w:b/>
          <w:bCs/>
        </w:rPr>
        <w:t xml:space="preserve">circa dal 17° all’88° percentile</w:t>
      </w:r>
      <w:r>
        <w:t xml:space="preserve">. Qui un percentile alto è</w:t>
      </w:r>
      <w:r>
        <w:t xml:space="preserve"> </w:t>
      </w:r>
      <w:r>
        <w:t xml:space="preserve">sfavorevole: molti altri comuni hanno ridotto il problema molto più in fretta.</w:t>
      </w:r>
      <w:r>
        <w:t xml:space="preserve"> </w:t>
      </w:r>
      <w:r>
        <w:t xml:space="preserve">→</w:t>
      </w:r>
      <w:r>
        <w:t xml:space="preserve"> </w:t>
      </w:r>
      <w:r>
        <w:rPr>
          <w:rStyle w:val="VerbatimChar"/>
        </w:rPr>
        <w:t xml:space="preserve">edu_historical_bagheria.csv</w:t>
      </w:r>
      <w:r>
        <w:t xml:space="preserve">, verifica incrociata in</w:t>
      </w:r>
      <w:r>
        <w:t xml:space="preserve"> </w:t>
      </w:r>
      <w:r>
        <w:rPr>
          <w:rStyle w:val="VerbatimChar"/>
        </w:rPr>
        <w:t xml:space="preserve">notebooks/genere.ipynb</w:t>
      </w:r>
    </w:p>
    <w:p>
      <w:pPr>
        <w:pStyle w:val="Compact"/>
        <w:numPr>
          <w:ilvl w:val="0"/>
          <w:numId w:val="1005"/>
        </w:numPr>
      </w:pPr>
      <w:r>
        <w:t xml:space="preserve">Uscita precoce dalla scuola (</w:t>
      </w:r>
      <w:r>
        <w:rPr>
          <w:rStyle w:val="VerbatimChar"/>
        </w:rPr>
        <w:t xml:space="preserve">I5</w:t>
      </w:r>
      <w:r>
        <w:t xml:space="preserve">, 15-24): scende dal 40,8% al 28,6%. Nei censimenti del</w:t>
      </w:r>
      <w:r>
        <w:t xml:space="preserve"> </w:t>
      </w:r>
      <w:r>
        <w:t xml:space="preserve">1991, 2001 e 2011, però, il percentile passa dal</w:t>
      </w:r>
      <w:r>
        <w:t xml:space="preserve"> </w:t>
      </w:r>
      <w:r>
        <w:rPr>
          <w:b/>
          <w:bCs/>
        </w:rPr>
        <w:t xml:space="preserve">56° al 70° e poi all’83°</w:t>
      </w:r>
      <w:r>
        <w:t xml:space="preserve">, e anche</w:t>
      </w:r>
      <w:r>
        <w:t xml:space="preserve"> </w:t>
      </w:r>
      <w:r>
        <w:t xml:space="preserve">qui un percentile alto è sfavorevole. →</w:t>
      </w:r>
      <w:r>
        <w:t xml:space="preserve"> </w:t>
      </w:r>
      <w:r>
        <w:rPr>
          <w:rStyle w:val="VerbatimChar"/>
        </w:rPr>
        <w:t xml:space="preserve">genere_frattura_istruzione.csv</w:t>
      </w:r>
    </w:p>
    <w:p>
      <w:pPr>
        <w:pStyle w:val="Compact"/>
        <w:numPr>
          <w:ilvl w:val="0"/>
          <w:numId w:val="1005"/>
        </w:numPr>
      </w:pPr>
      <w:r>
        <w:t xml:space="preserve">Occupazione femminile 15+: sale dal 18,1% (2011) al 23,7% (2024), mentre la mediana</w:t>
      </w:r>
      <w:r>
        <w:t xml:space="preserve"> </w:t>
      </w:r>
      <w:r>
        <w:t xml:space="preserve">regionale passa dal 23,6% al 28,3%.</w:t>
      </w:r>
      <w:r>
        <w:t xml:space="preserve"> </w:t>
      </w:r>
      <w:r>
        <w:rPr>
          <w:b/>
          <w:bCs/>
        </w:rPr>
        <w:t xml:space="preserve">Nel 2024 Bagheria arriva dove stava la mediana</w:t>
      </w:r>
      <w:r>
        <w:rPr>
          <w:b/>
          <w:bCs/>
        </w:rPr>
        <w:t xml:space="preserve"> </w:t>
      </w:r>
      <w:r>
        <w:rPr>
          <w:b/>
          <w:bCs/>
        </w:rPr>
        <w:t xml:space="preserve">siciliana nel 2011</w:t>
      </w:r>
      <w:r>
        <w:t xml:space="preserve"> </w:t>
      </w:r>
      <w:r>
        <w:t xml:space="preserve">(fig04). Su questo indicatore il confronto fra le due rilevazioni</w:t>
      </w:r>
      <w:r>
        <w:t xml:space="preserve"> </w:t>
      </w:r>
      <w:r>
        <w:t xml:space="preserve">regge: nel 2018 il censimento permanente dà a Bagheria il 18,8%, a meno di un punto dal</w:t>
      </w:r>
    </w:p>
    <w:p>
      <w:pPr>
        <w:pStyle w:val="Compact"/>
        <w:numPr>
          <w:ilvl w:val="1"/>
          <w:numId w:val="1006"/>
        </w:numPr>
      </w:pPr>
      <w:r>
        <w:t xml:space="preserve">Lo scarto resta entro un punto anche per Palermo, Sicilia e Italia (sezione «Il</w:t>
      </w:r>
      <w:r>
        <w:t xml:space="preserve"> </w:t>
      </w:r>
      <w:r>
        <w:t xml:space="preserve">ponte fra i due censimenti» di</w:t>
      </w:r>
      <w:r>
        <w:t xml:space="preserve"> </w:t>
      </w:r>
      <w:r>
        <w:rPr>
          <w:rStyle w:val="VerbatimChar"/>
        </w:rPr>
        <w:t xml:space="preserve">notebooks/genere.ipynb</w:t>
      </w:r>
      <w:r>
        <w:t xml:space="preserve">).</w:t>
      </w:r>
    </w:p>
    <w:p>
      <w:pPr>
        <w:pStyle w:val="Compact"/>
        <w:numPr>
          <w:ilvl w:val="0"/>
          <w:numId w:val="1005"/>
        </w:numPr>
      </w:pPr>
      <w:r>
        <w:t xml:space="preserve">Graduatoria dell’occupazione femminile: quella dei 390 comuni del 2011 predice quella del</w:t>
      </w:r>
      <w:r>
        <w:t xml:space="preserve"> </w:t>
      </w:r>
      <w:r>
        <w:t xml:space="preserve">2024 con rho di Spearman</w:t>
      </w:r>
      <w:r>
        <w:t xml:space="preserve"> </w:t>
      </w:r>
      <w:r>
        <w:rPr>
          <w:b/>
          <w:bCs/>
        </w:rPr>
        <w:t xml:space="preserve">0,848</w:t>
      </w:r>
      <w:r>
        <w:t xml:space="preserve">, e il 74% del quintile più basso del 2011 è ancora</w:t>
      </w:r>
      <w:r>
        <w:t xml:space="preserve"> </w:t>
      </w:r>
      <w:r>
        <w:t xml:space="preserve">lì, Bagheria compresa. Il posizionamento del 2011 non era una fotografia scaduta, ma una</w:t>
      </w:r>
      <w:r>
        <w:t xml:space="preserve"> </w:t>
      </w:r>
      <w:r>
        <w:t xml:space="preserve">previsione verificata. →</w:t>
      </w:r>
      <w:r>
        <w:t xml:space="preserve"> </w:t>
      </w:r>
      <w:r>
        <w:rPr>
          <w:rStyle w:val="VerbatimChar"/>
        </w:rPr>
        <w:t xml:space="preserve">genere_mappa_2011_2024.csv</w:t>
      </w:r>
      <w:r>
        <w:t xml:space="preserve">, sezione «I claim reggono al</w:t>
      </w:r>
      <w:r>
        <w:t xml:space="preserve"> </w:t>
      </w:r>
      <w:r>
        <w:t xml:space="preserve">2024?» di</w:t>
      </w:r>
      <w:r>
        <w:t xml:space="preserve"> </w:t>
      </w:r>
      <w:r>
        <w:rPr>
          <w:rStyle w:val="VerbatimChar"/>
        </w:rPr>
        <w:t xml:space="preserve">notebooks/genere.ipynb</w:t>
      </w:r>
    </w:p>
    <w:p>
      <w:pPr>
        <w:pStyle w:val="FirstParagraph"/>
      </w:pPr>
      <w:r>
        <w:drawing>
          <wp:inline>
            <wp:extent cx="6108700" cy="7646818"/>
            <wp:effectExtent b="0" l="0" r="0" t="0"/>
            <wp:docPr descr="" title="" id="30" name="Picture"/>
            <a:graphic>
              <a:graphicData uri="http://schemas.openxmlformats.org/drawingml/2006/picture">
                <pic:pic>
                  <pic:nvPicPr>
                    <pic:cNvPr descr="/home/kiycoh/Documents/dev/datapolis-2026-hackathon/.docx-build/fig04_mappa_sicilia.png" id="31" name="Picture"/>
                    <pic:cNvPicPr>
                      <a:picLocks noChangeArrowheads="1" noChangeAspect="1"/>
                    </pic:cNvPicPr>
                  </pic:nvPicPr>
                  <pic:blipFill>
                    <a:blip r:embed="rId29"/>
                    <a:stretch>
                      <a:fillRect/>
                    </a:stretch>
                  </pic:blipFill>
                  <pic:spPr bwMode="auto">
                    <a:xfrm>
                      <a:off x="0" y="0"/>
                      <a:ext cx="6108700" cy="7646818"/>
                    </a:xfrm>
                    <a:prstGeom prst="rect">
                      <a:avLst/>
                    </a:prstGeom>
                    <a:noFill/>
                    <a:ln w="9525">
                      <a:noFill/>
                      <a:headEnd/>
                      <a:tailEnd/>
                    </a:ln>
                  </pic:spPr>
                </pic:pic>
              </a:graphicData>
            </a:graphic>
          </wp:inline>
        </w:drawing>
      </w:r>
    </w:p>
    <w:p>
      <w:pPr>
        <w:pStyle w:val="Didascalia"/>
      </w:pPr>
      <w:r>
        <w:rPr>
          <w:b/>
          <w:bCs/>
        </w:rPr>
        <w:t xml:space="preserve">Figura 4. Come si legge:</w:t>
      </w:r>
      <w:r>
        <w:t xml:space="preserve"> </w:t>
      </w:r>
      <w:r>
        <w:t xml:space="preserve">sulla carta il colore è il valore, su scala continua viridis: più chiaro significa occupazione femminile più alta, e la stessa scala vale per le barre dell’istogramma sotto. Sono etichettati Bagheria (bordo vermiglio) e i cinque comuni più vicini per distanza fra i centroidi (bordo scuro, tutti entro 8,1 km): a questa scala i loro poligoni sono un punto, quindi le sei righe sono raccolte da una graffa sola in mare, ordinate per valore decrescente. Palermo ha bordo viola e un richiamo suo perché non è un vicino ma il termine di paragone. Gli estremi regionali non sono etichettati sulla carta, perché cambiano comune fra le due annate, e si leggono agli estremi dell’istogramma. Misiliscemi, istituito nel 2021 per distacco da Trapani, è disegnato in grigio e resta fuori dai 390 comuni delle due annate: nel 2011 non esisteva e il dato non gli è attribuibile. È l’unica esclusione. Nell’istogramma le barre piene sono il 2024 e il profilo grigio vuoto è il 2011: sono sovrapposti e non affiancati perché il risultato è lo scorrimento dell’intera distribuzione. Le linee verticali tratteggiate sono i valori del 2011 e quelle piene i valori del 2024, in vermiglio per Bagheria e in grigio per la mediana regionale; la freccia vermiglia misura quanto Bagheria si è spostata. Le due annate vengono da due rilevazioni con disegni diversi (universale a questionario il censimento 2011, campionaria sui registri il permanente). Su questo indicatore il confronto fra livelli regge: nel 2018 il permanente dà valori entro un punto da quelli del 2011 su Bagheria, Palermo, Sicilia e Italia (notebooks/genere.ipynb, «Il ponte fra i due censimenti»). Per prudenza la persistenza della graduatoria, in fig04b, usa comunque i percentili. La fascia (15 anni e più) e gli anni sono diversi dalle serie 15-24 del thread: la figura è contesto di lungo periodo, non un termine di paragone. Il riquadro della carta è centrato sulla terraferma e non sull’estensione con tutte le isole minori: restano fuori Lampedusa e Linosa, Pantelleria e Marettimo, che sono comunque nel dato e nell’istogramma, mentre Ustica, Levanzo, Favignana e le Eolie sono in carta.</w:t>
      </w:r>
    </w:p>
    <w:p>
      <w:pPr>
        <w:pStyle w:val="Didascalia"/>
      </w:pPr>
      <w:r>
        <w:rPr>
          <w:b/>
          <w:bCs/>
        </w:rPr>
        <w:t xml:space="preserve">Fonte:</w:t>
      </w:r>
      <w:r>
        <w:t xml:space="preserve"> </w:t>
      </w:r>
      <w:r>
        <w:t xml:space="preserve">ISTAT, 8milaCensus, indicatore L11 (censimento 2011) e Censimento permanente della popolazione (2018-2024, il 2020 manca alla fonte), tasso di occupazione femminile sulla popolazione di 15 anni e più. Confini: ISTAT, unità amministrative generalizzate al 01/01/2026, sistema di riferimento EPSG:32633 (WGS 84 / UTM 33N). Elaborazione: notebooks/genere.ipynb (data/processed/genere_mappa_occupazione_femminile.csv, genere_mappa_2011_2024.csv e genere_distribuzione_390.csv).</w:t>
      </w:r>
    </w:p>
    <w:p>
      <w:pPr>
        <w:pStyle w:val="Didascalia"/>
      </w:pPr>
      <w:r>
        <w:rPr>
          <w:i/>
          <w:iCs/>
        </w:rPr>
        <w:t xml:space="preserve">Figura</w:t>
      </w:r>
      <w:r>
        <w:t xml:space="preserve"> </w:t>
      </w:r>
      <w:r>
        <w:rPr>
          <w:rStyle w:val="VerbatimChar"/>
        </w:rPr>
        <w:t xml:space="preserve">fig04_mappa_sicilia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viz/fig04_mappa_sicilia.R</w:t>
      </w:r>
      <w:r>
        <w:rPr>
          <w:i/>
          <w:iCs/>
        </w:rPr>
        <w:t xml:space="preserve">.</w:t>
      </w:r>
    </w:p>
    <w:p>
      <w:pPr>
        <w:pStyle w:val="Compact"/>
        <w:numPr>
          <w:ilvl w:val="0"/>
          <w:numId w:val="1007"/>
        </w:numPr>
      </w:pPr>
      <w:r>
        <w:t xml:space="preserve">Datazione: i due domini non arretrano allo stesso ritmo. Il muro sull’occupazione</w:t>
      </w:r>
      <w:r>
        <w:t xml:space="preserve"> </w:t>
      </w:r>
      <w:r>
        <w:t xml:space="preserve">femminile si alza</w:t>
      </w:r>
      <w:r>
        <w:t xml:space="preserve"> </w:t>
      </w:r>
      <w:r>
        <w:rPr>
          <w:b/>
          <w:bCs/>
        </w:rPr>
        <w:t xml:space="preserve">nel decennio 2001-2011</w:t>
      </w:r>
      <w:r>
        <w:t xml:space="preserve">: il percentile resta fermo fra il 1991 e il</w:t>
      </w:r>
      <w:r>
        <w:t xml:space="preserve"> </w:t>
      </w:r>
      <w:r>
        <w:t xml:space="preserve">2001, poi crolla, e al 2024 non si è richiuso (fig10). L’uscita precoce invece perde</w:t>
      </w:r>
      <w:r>
        <w:t xml:space="preserve"> </w:t>
      </w:r>
      <w:r>
        <w:t xml:space="preserve">posizione a passo costante già dal 1991, e il dato comunale si ferma al 2011.</w:t>
      </w:r>
      <w:r>
        <w:t xml:space="preserve"> </w:t>
      </w:r>
      <w:r>
        <w:t xml:space="preserve">→</w:t>
      </w:r>
      <w:r>
        <w:t xml:space="preserve"> </w:t>
      </w:r>
      <w:r>
        <w:rPr>
          <w:rStyle w:val="VerbatimChar"/>
        </w:rPr>
        <w:t xml:space="preserve">genere_gap_madri.csv</w:t>
      </w:r>
      <w:r>
        <w:t xml:space="preserve">,</w:t>
      </w:r>
      <w:r>
        <w:t xml:space="preserve"> </w:t>
      </w:r>
      <w:r>
        <w:rPr>
          <w:rStyle w:val="VerbatimChar"/>
        </w:rPr>
        <w:t xml:space="preserve">genere_madri_recente.csv</w:t>
      </w:r>
      <w:r>
        <w:t xml:space="preserve">,</w:t>
      </w:r>
      <w:r>
        <w:t xml:space="preserve"> </w:t>
      </w:r>
      <w:r>
        <w:rPr>
          <w:rStyle w:val="VerbatimChar"/>
        </w:rPr>
        <w:t xml:space="preserve">genere_frattura_istruzione.csv</w:t>
      </w:r>
    </w:p>
    <w:p>
      <w:pPr>
        <w:pStyle w:val="FirstParagraph"/>
      </w:pPr>
      <w:r>
        <w:drawing>
          <wp:inline>
            <wp:extent cx="6108700" cy="4173535"/>
            <wp:effectExtent b="0" l="0" r="0" t="0"/>
            <wp:docPr descr="" title="" id="33" name="Picture"/>
            <a:graphic>
              <a:graphicData uri="http://schemas.openxmlformats.org/drawingml/2006/picture">
                <pic:pic>
                  <pic:nvPicPr>
                    <pic:cNvPr descr="/home/kiycoh/Documents/dev/datapolis-2026-hackathon/.docx-build/fig10_muro_recente.png" id="34" name="Picture"/>
                    <pic:cNvPicPr>
                      <a:picLocks noChangeArrowheads="1" noChangeAspect="1"/>
                    </pic:cNvPicPr>
                  </pic:nvPicPr>
                  <pic:blipFill>
                    <a:blip r:embed="rId32"/>
                    <a:stretch>
                      <a:fillRect/>
                    </a:stretch>
                  </pic:blipFill>
                  <pic:spPr bwMode="auto">
                    <a:xfrm>
                      <a:off x="0" y="0"/>
                      <a:ext cx="6108700" cy="4173535"/>
                    </a:xfrm>
                    <a:prstGeom prst="rect">
                      <a:avLst/>
                    </a:prstGeom>
                    <a:noFill/>
                    <a:ln w="9525">
                      <a:noFill/>
                      <a:headEnd/>
                      <a:tailEnd/>
                    </a:ln>
                  </pic:spPr>
                </pic:pic>
              </a:graphicData>
            </a:graphic>
          </wp:inline>
        </w:drawing>
      </w:r>
    </w:p>
    <w:p>
      <w:pPr>
        <w:pStyle w:val="Didascalia"/>
      </w:pPr>
      <w:r>
        <w:rPr>
          <w:b/>
          <w:bCs/>
        </w:rPr>
        <w:t xml:space="preserve">Figura 5. Come si legge:</w:t>
      </w:r>
      <w:r>
        <w:t xml:space="preserve"> </w:t>
      </w:r>
      <w:r>
        <w:t xml:space="preserve">l’asse del tempo non è in scala: il tratto 1991-2011 è compresso e il tratto 2018-2024 allungato, per dare spazio agli anni con più rilevazioni. Le pendenze si leggono dentro ciascuna epoca, mai fra un’epoca e l’altra. La striscia grigia verticale al centro di ogni pannello è lo stacco fra le due rilevazioni (universale a questionario i censimenti 1991-2011, campionaria sui registri il permanente 2018-2024): non è un’annata mancante, è un cambio di fonte, e nessuna linea lo attraversa. Il percentile è un rango calcolato dentro l’anno e assorbe quindi lo scarto di definizione fra le fonti; i livelli assoluti no, ed è la ragione per cui nel pannello destro le due epoche restano separate. Nei due pannelli di sinistra la riga orizzontale a 50 è la mediana regionale. Nel pannello in alto lo spessore è enfasi e non un dato: occupazione femminile (vermiglio) e maschile (blu) sono le due serie del finding, partecipazione e disoccupazione femminile restano grigie perché sono contesto. Su quelle due serie grigie va usata prudenza fra il 2019 e il 2021, dove il permanente cambia la definizione di «in cerca di occupazione» (a Bagheria la disoccupazione femminile cala di 15,5 punti, in Italia di 4,5); occupazione maschile e femminile non ne risentono. La striscia in basso ha verso opposto ai pannelli sopra, e per questo ha scala e asse propri: l’uscita precoce dalla scuola è un indicatore negativo, quindi più in alto significa peggio. Nel pannello di destra la banda grigia è l’intervallo fra il primo e il terzo quartile delle dieci gemelle, cioè la loro metà centrale, e non è un intervallo di confidenza; la linea grigia dentro la banda è la loro mediana e quella vermiglia è Bagheria. Gemelle = i dieci comuni più simili a Bagheria per dimensione, densità, struttura per età, stranieri, abitazioni e distanza da Palermo, appaiati con distanza di Mahalanobis su variabili che non sono esiti. Il differenziale educativo fra maschi e femmine non è in figura perché esiste solo fino al 2011: 8milaCensus lo calcola sulla popolazione di 6 anni e più, e il permanente non pubblica una classe 15 e più sull’istruzione.</w:t>
      </w:r>
    </w:p>
    <w:p>
      <w:pPr>
        <w:pStyle w:val="Didascalia"/>
      </w:pPr>
      <w:r>
        <w:rPr>
          <w:b/>
          <w:bCs/>
        </w:rPr>
        <w:t xml:space="preserve">Fonte:</w:t>
      </w:r>
      <w:r>
        <w:t xml:space="preserve"> </w:t>
      </w:r>
      <w:r>
        <w:t xml:space="preserve">ISTAT, 8milaCensus (censimenti 1991, 2001 e 2011) e Censimento permanente della popolazione (2018-2024), popolazione di 15 anni e più, 390 comuni ai confini del 2011; per la striscia, l’indicatore I5 di 8milaCensus, cioè la quota di 15-24enni con la sola licenza media e fuori da scuola e formazione. Elaborazione: notebooks/genere.ipynb (data/processed/genere_gap_madri.csv, genere_madri_recente.csv, genere_pretrend_gemelle.csv, genere_pretrend_gemelle_recente.csv e genere_frattura_istruzione.csv).</w:t>
      </w:r>
    </w:p>
    <w:p>
      <w:pPr>
        <w:pStyle w:val="Didascalia"/>
      </w:pPr>
      <w:r>
        <w:rPr>
          <w:i/>
          <w:iCs/>
        </w:rPr>
        <w:t xml:space="preserve">Figura</w:t>
      </w:r>
      <w:r>
        <w:t xml:space="preserve"> </w:t>
      </w:r>
      <w:r>
        <w:rPr>
          <w:rStyle w:val="VerbatimChar"/>
        </w:rPr>
        <w:t xml:space="preserve">fig10_muro_recente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viz/fig10_muro_recente.R</w:t>
      </w:r>
      <w:r>
        <w:rPr>
          <w:i/>
          <w:iCs/>
        </w:rPr>
        <w:t xml:space="preserve">.</w:t>
      </w:r>
    </w:p>
    <w:bookmarkEnd w:id="35"/>
    <w:bookmarkStart w:id="39" w:name="Xc28dcea2fcba05c2b544930557683d153744b2f"/>
    <w:p>
      <w:pPr>
        <w:pStyle w:val="Heading2"/>
      </w:pPr>
      <w:r>
        <w:t xml:space="preserve">2.4 Le lenti di confronto: cosa sopravvive al cambio di «simile»</w:t>
      </w:r>
    </w:p>
    <w:p>
      <w:pPr>
        <w:pStyle w:val="FirstParagraph"/>
      </w:pPr>
      <w:r>
        <w:t xml:space="preserve">Oltre ai tre territori del bando, il benchmarking usa i</w:t>
      </w:r>
      <w:r>
        <w:t xml:space="preserve"> </w:t>
      </w:r>
      <w:r>
        <w:rPr>
          <w:b/>
          <w:bCs/>
        </w:rPr>
        <w:t xml:space="preserve">390 comuni siciliani</w:t>
      </w:r>
      <w:r>
        <w:t xml:space="preserve"> </w:t>
      </w:r>
      <w:r>
        <w:t xml:space="preserve">e due</w:t>
      </w:r>
      <w:r>
        <w:t xml:space="preserve"> </w:t>
      </w:r>
      <w:r>
        <w:t xml:space="preserve">gruppi di comuni pari, costruiti per rispondere a domande diverse. Le</w:t>
      </w:r>
      <w:r>
        <w:t xml:space="preserve"> </w:t>
      </w:r>
      <w:r>
        <w:rPr>
          <w:b/>
          <w:bCs/>
        </w:rPr>
        <w:t xml:space="preserve">10 gemelle</w:t>
      </w:r>
      <w:r>
        <w:rPr>
          <w:b/>
          <w:bCs/>
        </w:rPr>
        <w:t xml:space="preserve"> </w:t>
      </w:r>
      <w:r>
        <w:rPr>
          <w:b/>
          <w:bCs/>
        </w:rPr>
        <w:t xml:space="preserve">strutturali</w:t>
      </w:r>
      <w:r>
        <w:t xml:space="preserve"> </w:t>
      </w:r>
      <w:r>
        <w:t xml:space="preserve">vengono da un matching su dimensione, densità, età, stranieri, abitazioni e</w:t>
      </w:r>
      <w:r>
        <w:t xml:space="preserve"> </w:t>
      </w:r>
      <w:r>
        <w:t xml:space="preserve">distanza da Palermo, mai su esiti. I</w:t>
      </w:r>
      <w:r>
        <w:t xml:space="preserve"> </w:t>
      </w:r>
      <w:r>
        <w:rPr>
          <w:b/>
          <w:bCs/>
        </w:rPr>
        <w:t xml:space="preserve">10 pari a pari istruzione</w:t>
      </w:r>
      <w:r>
        <w:t xml:space="preserve"> </w:t>
      </w:r>
      <w:r>
        <w:t xml:space="preserve">vengono dal thread</w:t>
      </w:r>
      <w:r>
        <w:t xml:space="preserve"> </w:t>
      </w:r>
      <w:r>
        <w:t xml:space="preserve">educazione. I due gruppi si sovrappongono su un solo comune (Misilmeri). La figura di</w:t>
      </w:r>
      <w:r>
        <w:t xml:space="preserve"> </w:t>
      </w:r>
      <w:r>
        <w:t xml:space="preserve">posizionamento (fig08) li mostra affiancati, e da qui viene il criterio di lettura:</w:t>
      </w:r>
      <w:r>
        <w:t xml:space="preserve"> </w:t>
      </w:r>
      <w:r>
        <w:rPr>
          <w:b/>
          <w:bCs/>
        </w:rPr>
        <w:t xml:space="preserve">ciò</w:t>
      </w:r>
      <w:r>
        <w:rPr>
          <w:b/>
          <w:bCs/>
        </w:rPr>
        <w:t xml:space="preserve"> </w:t>
      </w:r>
      <w:r>
        <w:rPr>
          <w:b/>
          <w:bCs/>
        </w:rPr>
        <w:t xml:space="preserve">che si può affermare senza scegliere una lente è ciò che sopravvive a entrambe</w:t>
      </w:r>
      <w:r>
        <w:t xml:space="preserve">. Su 8</w:t>
      </w:r>
      <w:r>
        <w:t xml:space="preserve"> </w:t>
      </w:r>
      <w:r>
        <w:t xml:space="preserve">indicatori, 6 danno lo stesso giudizio.</w:t>
      </w:r>
    </w:p>
    <w:p>
      <w:pPr>
        <w:pStyle w:val="BodyText"/>
      </w:pPr>
      <w:r>
        <w:t xml:space="preserve">Il confronto usa gli indicatori 8milaCensus del 2011, e il numero fra parentesi indica</w:t>
      </w:r>
      <w:r>
        <w:t xml:space="preserve"> </w:t>
      </w:r>
      <w:r>
        <w:t xml:space="preserve">quanti dei 10 comuni pari hanno un valore più basso di Bagheria. Tre tratti reggono in</w:t>
      </w:r>
      <w:r>
        <w:t xml:space="preserve"> </w:t>
      </w:r>
      <w:r>
        <w:t xml:space="preserve">entrambe le letture, e per questo entrano nella proposta. Sono la disoccupazione femminile</w:t>
      </w:r>
      <w:r>
        <w:t xml:space="preserve"> </w:t>
      </w:r>
      <w:r>
        <w:t xml:space="preserve">estrema (8 su 10 sotto Bagheria, in entrambi i gruppi), l’occupazione 15-29 bassa (2 su</w:t>
      </w:r>
      <w:r>
        <w:t xml:space="preserve"> </w:t>
      </w:r>
      <w:r>
        <w:t xml:space="preserve">10) e la quota minima di giovani che vivono da soli (0 su 10).</w:t>
      </w:r>
    </w:p>
    <w:p>
      <w:pPr>
        <w:pStyle w:val="BodyText"/>
      </w:pPr>
      <w:r>
        <w:t xml:space="preserve">La divergenza più informativa riguarda l’occupazione femminile 15+. Fra le gemelle</w:t>
      </w:r>
      <w:r>
        <w:t xml:space="preserve"> </w:t>
      </w:r>
      <w:r>
        <w:t xml:space="preserve">strutturali Bagheria è nella norma (3 su 10 sotto); fra i comuni ugualmente scolarizzati è</w:t>
      </w:r>
      <w:r>
        <w:t xml:space="preserve"> </w:t>
      </w:r>
      <w:r>
        <w:rPr>
          <w:b/>
          <w:bCs/>
        </w:rPr>
        <w:t xml:space="preserve">penultima</w:t>
      </w:r>
      <w:r>
        <w:t xml:space="preserve"> </w:t>
      </w:r>
      <w:r>
        <w:t xml:space="preserve">(1 su 10).</w:t>
      </w:r>
      <w:r>
        <w:t xml:space="preserve"> </w:t>
      </w:r>
      <w:r>
        <w:rPr>
          <w:b/>
          <w:bCs/>
        </w:rPr>
        <w:t xml:space="preserve">A pari istruzione, il lavoro femminile non arriva: non è un</w:t>
      </w:r>
      <w:r>
        <w:rPr>
          <w:b/>
          <w:bCs/>
        </w:rPr>
        <w:t xml:space="preserve"> </w:t>
      </w:r>
      <w:r>
        <w:rPr>
          <w:b/>
          <w:bCs/>
        </w:rPr>
        <w:t xml:space="preserve">tratto di fascia territoriale.</w:t>
      </w:r>
    </w:p>
    <w:p>
      <w:pPr>
        <w:pStyle w:val="BodyText"/>
      </w:pPr>
      <w:r>
        <w:t xml:space="preserve">I modelli comunali del thread educazione confermano il segno: lo scarto fra occupazione</w:t>
      </w:r>
      <w:r>
        <w:t xml:space="preserve"> </w:t>
      </w:r>
      <w:r>
        <w:t xml:space="preserve">giovanile osservata e prevista è di</w:t>
      </w:r>
      <w:r>
        <w:t xml:space="preserve"> </w:t>
      </w:r>
      <w:r>
        <w:rPr>
          <w:b/>
          <w:bCs/>
        </w:rPr>
        <w:t xml:space="preserve">−5,9 punti</w:t>
      </w:r>
      <w:r>
        <w:t xml:space="preserve"> </w:t>
      </w:r>
      <w:r>
        <w:t xml:space="preserve">nel modello di contesto territoriale</w:t>
      </w:r>
      <w:r>
        <w:t xml:space="preserve"> </w:t>
      </w:r>
      <w:r>
        <w:t xml:space="preserve">(intervallo bootstrap da −7,7 a −4,3). Il loro potere esplicativo, però, è quasi nullo:</w:t>
      </w:r>
      <w:r>
        <w:t xml:space="preserve"> </w:t>
      </w:r>
      <w:r>
        <w:t xml:space="preserve">R² in validazione incrociata 0,05 in quel modello, negativo negli altri due, che danno</w:t>
      </w:r>
      <w:r>
        <w:t xml:space="preserve"> </w:t>
      </w:r>
      <w:r>
        <w:t xml:space="preserve">comunque un residuo dello stesso segno. Il risultato si cita quindi come conferma di</w:t>
      </w:r>
      <w:r>
        <w:t xml:space="preserve"> </w:t>
      </w:r>
      <w:r>
        <w:t xml:space="preserve">segno, mai come quantità attribuibile al comune.</w:t>
      </w:r>
    </w:p>
    <w:p>
      <w:pPr>
        <w:pStyle w:val="BodyText"/>
      </w:pPr>
      <w:r>
        <w:drawing>
          <wp:inline>
            <wp:extent cx="6108700" cy="3347742"/>
            <wp:effectExtent b="0" l="0" r="0" t="0"/>
            <wp:docPr descr="" title="" id="37" name="Picture"/>
            <a:graphic>
              <a:graphicData uri="http://schemas.openxmlformats.org/drawingml/2006/picture">
                <pic:pic>
                  <pic:nvPicPr>
                    <pic:cNvPr descr="/home/kiycoh/Documents/dev/datapolis-2026-hackathon/.docx-build/fig08_posizionamento.png" id="38" name="Picture"/>
                    <pic:cNvPicPr>
                      <a:picLocks noChangeArrowheads="1" noChangeAspect="1"/>
                    </pic:cNvPicPr>
                  </pic:nvPicPr>
                  <pic:blipFill>
                    <a:blip r:embed="rId36"/>
                    <a:stretch>
                      <a:fillRect/>
                    </a:stretch>
                  </pic:blipFill>
                  <pic:spPr bwMode="auto">
                    <a:xfrm>
                      <a:off x="0" y="0"/>
                      <a:ext cx="6108700" cy="3347742"/>
                    </a:xfrm>
                    <a:prstGeom prst="rect">
                      <a:avLst/>
                    </a:prstGeom>
                    <a:noFill/>
                    <a:ln w="9525">
                      <a:noFill/>
                      <a:headEnd/>
                      <a:tailEnd/>
                    </a:ln>
                  </pic:spPr>
                </pic:pic>
              </a:graphicData>
            </a:graphic>
          </wp:inline>
        </w:drawing>
      </w:r>
    </w:p>
    <w:p>
      <w:pPr>
        <w:pStyle w:val="Didascalia"/>
      </w:pPr>
      <w:r>
        <w:rPr>
          <w:b/>
          <w:bCs/>
        </w:rPr>
        <w:t xml:space="preserve">Figura 6. Come si legge:</w:t>
      </w:r>
      <w:r>
        <w:t xml:space="preserve"> </w:t>
      </w:r>
      <w:r>
        <w:t xml:space="preserve">ogni riga è un indicatore e i tre pannelli vanno letti in orizzontale, sulla stessa riga. La riga verticale grigia è il riferimento: la mediana del gruppo di pari nei primi due pannelli (5 comuni su 10), la mediana regionale nel terzo (50° percentile). Il segmento va dal riferimento al valore di Bagheria, quindi la sua lunghezza è la distanza dalla mediana. Il colore è un giudizio e non un valore, e compare solo quando Bagheria esce dalla metà centrale del riferimento (oltre i quartili del gruppo nei due pannelli dei pari, sotto il 25° o sopra il 75° percentile nel terzo): vermiglio quando Bagheria sta peggio del riferimento, blu quando sta meglio, grigio quando è nella norma oppure quando l’indicatore non ha un verso «buono», e in quel caso il nome porta un asterisco. Il pallino mostra sempre la posizione, anche quando è grigio. Il verso di ciascun indicatore è fissato nel notebook ed è una scelta interpretativa dichiarata, non un dato. L’ordine delle righe è quello del primo pannello: che il secondo non scenda in modo monotono è il finding, e non serve nessun marcatore in più per vederlo. Che il differenziale educativo cambi lettura fra i due pannelli è atteso e non è un finding, perché il secondo gruppo è appaiato anche sull’istruzione e quindi su quell’asse è simile per costruzione. Pari strutturali = i 10 comuni più simili per dimensione, densità, struttura per età, stranieri, abitazioni e distanza da Palermo; pari per istruzione = i 10 comuni appaiati dal thread educazione con un disegno indipendente, che include il profilo educativo ed esclude gli esiti: rispondono a domande diverse e non vanno mai fusi in una classifica sola. Il residuo del modello citato nel sottotitolo vale -5,9 punti (intervallo bootstrap al 95% da -7,7 a -4,3), ma con un R quadro in validazione incrociata di 0,05 va letto come conferma di segno insieme agli altri pannelli, mai come effetto attribuibile al comune. Le fasce d’età cambiano da indicatore a indicatore, come le pubblica la fonte: 15 anni e più per occupazione e disoccupazione femminile, 6 anni e più per il differenziale educativo, 15-29 per NEET e occupazione giovanile, totale delle famiglie per giovani soli e coppie con figli, totale dei residenti per la mobilità.</w:t>
      </w:r>
    </w:p>
    <w:p>
      <w:pPr>
        <w:pStyle w:val="Didascalia"/>
      </w:pPr>
      <w:r>
        <w:rPr>
          <w:b/>
          <w:bCs/>
        </w:rPr>
        <w:t xml:space="preserve">Fonte:</w:t>
      </w:r>
      <w:r>
        <w:t xml:space="preserve"> </w:t>
      </w:r>
      <w:r>
        <w:t xml:space="preserve">ISTAT, 8milaCensus, censimento 2011, 390 comuni siciliani. Anno e fasce sono diversi dalle serie 15-24 del thread: è il gruppo di controllo storico, mai un termine di paragone con il censimento permanente 2018-2024. Elaborazione: notebooks/genere.ipynb (data/processed/genere_posizionamento.csv e genere_pari_lenti.csv) e pipeline/edu (data/processed/edu_model_robustness_2011.csv).</w:t>
      </w:r>
    </w:p>
    <w:p>
      <w:pPr>
        <w:pStyle w:val="Didascalia"/>
      </w:pPr>
      <w:r>
        <w:rPr>
          <w:i/>
          <w:iCs/>
        </w:rPr>
        <w:t xml:space="preserve">Figura</w:t>
      </w:r>
      <w:r>
        <w:t xml:space="preserve"> </w:t>
      </w:r>
      <w:r>
        <w:rPr>
          <w:rStyle w:val="VerbatimChar"/>
        </w:rPr>
        <w:t xml:space="preserve">fig08_posizionamento</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viz/fig08_posizionamento.R</w:t>
      </w:r>
      <w:r>
        <w:rPr>
          <w:i/>
          <w:iCs/>
        </w:rPr>
        <w:t xml:space="preserve">.</w:t>
      </w:r>
    </w:p>
    <w:p>
      <w:pPr>
        <w:pStyle w:val="BodyText"/>
      </w:pPr>
      <w:r>
        <w:t xml:space="preserve">→</w:t>
      </w:r>
      <w:r>
        <w:t xml:space="preserve"> </w:t>
      </w:r>
      <w:r>
        <w:rPr>
          <w:rStyle w:val="VerbatimChar"/>
        </w:rPr>
        <w:t xml:space="preserve">genere_posizionamento.csv</w:t>
      </w:r>
      <w:r>
        <w:t xml:space="preserve">,</w:t>
      </w:r>
      <w:r>
        <w:t xml:space="preserve"> </w:t>
      </w:r>
      <w:r>
        <w:rPr>
          <w:rStyle w:val="VerbatimChar"/>
        </w:rPr>
        <w:t xml:space="preserve">genere_pari_lenti.csv</w:t>
      </w:r>
      <w:r>
        <w:t xml:space="preserve">,</w:t>
      </w:r>
      <w:r>
        <w:t xml:space="preserve"> </w:t>
      </w:r>
      <w:r>
        <w:rPr>
          <w:rStyle w:val="VerbatimChar"/>
        </w:rPr>
        <w:t xml:space="preserve">edu_model_robustness_2011.csv</w:t>
      </w:r>
    </w:p>
    <w:p>
      <w:r>
        <w:pict>
          <v:rect style="width:0;height:1.5pt" o:hralign="center" o:hrstd="t" o:hr="t"/>
        </w:pict>
      </w:r>
    </w:p>
    <w:bookmarkEnd w:id="39"/>
    <w:bookmarkEnd w:id="40"/>
    <w:bookmarkStart w:id="63" w:name="X3789cd95ef7ee84a34dc0069e2ad0be48916254"/>
    <w:p>
      <w:pPr>
        <w:pStyle w:val="Heading1"/>
      </w:pPr>
      <w:r>
        <w:t xml:space="preserve">3. Il focus di genere: il capitale umano che il territorio spreca di più è femminile</w:t>
      </w:r>
    </w:p>
    <w:bookmarkStart w:id="50" w:name="la-forbice-più-istruite-meno-occupate"/>
    <w:p>
      <w:pPr>
        <w:pStyle w:val="Heading2"/>
      </w:pPr>
      <w:r>
        <w:t xml:space="preserve">3.1 La forbice: più istruite, meno occupate</w:t>
      </w:r>
    </w:p>
    <w:p>
      <w:pPr>
        <w:pStyle w:val="FirstParagraph"/>
      </w:pPr>
      <w:r>
        <w:t xml:space="preserve">Nel 2024, a Bagheria: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Maschi</w:t>
            </w:r>
          </w:p>
        </w:tc>
        <w:tc>
          <w:tcPr/>
          <w:p>
            <w:pPr>
              <w:pStyle w:val="Compact"/>
              <w:jc w:val="right"/>
            </w:pPr>
            <w:r>
              <w:t xml:space="preserve">Femmine</w:t>
            </w:r>
          </w:p>
        </w:tc>
        <w:tc>
          <w:tcPr/>
          <w:p>
            <w:pPr>
              <w:pStyle w:val="Compact"/>
              <w:jc w:val="right"/>
            </w:pPr>
            <w:r>
              <w:t xml:space="preserve">Scarto M − F</w:t>
            </w:r>
          </w:p>
        </w:tc>
      </w:tr>
      <w:tr>
        <w:tc>
          <w:tcPr/>
          <w:p>
            <w:pPr>
              <w:pStyle w:val="Compact"/>
            </w:pPr>
            <w:r>
              <w:t xml:space="preserve">Almeno diploma (9-24)</w:t>
            </w:r>
          </w:p>
        </w:tc>
        <w:tc>
          <w:tcPr/>
          <w:p>
            <w:pPr>
              <w:pStyle w:val="Compact"/>
              <w:jc w:val="right"/>
            </w:pPr>
            <w:r>
              <w:t xml:space="preserve">29,2%</w:t>
            </w:r>
          </w:p>
        </w:tc>
        <w:tc>
          <w:tcPr/>
          <w:p>
            <w:pPr>
              <w:pStyle w:val="Compact"/>
              <w:jc w:val="right"/>
            </w:pPr>
            <w:r>
              <w:t xml:space="preserve">33,4%</w:t>
            </w:r>
          </w:p>
        </w:tc>
        <w:tc>
          <w:tcPr/>
          <w:p>
            <w:pPr>
              <w:pStyle w:val="Compact"/>
              <w:jc w:val="right"/>
            </w:pPr>
            <w:r>
              <w:rPr>
                <w:b/>
                <w:bCs/>
              </w:rPr>
              <w:t xml:space="preserve">−4,2 pp</w:t>
            </w:r>
            <w:r>
              <w:t xml:space="preserve"> </w:t>
            </w:r>
            <w:r>
              <w:t xml:space="preserve">(F avanti)</w:t>
            </w:r>
          </w:p>
        </w:tc>
      </w:tr>
      <w:tr>
        <w:tc>
          <w:tcPr/>
          <w:p>
            <w:pPr>
              <w:pStyle w:val="Compact"/>
            </w:pPr>
            <w:r>
              <w:t xml:space="preserve">Almeno diploma (15-24)</w:t>
            </w:r>
          </w:p>
        </w:tc>
        <w:tc>
          <w:tcPr/>
          <w:p>
            <w:pPr>
              <w:pStyle w:val="Compact"/>
              <w:jc w:val="right"/>
            </w:pPr>
            <w:r>
              <w:t xml:space="preserve">46,2%</w:t>
            </w:r>
          </w:p>
        </w:tc>
        <w:tc>
          <w:tcPr/>
          <w:p>
            <w:pPr>
              <w:pStyle w:val="Compact"/>
              <w:jc w:val="right"/>
            </w:pPr>
            <w:r>
              <w:t xml:space="preserve">51,0%</w:t>
            </w:r>
          </w:p>
        </w:tc>
        <w:tc>
          <w:tcPr/>
          <w:p>
            <w:pPr>
              <w:pStyle w:val="Compact"/>
              <w:jc w:val="right"/>
            </w:pPr>
            <w:r>
              <w:t xml:space="preserve">−4,8 pp (F avanti)</w:t>
            </w:r>
          </w:p>
        </w:tc>
      </w:tr>
      <w:tr>
        <w:tc>
          <w:tcPr/>
          <w:p>
            <w:pPr>
              <w:pStyle w:val="Compact"/>
            </w:pPr>
            <w:r>
              <w:t xml:space="preserve">Occupazione (15-24)</w:t>
            </w:r>
          </w:p>
        </w:tc>
        <w:tc>
          <w:tcPr/>
          <w:p>
            <w:pPr>
              <w:pStyle w:val="Compact"/>
              <w:jc w:val="right"/>
            </w:pPr>
            <w:r>
              <w:t xml:space="preserve">16,5%</w:t>
            </w:r>
          </w:p>
        </w:tc>
        <w:tc>
          <w:tcPr/>
          <w:p>
            <w:pPr>
              <w:pStyle w:val="Compact"/>
              <w:jc w:val="right"/>
            </w:pPr>
            <w:r>
              <w:t xml:space="preserve">8,2%</w:t>
            </w:r>
          </w:p>
        </w:tc>
        <w:tc>
          <w:tcPr/>
          <w:p>
            <w:pPr>
              <w:pStyle w:val="Compact"/>
              <w:jc w:val="right"/>
            </w:pPr>
            <w:r>
              <w:rPr>
                <w:b/>
                <w:bCs/>
              </w:rPr>
              <w:t xml:space="preserve">+8,3 pp</w:t>
            </w:r>
            <w:r>
              <w:t xml:space="preserve"> </w:t>
            </w:r>
            <w:r>
              <w:t xml:space="preserve">(F indietro)</w:t>
            </w:r>
          </w:p>
        </w:tc>
      </w:tr>
    </w:tbl>
    <w:p>
      <w:pPr>
        <w:pStyle w:val="BodyText"/>
      </w:pPr>
      <w:r>
        <w:t xml:space="preserve">→</w:t>
      </w:r>
      <w:r>
        <w:t xml:space="preserve"> </w:t>
      </w:r>
      <w:r>
        <w:rPr>
          <w:rStyle w:val="VerbatimChar"/>
        </w:rPr>
        <w:t xml:space="preserve">genere_quadro_sintesi.csv</w:t>
      </w:r>
      <w:r>
        <w:t xml:space="preserve">,</w:t>
      </w:r>
      <w:r>
        <w:t xml:space="preserve"> </w:t>
      </w:r>
      <w:r>
        <w:rPr>
          <w:rStyle w:val="VerbatimChar"/>
        </w:rPr>
        <w:t xml:space="preserve">genere_forbice_quadrante.csv</w:t>
      </w:r>
    </w:p>
    <w:p>
      <w:pPr>
        <w:pStyle w:val="BodyText"/>
      </w:pPr>
      <w:r>
        <w:drawing>
          <wp:inline>
            <wp:extent cx="6108700" cy="4592105"/>
            <wp:effectExtent b="0" l="0" r="0" t="0"/>
            <wp:docPr descr="" title="" id="42" name="Picture"/>
            <a:graphic>
              <a:graphicData uri="http://schemas.openxmlformats.org/drawingml/2006/picture">
                <pic:pic>
                  <pic:nvPicPr>
                    <pic:cNvPr descr="/home/kiycoh/Documents/dev/datapolis-2026-hackathon/.docx-build/fig05_forbice.png" id="43" name="Picture"/>
                    <pic:cNvPicPr>
                      <a:picLocks noChangeArrowheads="1" noChangeAspect="1"/>
                    </pic:cNvPicPr>
                  </pic:nvPicPr>
                  <pic:blipFill>
                    <a:blip r:embed="rId41"/>
                    <a:stretch>
                      <a:fillRect/>
                    </a:stretch>
                  </pic:blipFill>
                  <pic:spPr bwMode="auto">
                    <a:xfrm>
                      <a:off x="0" y="0"/>
                      <a:ext cx="6108700" cy="4592105"/>
                    </a:xfrm>
                    <a:prstGeom prst="rect">
                      <a:avLst/>
                    </a:prstGeom>
                    <a:noFill/>
                    <a:ln w="9525">
                      <a:noFill/>
                      <a:headEnd/>
                      <a:tailEnd/>
                    </a:ln>
                  </pic:spPr>
                </pic:pic>
              </a:graphicData>
            </a:graphic>
          </wp:inline>
        </w:drawing>
      </w:r>
    </w:p>
    <w:p>
      <w:pPr>
        <w:pStyle w:val="Didascalia"/>
      </w:pPr>
      <w:r>
        <w:rPr>
          <w:b/>
          <w:bCs/>
        </w:rPr>
        <w:t xml:space="preserve">Figura 7. Come si legge:</w:t>
      </w:r>
      <w:r>
        <w:t xml:space="preserve"> </w:t>
      </w:r>
      <w:r>
        <w:t xml:space="preserve">ogni punto è un territorio, e Bagheria è il punto vermiglio più grande. Le due linee tratteggiate chiare sono le mediane dei cinque valori disegnati, e dividono il piano in quadranti: l’angolo in basso a destra è «più istruite della mediana e meno occupate», ed è dove sta Bagheria. Con cinque territori e i loro errori campionari la posizione nel quadrante è una lettura, non un test: il confronto formale sul tasso femminile sta in fig01. La linea tratteggiata verticale allo zero è la parità educativa fra ragazze e ragazzi: a destra di quella riga le ragazze sono più istruite dei coetanei. Con cinque punti la mediana coincide con il punto centrale, quindi due territori siedono esattamente sulle guide. L’etichetta accanto a ogni punto ripete i suoi due valori. Il rapporto fra tasso maschile e femminile non è su questo piano: le tre scale del divario stanno in fig01, e qui l’occupazione è il livello femminile, la scala che regge in ogni annata. Sul vantaggio educativo Bagheria pareggia con la Sicilia, e sulla fascia 18-24 il primato passa ad altri (fig11b): ciò che la figura sostiene è il distacco dal vicinato e la mancata conversione, non il primato assoluto. Vicinato = i cinque comuni più vicini per distanza fra i centroidi, con i conteggi sommati prima dei tassi: sono i tassi del blocco, non la media dei cinque tassi.</w:t>
      </w:r>
    </w:p>
    <w:p>
      <w:pPr>
        <w:pStyle w:val="Didascalia"/>
      </w:pPr>
      <w:r>
        <w:rPr>
          <w:b/>
          <w:bCs/>
        </w:rPr>
        <w:t xml:space="preserve">Fonte:</w:t>
      </w:r>
      <w:r>
        <w:t xml:space="preserve"> </w:t>
      </w:r>
      <w:r>
        <w:t xml:space="preserve">ISTAT, Censimento permanente della popolazione, tavola istruzione, tavola della condizione professionale e demografia per età singola per i denominatori, anno 2024. Elaborazione: notebooks/genere.ipynb (data/processed/genere_forbice_quadrante.csv e genere_per_1000.csv per i denominatori).</w:t>
      </w:r>
    </w:p>
    <w:p>
      <w:pPr>
        <w:pStyle w:val="Didascalia"/>
      </w:pPr>
      <w:r>
        <w:rPr>
          <w:i/>
          <w:iCs/>
        </w:rPr>
        <w:t xml:space="preserve">Figura</w:t>
      </w:r>
      <w:r>
        <w:t xml:space="preserve"> </w:t>
      </w:r>
      <w:r>
        <w:rPr>
          <w:rStyle w:val="VerbatimChar"/>
        </w:rPr>
        <w:t xml:space="preserve">fig05_forbice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viz/fig05_forbice.R</w:t>
      </w:r>
      <w:r>
        <w:rPr>
          <w:i/>
          <w:iCs/>
        </w:rPr>
        <w:t xml:space="preserve">.</w:t>
      </w:r>
    </w:p>
    <w:p>
      <w:pPr>
        <w:pStyle w:val="BodyText"/>
      </w:pPr>
      <w:r>
        <w:t xml:space="preserve">Il diploma compare su due fasce perché la tavola istruzione del censimento permanente</w:t>
      </w:r>
      <w:r>
        <w:t xml:space="preserve"> </w:t>
      </w:r>
      <w:r>
        <w:t xml:space="preserve">comincia a 9 anni. Sulla fascia 9-24 il vantaggio femminile di Bagheria (4,2 punti) è il</w:t>
      </w:r>
      <w:r>
        <w:t xml:space="preserve"> </w:t>
      </w:r>
      <w:r>
        <w:t xml:space="preserve">più ampio del panel: 1,8 punti a Palermo, 2,7 in Sicilia, 2,2 in Italia. Quella fascia,</w:t>
      </w:r>
      <w:r>
        <w:t xml:space="preserve"> </w:t>
      </w:r>
      <w:r>
        <w:t xml:space="preserve">però, comprende età in cui il diploma non può ancora esserci, e il suo valore risente della</w:t>
      </w:r>
      <w:r>
        <w:t xml:space="preserve"> </w:t>
      </w:r>
      <w:r>
        <w:t xml:space="preserve">composizione per età. Sulla</w:t>
      </w:r>
      <w:r>
        <w:t xml:space="preserve"> </w:t>
      </w:r>
      <w:r>
        <w:rPr>
          <w:b/>
          <w:bCs/>
        </w:rPr>
        <w:t xml:space="preserve">stessa fascia 15-24 dell’occupazione</w:t>
      </w:r>
      <w:r>
        <w:t xml:space="preserve"> </w:t>
      </w:r>
      <w:r>
        <w:t xml:space="preserve">il vantaggio è +4,8</w:t>
      </w:r>
      <w:r>
        <w:t xml:space="preserve"> </w:t>
      </w:r>
      <w:r>
        <w:t xml:space="preserve">punti, pari alla Sicilia (+4,7). Il gap di occupazione è di 8,3 punti [IC 95% 6,6-10,0].</w:t>
      </w:r>
      <w:r>
        <w:t xml:space="preserve"> </w:t>
      </w:r>
      <w:r>
        <w:t xml:space="preserve">→</w:t>
      </w:r>
      <w:r>
        <w:t xml:space="preserve"> </w:t>
      </w:r>
      <w:r>
        <w:rPr>
          <w:rStyle w:val="VerbatimChar"/>
        </w:rPr>
        <w:t xml:space="preserve">genere_gap_occupazione_ci.csv</w:t>
      </w:r>
    </w:p>
    <w:p>
      <w:pPr>
        <w:pStyle w:val="BodyText"/>
      </w:pPr>
      <w:r>
        <w:t xml:space="preserve">Il gap si può leggere su più scale (fig01), e un modello lineare di probabilità dice su</w:t>
      </w:r>
      <w:r>
        <w:t xml:space="preserve"> </w:t>
      </w:r>
      <w:r>
        <w:t xml:space="preserve">quale Bagheria è anomala.</w:t>
      </w:r>
      <w:r>
        <w:t xml:space="preserve"> </w:t>
      </w:r>
      <w:r>
        <w:rPr>
          <w:b/>
          <w:bCs/>
        </w:rPr>
        <w:t xml:space="preserve">In punti</w:t>
      </w:r>
      <w:r>
        <w:t xml:space="preserve">, il gap di Bagheria non è un’anomalia locale: sul</w:t>
      </w:r>
      <w:r>
        <w:t xml:space="preserve"> </w:t>
      </w:r>
      <w:r>
        <w:t xml:space="preserve">pooled 2022-24 è 1,1 punti più ampio di quello di Palermo (p=0,03) e 1,8-1,9 punti più</w:t>
      </w:r>
      <w:r>
        <w:t xml:space="preserve"> </w:t>
      </w:r>
      <w:r>
        <w:t xml:space="preserve">stretto di quelli di Sicilia e Italia. Il pooled tratta come indipendenti annate che</w:t>
      </w:r>
      <w:r>
        <w:t xml:space="preserve"> </w:t>
      </w:r>
      <w:r>
        <w:t xml:space="preserve">contano in parte le stesse persone, quindi quel p è ottimistico: sul solo 2024 lo scarto</w:t>
      </w:r>
      <w:r>
        <w:t xml:space="preserve"> </w:t>
      </w:r>
      <w:r>
        <w:t xml:space="preserve">da Palermo non è significativo.</w:t>
      </w:r>
      <w:r>
        <w:t xml:space="preserve"> </w:t>
      </w:r>
      <w:r>
        <w:rPr>
          <w:b/>
          <w:bCs/>
        </w:rPr>
        <w:t xml:space="preserve">In rapporto</w:t>
      </w:r>
      <w:r>
        <w:t xml:space="preserve"> </w:t>
      </w:r>
      <w:r>
        <w:t xml:space="preserve">Bagheria è la peggiore del panel (M/F =</w:t>
      </w:r>
      <w:r>
        <w:t xml:space="preserve"> </w:t>
      </w:r>
      <w:r>
        <w:t xml:space="preserve">2,01 contro 1,56 nazionale), ma il rapporto oscilla da un’annata all’altra.</w:t>
      </w:r>
    </w:p>
    <w:p>
      <w:pPr>
        <w:pStyle w:val="BodyText"/>
      </w:pPr>
      <w:r>
        <w:rPr>
          <w:b/>
          <w:bCs/>
        </w:rPr>
        <w:t xml:space="preserve">Il tratto locale è il livello: il tasso di occupazione femminile all’8,2% [Wilson</w:t>
      </w:r>
      <w:r>
        <w:rPr>
          <w:b/>
          <w:bCs/>
        </w:rPr>
        <w:t xml:space="preserve"> </w:t>
      </w:r>
      <w:r>
        <w:rPr>
          <w:b/>
          <w:bCs/>
        </w:rPr>
        <w:t xml:space="preserve">7,2-9,2] è il minimo dei quattro territori in tutte e 6 le annate disponibili.</w:t>
      </w:r>
      <w:r>
        <w:t xml:space="preserve"> </w:t>
      </w:r>
      <w:r>
        <w:t xml:space="preserve">La</w:t>
      </w:r>
      <w:r>
        <w:t xml:space="preserve"> </w:t>
      </w:r>
      <w:r>
        <w:t xml:space="preserve">differenza è testata: il tasso è sotto Palermo di 1,2 punti, sotto la Sicilia di 1,9 e</w:t>
      </w:r>
      <w:r>
        <w:t xml:space="preserve"> </w:t>
      </w:r>
      <w:r>
        <w:t xml:space="preserve">sotto l’Italia di 8,9 (p &lt; 0,001, pooled 2022-24). Anche il tasso maschile è il più basso</w:t>
      </w:r>
      <w:r>
        <w:t xml:space="preserve"> </w:t>
      </w:r>
      <w:r>
        <w:t xml:space="preserve">del panel in 5 annate su 6, ma a pochi decimi da Palermo; il distacco femminile è più</w:t>
      </w:r>
      <w:r>
        <w:t xml:space="preserve"> </w:t>
      </w:r>
      <w:r>
        <w:t xml:space="preserve">ampio (nel 2024 −1,4 punti da Palermo, contro −0,1 dei maschi, sezione 3.1-bis). Il gap</w:t>
      </w:r>
      <w:r>
        <w:t xml:space="preserve"> </w:t>
      </w:r>
      <w:r>
        <w:t xml:space="preserve">in punti tende ad allargarsi, con una stima di +0,21 punti l’anno sul 2018-2024. Su sei</w:t>
      </w:r>
      <w:r>
        <w:t xml:space="preserve"> </w:t>
      </w:r>
      <w:r>
        <w:t xml:space="preserve">annate, però, ciascuna con la propria variabilità, la tendenza non è acquisita: è una</w:t>
      </w:r>
      <w:r>
        <w:t xml:space="preserve"> </w:t>
      </w:r>
      <w:r>
        <w:t xml:space="preserve">direzione, non un risultato.</w:t>
      </w:r>
      <w:r>
        <w:t xml:space="preserve"> </w:t>
      </w:r>
      <w:r>
        <w:t xml:space="preserve">→ sezioni «Punti percentuali o rapporto?», «Modello lineare di probabilità» e «Trend</w:t>
      </w:r>
      <w:r>
        <w:t xml:space="preserve"> </w:t>
      </w:r>
      <w:r>
        <w:t xml:space="preserve">2018-2024» di</w:t>
      </w:r>
      <w:r>
        <w:t xml:space="preserve"> </w:t>
      </w:r>
      <w:r>
        <w:rPr>
          <w:rStyle w:val="VerbatimChar"/>
        </w:rPr>
        <w:t xml:space="preserve">notebooks/genere.ipynb</w:t>
      </w:r>
    </w:p>
    <w:p>
      <w:pPr>
        <w:pStyle w:val="BodyText"/>
      </w:pPr>
      <w:r>
        <w:drawing>
          <wp:inline>
            <wp:extent cx="6108700" cy="2600191"/>
            <wp:effectExtent b="0" l="0" r="0" t="0"/>
            <wp:docPr descr="" title="" id="45" name="Picture"/>
            <a:graphic>
              <a:graphicData uri="http://schemas.openxmlformats.org/drawingml/2006/picture">
                <pic:pic>
                  <pic:nvPicPr>
                    <pic:cNvPr descr="/home/kiycoh/Documents/dev/datapolis-2026-hackathon/.docx-build/fig01_gap_tre_scale.png" id="46" name="Picture"/>
                    <pic:cNvPicPr>
                      <a:picLocks noChangeArrowheads="1" noChangeAspect="1"/>
                    </pic:cNvPicPr>
                  </pic:nvPicPr>
                  <pic:blipFill>
                    <a:blip r:embed="rId44"/>
                    <a:stretch>
                      <a:fillRect/>
                    </a:stretch>
                  </pic:blipFill>
                  <pic:spPr bwMode="auto">
                    <a:xfrm>
                      <a:off x="0" y="0"/>
                      <a:ext cx="6108700" cy="2600191"/>
                    </a:xfrm>
                    <a:prstGeom prst="rect">
                      <a:avLst/>
                    </a:prstGeom>
                    <a:noFill/>
                    <a:ln w="9525">
                      <a:noFill/>
                      <a:headEnd/>
                      <a:tailEnd/>
                    </a:ln>
                  </pic:spPr>
                </pic:pic>
              </a:graphicData>
            </a:graphic>
          </wp:inline>
        </w:drawing>
      </w:r>
    </w:p>
    <w:p>
      <w:pPr>
        <w:pStyle w:val="Didascalia"/>
      </w:pPr>
      <w:r>
        <w:rPr>
          <w:b/>
          <w:bCs/>
        </w:rPr>
        <w:t xml:space="preserve">Figura 8. Come si legge:</w:t>
      </w:r>
      <w:r>
        <w:t xml:space="preserve"> </w:t>
      </w:r>
      <w:r>
        <w:t xml:space="preserve">la striscia grigia verticale fra il 2019 e il 2021 occupa l’annata mancante: il 2020 manca alla fonte sulla classe 15-24 in tutti i territori, la serie resta interrotta e nessun valore è interpolato. Nel pannello centrale la riga tratteggiata orizzontale a 1,0 è la parità fra i due tassi. Le bande del primo pannello sono l’intervallo di confidenza al 95% di Newcombe sulla differenza fra due proporzioni, costruito sui limiti di Wilson dei due tassi; sul secondo e sul terzo pannello la banda manca perché l’intervallo esportato è quello della differenza, e ricalcolarlo in R sposterebbe una trasformazione fuori dalla pipeline. Bagheria è in vermiglio, Palermo in viola, la Sicilia in ambra, l’Italia in grigio, il vicinato in verde acqua; blu e rosa restano riservati a maschi e femmine nelle altre figure di questa cartella. Il divario in punti è compresso dai livelli bassi: dove lavorano poche persone di entrambi i generi la differenza assoluta resta piccola anche a parità di svantaggio relativo, ed è la ragione per cui il primo pannello mette Bagheria in posizione apparentemente buona. Sul livello Bagheria è ultima in ogni annata, ma per poco: nel 2023 sono 8,0% contro 8,1%, quindi a distinguere Bagheria è il livello, non lo scarto in graduatoria. Vicinato = i cinque comuni più vicini per distanza fra i centroidi, con i conteggi sommati prima del rapporto; le serie dei singoli comuni stanno in genere_gap_occupazione_ci_vicini.csv, dove su 10-28 mila abitanti gli intervalli sono larghi il quintuplo.</w:t>
      </w:r>
    </w:p>
    <w:p>
      <w:pPr>
        <w:pStyle w:val="Didascalia"/>
      </w:pPr>
      <w:r>
        <w:rPr>
          <w:b/>
          <w:bCs/>
        </w:rPr>
        <w:t xml:space="preserve">Fonte:</w:t>
      </w:r>
      <w:r>
        <w:t xml:space="preserve"> </w:t>
      </w:r>
      <w:r>
        <w:t xml:space="preserve">ISTAT, Censimento permanente della popolazione, tavola della condizione professionale, classe 15-24 anni, 2018-2024. Elaborazione: notebooks/genere.ipynb (data/processed/genere_gap_occupazione_ci.csv, genere_gap_occupazione_ci_vicini.csv e genere_platea.csv).</w:t>
      </w:r>
    </w:p>
    <w:p>
      <w:pPr>
        <w:pStyle w:val="Didascalia"/>
      </w:pPr>
      <w:r>
        <w:rPr>
          <w:i/>
          <w:iCs/>
        </w:rPr>
        <w:t xml:space="preserve">Figura</w:t>
      </w:r>
      <w:r>
        <w:t xml:space="preserve"> </w:t>
      </w:r>
      <w:r>
        <w:rPr>
          <w:rStyle w:val="VerbatimChar"/>
        </w:rPr>
        <w:t xml:space="preserve">fig01_gap_tre_scale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viz/fig01_gap_tre_scale.R</w:t>
      </w:r>
      <w:r>
        <w:rPr>
          <w:i/>
          <w:iCs/>
        </w:rPr>
        <w:t xml:space="preserve">.</w:t>
      </w:r>
    </w:p>
    <w:p>
      <w:pPr>
        <w:pStyle w:val="BodyText"/>
      </w:pPr>
      <w:r>
        <w:t xml:space="preserve">Il primato vale nel panel, non in tutta la Sicilia. Fra i 34 comuni siciliani con un</w:t>
      </w:r>
      <w:r>
        <w:t xml:space="preserve"> </w:t>
      </w:r>
      <w:r>
        <w:t xml:space="preserve">numero di ragazze 15-24 fra la metà e il doppio di quello di Bagheria (Bagheria compresa),</w:t>
      </w:r>
      <w:r>
        <w:t xml:space="preserve"> </w:t>
      </w:r>
      <w:r>
        <w:t xml:space="preserve">il comune è</w:t>
      </w:r>
      <w:r>
        <w:t xml:space="preserve"> </w:t>
      </w:r>
      <w:r>
        <w:rPr>
          <w:b/>
          <w:bCs/>
        </w:rPr>
        <w:t xml:space="preserve">secondo dal basso</w:t>
      </w:r>
      <w:r>
        <w:t xml:space="preserve"> </w:t>
      </w:r>
      <w:r>
        <w:t xml:space="preserve">(mediana 10,6%), fra tutti i 390 comuni è 112° dal</w:t>
      </w:r>
      <w:r>
        <w:t xml:space="preserve"> </w:t>
      </w:r>
      <w:r>
        <w:t xml:space="preserve">basso (mediana 9,7%). Sui 390 la posizione è meno estrema perché molti comuni piccoli</w:t>
      </w:r>
      <w:r>
        <w:t xml:space="preserve"> </w:t>
      </w:r>
      <w:r>
        <w:t xml:space="preserve">stanno sotto.</w:t>
      </w:r>
      <w:r>
        <w:t xml:space="preserve"> </w:t>
      </w:r>
      <w:r>
        <w:t xml:space="preserve">→</w:t>
      </w:r>
      <w:r>
        <w:t xml:space="preserve"> </w:t>
      </w:r>
      <w:r>
        <w:rPr>
          <w:rStyle w:val="VerbatimChar"/>
        </w:rPr>
        <w:t xml:space="preserve">genere_rango_390_15_24.csv</w:t>
      </w:r>
      <w:r>
        <w:t xml:space="preserve">; sezione «Bagheria è anomala fra i comuni siciliani?» di</w:t>
      </w:r>
      <w:r>
        <w:t xml:space="preserve"> </w:t>
      </w:r>
      <w:r>
        <w:rPr>
          <w:rStyle w:val="VerbatimChar"/>
        </w:rPr>
        <w:t xml:space="preserve">notebooks/genere.ipynb</w:t>
      </w:r>
    </w:p>
    <w:p>
      <w:pPr>
        <w:pStyle w:val="BodyText"/>
      </w:pPr>
      <w:r>
        <w:t xml:space="preserve">Anche il vantaggio femminile nell’istruzione va letto con cura. Le ragazze di Bagheria sono</w:t>
      </w:r>
      <w:r>
        <w:t xml:space="preserve"> </w:t>
      </w:r>
      <w:r>
        <w:t xml:space="preserve">più istruite dei coetanei su ogni fascia, ma il loro vantaggio sui coetanei non è più ampio</w:t>
      </w:r>
      <w:r>
        <w:t xml:space="preserve"> </w:t>
      </w:r>
      <w:r>
        <w:t xml:space="preserve">di quello siciliano su ogni fascia: sulla 18-24 Sicilia e Italia hanno un vantaggio</w:t>
      </w:r>
      <w:r>
        <w:t xml:space="preserve"> </w:t>
      </w:r>
      <w:r>
        <w:t xml:space="preserve">femminile più ampio. Su ogni fascia regge invece</w:t>
      </w:r>
      <w:r>
        <w:t xml:space="preserve"> </w:t>
      </w:r>
      <w:r>
        <w:t xml:space="preserve">la coppia</w:t>
      </w:r>
      <w:r>
        <w:t xml:space="preserve"> </w:t>
      </w:r>
      <w:r>
        <w:rPr>
          <w:b/>
          <w:bCs/>
        </w:rPr>
        <w:t xml:space="preserve">distacco dal vicinato e mancata conversione</w:t>
      </w:r>
      <w:r>
        <w:t xml:space="preserve">. Sui 18-24 il vantaggio femminile</w:t>
      </w:r>
      <w:r>
        <w:t xml:space="preserve"> </w:t>
      </w:r>
      <w:r>
        <w:t xml:space="preserve">è di +5,7 punti a Bagheria contro +2,5 nei cinque comuni più vicini; il tasso di</w:t>
      </w:r>
      <w:r>
        <w:t xml:space="preserve"> </w:t>
      </w:r>
      <w:r>
        <w:t xml:space="preserve">occupazione femminile, invece, è il più basso del panel.</w:t>
      </w:r>
    </w:p>
    <w:p>
      <w:pPr>
        <w:pStyle w:val="BodyText"/>
      </w:pPr>
      <w:r>
        <w:t xml:space="preserve">Su 1.000 ragazze 15-24 di Bagheria, 510 hanno almeno il diploma e 82 lavorano; fra i</w:t>
      </w:r>
      <w:r>
        <w:t xml:space="preserve"> </w:t>
      </w:r>
      <w:r>
        <w:t xml:space="preserve">coetanei, 462 e 165 (fig11). Le due barre della figura hanno la stessa base ma</w:t>
      </w:r>
      <w:r>
        <w:t xml:space="preserve"> </w:t>
      </w:r>
      <w:r>
        <w:rPr>
          <w:b/>
          <w:bCs/>
        </w:rPr>
        <w:t xml:space="preserve">non sono</w:t>
      </w:r>
      <w:r>
        <w:rPr>
          <w:b/>
          <w:bCs/>
        </w:rPr>
        <w:t xml:space="preserve"> </w:t>
      </w:r>
      <w:r>
        <w:rPr>
          <w:b/>
          <w:bCs/>
        </w:rPr>
        <w:t xml:space="preserve">un funnel</w:t>
      </w:r>
      <w:r>
        <w:t xml:space="preserve">: non dicono quante diplomate lavorano, perché l’incrocio individuale non è</w:t>
      </w:r>
      <w:r>
        <w:t xml:space="preserve"> </w:t>
      </w:r>
      <w:r>
        <w:t xml:space="preserve">pubblicato. I margini fissano solo un tetto (sezione 4).</w:t>
      </w:r>
      <w:r>
        <w:t xml:space="preserve"> </w:t>
      </w:r>
      <w:r>
        <w:t xml:space="preserve">→</w:t>
      </w:r>
      <w:r>
        <w:t xml:space="preserve"> </w:t>
      </w:r>
      <w:r>
        <w:rPr>
          <w:rStyle w:val="VerbatimChar"/>
        </w:rPr>
        <w:t xml:space="preserve">genere_per_1000.csv</w:t>
      </w:r>
      <w:r>
        <w:t xml:space="preserve">,</w:t>
      </w:r>
      <w:r>
        <w:t xml:space="preserve"> </w:t>
      </w:r>
      <w:r>
        <w:rPr>
          <w:rStyle w:val="VerbatimChar"/>
        </w:rPr>
        <w:t xml:space="preserve">genere_forbice_quadrante.csv</w:t>
      </w:r>
    </w:p>
    <w:p>
      <w:pPr>
        <w:pStyle w:val="BodyText"/>
      </w:pPr>
      <w:r>
        <w:drawing>
          <wp:inline>
            <wp:extent cx="6108700" cy="3639702"/>
            <wp:effectExtent b="0" l="0" r="0" t="0"/>
            <wp:docPr descr="" title="" id="48" name="Picture"/>
            <a:graphic>
              <a:graphicData uri="http://schemas.openxmlformats.org/drawingml/2006/picture">
                <pic:pic>
                  <pic:nvPicPr>
                    <pic:cNvPr descr="/home/kiycoh/Documents/dev/datapolis-2026-hackathon/.docx-build/fig11_per_1000.png" id="49" name="Picture"/>
                    <pic:cNvPicPr>
                      <a:picLocks noChangeArrowheads="1" noChangeAspect="1"/>
                    </pic:cNvPicPr>
                  </pic:nvPicPr>
                  <pic:blipFill>
                    <a:blip r:embed="rId47"/>
                    <a:stretch>
                      <a:fillRect/>
                    </a:stretch>
                  </pic:blipFill>
                  <pic:spPr bwMode="auto">
                    <a:xfrm>
                      <a:off x="0" y="0"/>
                      <a:ext cx="6108700" cy="3639702"/>
                    </a:xfrm>
                    <a:prstGeom prst="rect">
                      <a:avLst/>
                    </a:prstGeom>
                    <a:noFill/>
                    <a:ln w="9525">
                      <a:noFill/>
                      <a:headEnd/>
                      <a:tailEnd/>
                    </a:ln>
                  </pic:spPr>
                </pic:pic>
              </a:graphicData>
            </a:graphic>
          </wp:inline>
        </w:drawing>
      </w:r>
    </w:p>
    <w:p>
      <w:pPr>
        <w:pStyle w:val="Didascalia"/>
      </w:pPr>
      <w:r>
        <w:rPr>
          <w:b/>
          <w:bCs/>
        </w:rPr>
        <w:t xml:space="preserve">Figura 9. Come si legge:</w:t>
      </w:r>
      <w:r>
        <w:t xml:space="preserve"> </w:t>
      </w:r>
      <w:r>
        <w:t xml:space="preserve">ogni riga è un territorio e la linea verticale scura al centro è la spina della farfalla, cioè lo zero. L’ala rosa verso sinistra è il valore femminile, quella blu verso destra il maschile: la coordinata è negativa a sinistra solo per costruire la farfalla, e l’asse riporta i valori assoluti. Le due ali partono entrambe dalla spina e condividono la base, quindi sono rispecchiate e non troncate, ed è ciò che rende corretto confrontarle a colpo d’occhio; ogni ala ha però il suo denominatore (1.000 ragazze a sinistra, 1.000 ragazzi a destra), così le due lunghezze restano confrontabili anche dove le due popolazioni non sono uguali. La scala orizzontale è la stessa nei due pannelli, apposta: che il lavoro sia una frazione del diploma è metà del finding, e due scale libere lo cancellerebbero. Il rovesciamento della forma fra il pannello di sopra e quello di sotto è la forbice. I due pannelli sono affiancati e non incatenati perché l’incrocio fra titolo di studio e condizione professionale non è pubblicato a livello comunale: chi lavora non è un sottoinsieme di chi ha il diploma, e non sono stadi di un percorso. L’attainment letto sulla fascia in cui il diploma è già raggiungibile (18-24) sta in fig11b. Vicinato = i cinque comuni più vicini per distanza fra i centroidi: conteggi sommati e poi le quote, non media dei cinque valori.</w:t>
      </w:r>
    </w:p>
    <w:p>
      <w:pPr>
        <w:pStyle w:val="Didascalia"/>
      </w:pPr>
      <w:r>
        <w:rPr>
          <w:b/>
          <w:bCs/>
        </w:rPr>
        <w:t xml:space="preserve">Fonte:</w:t>
      </w:r>
      <w:r>
        <w:t xml:space="preserve"> </w:t>
      </w:r>
      <w:r>
        <w:t xml:space="preserve">ISTAT, Censimento permanente della popolazione, tavola istruzione (fascia 9-24 anni), tavola della condizione professionale (classe 15-24 anni) e demografia per età singola per i denominatori, anno 2024. Elaborazione: notebooks/genere.ipynb (data/processed/genere_per_1000.csv).</w:t>
      </w:r>
    </w:p>
    <w:p>
      <w:pPr>
        <w:pStyle w:val="Didascalia"/>
      </w:pPr>
      <w:r>
        <w:rPr>
          <w:i/>
          <w:iCs/>
        </w:rPr>
        <w:t xml:space="preserve">Figura</w:t>
      </w:r>
      <w:r>
        <w:t xml:space="preserve"> </w:t>
      </w:r>
      <w:r>
        <w:rPr>
          <w:rStyle w:val="VerbatimChar"/>
        </w:rPr>
        <w:t xml:space="preserve">fig11_per_1000</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viz/fig11_per_1000.R</w:t>
      </w:r>
      <w:r>
        <w:rPr>
          <w:i/>
          <w:iCs/>
        </w:rPr>
        <w:t xml:space="preserve">.</w:t>
      </w:r>
    </w:p>
    <w:p>
      <w:pPr>
        <w:pStyle w:val="BodyText"/>
      </w:pPr>
      <w:r>
        <w:t xml:space="preserve">A 15-24 anni, però, la forbice si osserverebbe anche se il vantaggio si convertisse più</w:t>
      </w:r>
      <w:r>
        <w:t xml:space="preserve"> </w:t>
      </w:r>
      <w:r>
        <w:t xml:space="preserve">tardi. Le ragazze studiano più a lungo (studentesse il 65,1% contro il 56,4% dei</w:t>
      </w:r>
      <w:r>
        <w:t xml:space="preserve"> </w:t>
      </w:r>
      <w:r>
        <w:t xml:space="preserve">coetanei), quindi a quell’età lavorano meno per costruzione. La prova della mancata</w:t>
      </w:r>
      <w:r>
        <w:t xml:space="preserve"> </w:t>
      </w:r>
      <w:r>
        <w:t xml:space="preserve">conversione va cercata dopo il percorso formativo (sezione 3.1-bis).</w:t>
      </w:r>
      <w:r>
        <w:t xml:space="preserve"> </w:t>
      </w:r>
      <w:r>
        <w:t xml:space="preserve">→</w:t>
      </w:r>
      <w:r>
        <w:t xml:space="preserve"> </w:t>
      </w:r>
      <w:r>
        <w:rPr>
          <w:rStyle w:val="VerbatimChar"/>
        </w:rPr>
        <w:t xml:space="preserve">genere_composizione_stato.csv</w:t>
      </w:r>
    </w:p>
    <w:bookmarkEnd w:id="50"/>
    <w:bookmarkStart w:id="51" w:name="X5d60b0d35766642cafeec3cf48dfc0fe94e3dd4"/>
    <w:p>
      <w:pPr>
        <w:pStyle w:val="Heading2"/>
      </w:pPr>
      <w:r>
        <w:t xml:space="preserve">3.1-bis Dopo i 25 anni il divario non si chiude, e diventa locale</w:t>
      </w:r>
    </w:p>
    <w:p>
      <w:pPr>
        <w:pStyle w:val="FirstParagraph"/>
      </w:pPr>
      <w:r>
        <w:t xml:space="preserve">Sul 15-24 due ipotesi sono compatibili con gli stessi dati. La prima è il</w:t>
      </w:r>
      <w:r>
        <w:t xml:space="preserve"> </w:t>
      </w:r>
      <w:r>
        <w:rPr>
          <w:b/>
          <w:bCs/>
        </w:rPr>
        <w:t xml:space="preserve">ritardo</w:t>
      </w:r>
      <w:r>
        <w:t xml:space="preserve">: le</w:t>
      </w:r>
      <w:r>
        <w:t xml:space="preserve"> </w:t>
      </w:r>
      <w:r>
        <w:t xml:space="preserve">ragazze studiano più a lungo e recuperano dopo. La seconda è la</w:t>
      </w:r>
      <w:r>
        <w:t xml:space="preserve"> </w:t>
      </w:r>
      <w:r>
        <w:rPr>
          <w:b/>
          <w:bCs/>
        </w:rPr>
        <w:t xml:space="preserve">mancata conversione</w:t>
      </w:r>
      <w:r>
        <w:t xml:space="preserve">:</w:t>
      </w:r>
      <w:r>
        <w:t xml:space="preserve"> </w:t>
      </w:r>
      <w:r>
        <w:t xml:space="preserve">finito lo studio, il lavoro non arriva. Per distinguerle serve guardare oltre la fascia</w:t>
      </w:r>
      <w:r>
        <w:t xml:space="preserve"> </w:t>
      </w:r>
      <w:r>
        <w:t xml:space="preserve">target. La tavola lavoro comunale ha una sola classe adulta sotto i 50 anni, 25-49: qui non</w:t>
      </w:r>
      <w:r>
        <w:t xml:space="preserve"> </w:t>
      </w:r>
      <w:r>
        <w:t xml:space="preserve">fa da proxy dei giovani, ma da test di che cosa succede dopo.</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Scarto di Bagheria sul tasso di occupazione, 2024 (punti)</w:t>
            </w:r>
          </w:p>
        </w:tc>
        <w:tc>
          <w:tcPr/>
          <w:p>
            <w:pPr>
              <w:pStyle w:val="Compact"/>
              <w:jc w:val="right"/>
            </w:pPr>
            <w:r>
              <w:t xml:space="preserve">F vs Palermo</w:t>
            </w:r>
          </w:p>
        </w:tc>
        <w:tc>
          <w:tcPr/>
          <w:p>
            <w:pPr>
              <w:pStyle w:val="Compact"/>
              <w:jc w:val="right"/>
            </w:pPr>
            <w:r>
              <w:t xml:space="preserve">M vs Palermo</w:t>
            </w:r>
          </w:p>
        </w:tc>
        <w:tc>
          <w:tcPr/>
          <w:p>
            <w:pPr>
              <w:pStyle w:val="Compact"/>
              <w:jc w:val="right"/>
            </w:pPr>
            <w:r>
              <w:t xml:space="preserve">F vs Sicilia</w:t>
            </w:r>
          </w:p>
        </w:tc>
        <w:tc>
          <w:tcPr/>
          <w:p>
            <w:pPr>
              <w:pStyle w:val="Compact"/>
              <w:jc w:val="right"/>
            </w:pPr>
            <w:r>
              <w:t xml:space="preserve">M vs Sicilia</w:t>
            </w:r>
          </w:p>
        </w:tc>
      </w:tr>
      <w:tr>
        <w:tc>
          <w:tcPr/>
          <w:p>
            <w:pPr>
              <w:pStyle w:val="Compact"/>
            </w:pPr>
            <w:r>
              <w:t xml:space="preserve">15-24</w:t>
            </w:r>
          </w:p>
        </w:tc>
        <w:tc>
          <w:tcPr/>
          <w:p>
            <w:pPr>
              <w:pStyle w:val="Compact"/>
              <w:jc w:val="right"/>
            </w:pPr>
            <w:r>
              <w:t xml:space="preserve">−1,4</w:t>
            </w:r>
          </w:p>
        </w:tc>
        <w:tc>
          <w:tcPr/>
          <w:p>
            <w:pPr>
              <w:pStyle w:val="Compact"/>
              <w:jc w:val="right"/>
            </w:pPr>
            <w:r>
              <w:t xml:space="preserve">−0,1</w:t>
            </w:r>
          </w:p>
        </w:tc>
        <w:tc>
          <w:tcPr/>
          <w:p>
            <w:pPr>
              <w:pStyle w:val="Compact"/>
              <w:jc w:val="right"/>
            </w:pPr>
            <w:r>
              <w:t xml:space="preserve">−2,2</w:t>
            </w:r>
          </w:p>
        </w:tc>
        <w:tc>
          <w:tcPr/>
          <w:p>
            <w:pPr>
              <w:pStyle w:val="Compact"/>
              <w:jc w:val="right"/>
            </w:pPr>
            <w:r>
              <w:t xml:space="preserve">−3,8</w:t>
            </w:r>
          </w:p>
        </w:tc>
      </w:tr>
      <w:tr>
        <w:tc>
          <w:tcPr/>
          <w:p>
            <w:pPr>
              <w:pStyle w:val="Compact"/>
            </w:pPr>
            <w:r>
              <w:t xml:space="preserve">25-49</w:t>
            </w:r>
          </w:p>
        </w:tc>
        <w:tc>
          <w:tcPr/>
          <w:p>
            <w:pPr>
              <w:pStyle w:val="Compact"/>
              <w:jc w:val="right"/>
            </w:pPr>
            <w:r>
              <w:rPr>
                <w:b/>
                <w:bCs/>
              </w:rPr>
              <w:t xml:space="preserve">−8,4</w:t>
            </w:r>
          </w:p>
        </w:tc>
        <w:tc>
          <w:tcPr/>
          <w:p>
            <w:pPr>
              <w:pStyle w:val="Compact"/>
              <w:jc w:val="right"/>
            </w:pPr>
            <w:r>
              <w:t xml:space="preserve">−1,3</w:t>
            </w:r>
          </w:p>
        </w:tc>
        <w:tc>
          <w:tcPr/>
          <w:p>
            <w:pPr>
              <w:pStyle w:val="Compact"/>
              <w:jc w:val="right"/>
            </w:pPr>
            <w:r>
              <w:rPr>
                <w:b/>
                <w:bCs/>
              </w:rPr>
              <w:t xml:space="preserve">−8,0</w:t>
            </w:r>
          </w:p>
        </w:tc>
        <w:tc>
          <w:tcPr/>
          <w:p>
            <w:pPr>
              <w:pStyle w:val="Compact"/>
              <w:jc w:val="right"/>
            </w:pPr>
            <w:r>
              <w:t xml:space="preserve">−3,1</w:t>
            </w:r>
          </w:p>
        </w:tc>
      </w:tr>
    </w:tbl>
    <w:p>
      <w:pPr>
        <w:pStyle w:val="BodyText"/>
      </w:pPr>
      <w:r>
        <w:t xml:space="preserve">Fino ai 24 anni lo scarto dalla Sicilia non è di genere: i ragazzi, anzi, stanno più</w:t>
      </w:r>
      <w:r>
        <w:t xml:space="preserve"> </w:t>
      </w:r>
      <w:r>
        <w:t xml:space="preserve">indietro delle ragazze. Da Palermo le ragazze distano di più, ma di poco più di un punto.</w:t>
      </w:r>
      <w:r>
        <w:t xml:space="preserve"> </w:t>
      </w:r>
      <w:r>
        <w:t xml:space="preserve">Fra i 25 e i 49 anni lo scarto diventa femminile, e largo, rispetto a entrambi. Le donne di Bagheria</w:t>
      </w:r>
      <w:r>
        <w:t xml:space="preserve"> </w:t>
      </w:r>
      <w:r>
        <w:t xml:space="preserve">lavorano al 39,6% contro il 48,0% di Palermo e il 47,6% della Sicilia, gli uomini al 67,7%.</w:t>
      </w:r>
      <w:r>
        <w:t xml:space="preserve"> </w:t>
      </w:r>
      <w:r>
        <w:t xml:space="preserve">Lo scarto femminile sta fra −8,0 e −10,2 punti in ogni anno dal 2018 e non è un effetto</w:t>
      </w:r>
      <w:r>
        <w:t xml:space="preserve"> </w:t>
      </w:r>
      <w:r>
        <w:t xml:space="preserve">della composizione per età. Al tasso femminile di Palermo le occupate 25-49 sarebbero</w:t>
      </w:r>
      <w:r>
        <w:t xml:space="preserve"> </w:t>
      </w:r>
      <w:r>
        <w:rPr>
          <w:b/>
          <w:bCs/>
        </w:rPr>
        <w:t xml:space="preserve">695</w:t>
      </w:r>
      <w:r>
        <w:rPr>
          <w:b/>
          <w:bCs/>
        </w:rPr>
        <w:t xml:space="preserve"> </w:t>
      </w:r>
      <w:r>
        <w:rPr>
          <w:b/>
          <w:bCs/>
        </w:rPr>
        <w:t xml:space="preserve">in più</w:t>
      </w:r>
      <w:r>
        <w:t xml:space="preserve">, contro le 40 in più della fascia 15-24. A Bagheria le casalinghe sono il 42,2%</w:t>
      </w:r>
      <w:r>
        <w:t xml:space="preserve"> </w:t>
      </w:r>
      <w:r>
        <w:t xml:space="preserve">delle donne 25-49 (Palermo 33,8%, Sicilia 33,2%, Italia 18,1%). →</w:t>
      </w:r>
      <w:r>
        <w:t xml:space="preserve"> </w:t>
      </w:r>
      <w:r>
        <w:rPr>
          <w:rStyle w:val="VerbatimChar"/>
        </w:rPr>
        <w:t xml:space="preserve">genere_dopo_25.csv</w:t>
      </w:r>
      <w:r>
        <w:t xml:space="preserve">,</w:t>
      </w:r>
      <w:r>
        <w:t xml:space="preserve"> </w:t>
      </w:r>
      <w:r>
        <w:rPr>
          <w:rStyle w:val="VerbatimChar"/>
        </w:rPr>
        <w:t xml:space="preserve">genere_dopo_25_scarti.csv</w:t>
      </w:r>
      <w:r>
        <w:t xml:space="preserve">, fig13b</w:t>
      </w:r>
    </w:p>
    <w:p>
      <w:pPr>
        <w:pStyle w:val="BodyText"/>
      </w:pPr>
      <w:r>
        <w:rPr>
          <w:b/>
          <w:bCs/>
        </w:rPr>
        <w:t xml:space="preserve">La generazione giovane non ne è risparmiata.</w:t>
      </w:r>
      <w:r>
        <w:t xml:space="preserve"> </w:t>
      </w:r>
      <w:r>
        <w:t xml:space="preserve">La classe 25-49 mescola chi ha appena</w:t>
      </w:r>
      <w:r>
        <w:t xml:space="preserve"> </w:t>
      </w:r>
      <w:r>
        <w:t xml:space="preserve">finito di studiare con le generazioni precedenti, e sul 50-64 lo scarto femminile è ancora</w:t>
      </w:r>
      <w:r>
        <w:t xml:space="preserve"> </w:t>
      </w:r>
      <w:r>
        <w:t xml:space="preserve">più ampio. Lo scarto del 25-49 potrebbe quindi appartenere solo alle donne più anziane, e</w:t>
      </w:r>
      <w:r>
        <w:t xml:space="preserve"> </w:t>
      </w:r>
      <w:r>
        <w:t xml:space="preserve">il ricambio delle coorti permette di verificarlo. Se lo scarto fosse tutto delle donne che</w:t>
      </w:r>
      <w:r>
        <w:t xml:space="preserve"> </w:t>
      </w:r>
      <w:r>
        <w:t xml:space="preserve">nel 2018 avevano 35-49 anni, il ricambio l’avrebbe portato nel 2024 a −6,3 punti da</w:t>
      </w:r>
      <w:r>
        <w:t xml:space="preserve"> </w:t>
      </w:r>
      <w:r>
        <w:t xml:space="preserve">Palermo; è a −8,4 (z −3,3). Le nate dal 1984 in poi portano uno scarto di circa −6 punti,</w:t>
      </w:r>
      <w:r>
        <w:t xml:space="preserve"> </w:t>
      </w:r>
      <w:r>
        <w:t xml:space="preserve">i coetanei maschi −0,4.</w:t>
      </w:r>
      <w:r>
        <w:t xml:space="preserve"> </w:t>
      </w:r>
      <w:r>
        <w:rPr>
          <w:b/>
          <w:bCs/>
        </w:rPr>
        <w:t xml:space="preserve">Cautela.</w:t>
      </w:r>
      <w:r>
        <w:t xml:space="preserve"> </w:t>
      </w:r>
      <w:r>
        <w:t xml:space="preserve">Il test non separa l’età dalla coorte, e lo scarto per</w:t>
      </w:r>
      <w:r>
        <w:t xml:space="preserve"> </w:t>
      </w:r>
      <w:r>
        <w:t xml:space="preserve">generazione viene da un modello a due gradini: si cita come ordine di grandezza.</w:t>
      </w:r>
    </w:p>
    <w:p>
      <w:pPr>
        <w:pStyle w:val="BodyText"/>
      </w:pPr>
      <w:r>
        <w:t xml:space="preserve">A scala regionale, su un’altra fonte, il NEET femminile cambia posizione rispetto a quello</w:t>
      </w:r>
      <w:r>
        <w:t xml:space="preserve"> </w:t>
      </w:r>
      <w:r>
        <w:t xml:space="preserve">maschile fra le due fasce.</w:t>
      </w:r>
      <w:r>
        <w:t xml:space="preserve"> </w:t>
      </w:r>
      <w:r>
        <w:t xml:space="preserve">In Sicilia, nel 2024, la rilevazione sulle forze di lavoro lo dà sotto quello maschile a 15-24 anni</w:t>
      </w:r>
      <w:r>
        <w:t xml:space="preserve"> </w:t>
      </w:r>
      <w:r>
        <w:t xml:space="preserve">(17,4% contro 21,5%) e quasi il doppio a 25-34 (52,2% contro 28,9%, ricavato per</w:t>
      </w:r>
      <w:r>
        <w:t xml:space="preserve"> </w:t>
      </w:r>
      <w:r>
        <w:t xml:space="preserve">differenza). →</w:t>
      </w:r>
      <w:r>
        <w:t xml:space="preserve"> </w:t>
      </w:r>
      <w:r>
        <w:rPr>
          <w:rStyle w:val="VerbatimChar"/>
        </w:rPr>
        <w:t xml:space="preserve">genere_dopo_25_generazioni.csv</w:t>
      </w:r>
      <w:r>
        <w:t xml:space="preserve">,</w:t>
      </w:r>
      <w:r>
        <w:t xml:space="preserve"> </w:t>
      </w:r>
      <w:r>
        <w:rPr>
          <w:rStyle w:val="VerbatimChar"/>
        </w:rPr>
        <w:t xml:space="preserve">genere_neet_25_34.csv</w:t>
      </w:r>
      <w:r>
        <w:t xml:space="preserve">; sezioni «Dopo i</w:t>
      </w:r>
      <w:r>
        <w:t xml:space="preserve"> </w:t>
      </w:r>
      <w:r>
        <w:t xml:space="preserve">25 anni» e «La generazione successiva» di</w:t>
      </w:r>
      <w:r>
        <w:t xml:space="preserve"> </w:t>
      </w:r>
      <w:r>
        <w:rPr>
          <w:rStyle w:val="VerbatimChar"/>
        </w:rPr>
        <w:t xml:space="preserve">notebooks/genere.ipynb</w:t>
      </w:r>
    </w:p>
    <w:p>
      <w:pPr>
        <w:pStyle w:val="BodyText"/>
      </w:pPr>
      <w:r>
        <w:t xml:space="preserve">Per la proposta la conseguenza è di perimetro. La parte più grande del problema femminile</w:t>
      </w:r>
      <w:r>
        <w:t xml:space="preserve"> </w:t>
      </w:r>
      <w:r>
        <w:t xml:space="preserve">di Bagheria riguarda donne sopra i 25 anni. La classe 25-49 dice che il problema c’è, ma</w:t>
      </w:r>
      <w:r>
        <w:t xml:space="preserve"> </w:t>
      </w:r>
      <w:r>
        <w:t xml:space="preserve">non permette di seguirlo età per età, né di isolare i 26-34enni del bando (sezione 7).</w:t>
      </w:r>
    </w:p>
    <w:bookmarkEnd w:id="51"/>
    <w:bookmarkStart w:id="55" w:name="X71d93bd3470cbad8fd0c7718d53669c4dabcaf7"/>
    <w:p>
      <w:pPr>
        <w:pStyle w:val="Heading2"/>
      </w:pPr>
      <w:r>
        <w:t xml:space="preserve">3.2 Dentro l’inattività: le casalinghe ventenni, non sposate</w:t>
      </w:r>
    </w:p>
    <w:p>
      <w:pPr>
        <w:pStyle w:val="FirstParagraph"/>
      </w:pPr>
      <w:r>
        <w:t xml:space="preserve">Nelle stime del censimento risulta</w:t>
      </w:r>
      <w:r>
        <w:t xml:space="preserve"> </w:t>
      </w:r>
      <w:r>
        <w:rPr>
          <w:b/>
          <w:bCs/>
        </w:rPr>
        <w:t xml:space="preserve">casalinga</w:t>
      </w:r>
      <w:r>
        <w:t xml:space="preserve"> </w:t>
      </w:r>
      <w:r>
        <w:t xml:space="preserve">il 13,4% delle ragazze 15-24 di Bagheria,</w:t>
      </w:r>
      <w:r>
        <w:t xml:space="preserve"> </w:t>
      </w:r>
      <w:r>
        <w:t xml:space="preserve">387 persone, contro l’11,3% di Palermo, il 10,1% della Sicilia e il 4,6% dell’Italia. Il</w:t>
      </w:r>
      <w:r>
        <w:t xml:space="preserve"> </w:t>
      </w:r>
      <w:r>
        <w:t xml:space="preserve">livello tiene nel tempo: dal 2021 la quota sta fra il 12,8% e il 14,8%.</w:t>
      </w:r>
    </w:p>
    <w:p>
      <w:pPr>
        <w:pStyle w:val="BodyText"/>
      </w:pPr>
      <w:r>
        <w:rPr>
          <w:b/>
          <w:bCs/>
        </w:rPr>
        <w:t xml:space="preserve">È una stima, non un conteggio né una dichiarazione.</w:t>
      </w:r>
      <w:r>
        <w:t xml:space="preserve"> </w:t>
      </w:r>
      <w:r>
        <w:t xml:space="preserve">Dal 2021 ISTAT stabilisce chi è</w:t>
      </w:r>
      <w:r>
        <w:t xml:space="preserve"> </w:t>
      </w:r>
      <w:r>
        <w:t xml:space="preserve">occupato; per chi non lo è, stima con un modello la probabilità di ciascuna altra</w:t>
      </w:r>
      <w:r>
        <w:t xml:space="preserve"> </w:t>
      </w:r>
      <w:r>
        <w:t xml:space="preserve">condizione. Il modello è un logit multinomiale addestrato sulle risposte del campione</w:t>
      </w:r>
      <w:r>
        <w:t xml:space="preserve"> </w:t>
      </w:r>
      <w:r>
        <w:t xml:space="preserve">censuario, con covariate amministrative come età, istruzione, segnali di lavoro, pensione e</w:t>
      </w:r>
      <w:r>
        <w:t xml:space="preserve"> </w:t>
      </w:r>
      <w:r>
        <w:t xml:space="preserve">redditi. Il numero comunale è la somma di quelle probabilità, a Bagheria 386,84 ragazze, e</w:t>
      </w:r>
      <w:r>
        <w:t xml:space="preserve"> </w:t>
      </w:r>
      <w:r>
        <w:t xml:space="preserve">il suo errore standard non è calcolato. La natura di stima si vede nei dati: sui 390</w:t>
      </w:r>
      <w:r>
        <w:t xml:space="preserve"> </w:t>
      </w:r>
      <w:r>
        <w:t xml:space="preserve">comuni, dal 2021 le celle di occupati e residenti sono tutte intere, quelle di tutte le</w:t>
      </w:r>
      <w:r>
        <w:t xml:space="preserve"> </w:t>
      </w:r>
      <w:r>
        <w:t xml:space="preserve">altre condizioni quasi mai. Nel 2018-2019, con un altro metodo, erano tutte intere.</w:t>
      </w:r>
    </w:p>
    <w:p>
      <w:pPr>
        <w:pStyle w:val="BodyText"/>
      </w:pPr>
      <w:r>
        <w:t xml:space="preserve">Ne seguono tre conseguenze. La prima: nessuna covariata del modello misura il lavoro</w:t>
      </w:r>
      <w:r>
        <w:t xml:space="preserve"> </w:t>
      </w:r>
      <w:r>
        <w:t xml:space="preserve">domestico, quindi «casalinga» è l’etichetta che la stima assegna, non una misura della</w:t>
      </w:r>
      <w:r>
        <w:t xml:space="preserve"> </w:t>
      </w:r>
      <w:r>
        <w:t xml:space="preserve">cura. La seconda: la serie si legge solo dal 2021, perché fra il 2019 e il 2021, in</w:t>
      </w:r>
      <w:r>
        <w:t xml:space="preserve"> </w:t>
      </w:r>
      <w:r>
        <w:t xml:space="preserve">corrispondenza del cambio di metodo, la quota dei comuni di taglia simile salta in mediana</w:t>
      </w:r>
      <w:r>
        <w:t xml:space="preserve"> </w:t>
      </w:r>
      <w:r>
        <w:t xml:space="preserve">di 2,87 punti. La terza: la stabilità della quota dal 2021 è in parte costruita dal metodo,</w:t>
      </w:r>
      <w:r>
        <w:t xml:space="preserve"> </w:t>
      </w:r>
      <w:r>
        <w:t xml:space="preserve">che fra le covariate usa le stime comunali del censimento precedente.</w:t>
      </w:r>
      <w:r>
        <w:t xml:space="preserve"> </w:t>
      </w:r>
      <w:r>
        <w:t xml:space="preserve">→</w:t>
      </w:r>
      <w:r>
        <w:t xml:space="preserve"> </w:t>
      </w:r>
      <w:r>
        <w:rPr>
          <w:rStyle w:val="VerbatimChar"/>
        </w:rPr>
        <w:t xml:space="preserve">genere_interi_condizione.csv</w:t>
      </w:r>
      <w:r>
        <w:t xml:space="preserve">, sezione «Il KPI si può misurare?» di</w:t>
      </w:r>
      <w:r>
        <w:t xml:space="preserve"> </w:t>
      </w:r>
      <w:r>
        <w:rPr>
          <w:rStyle w:val="VerbatimChar"/>
        </w:rPr>
        <w:t xml:space="preserve">notebooks/genere.ipynb</w:t>
      </w:r>
      <w:r>
        <w:t xml:space="preserve">; fonti del metodo: metadati ESMS del censimento 2021 (ISTAT per</w:t>
      </w:r>
      <w:r>
        <w:t xml:space="preserve"> </w:t>
      </w:r>
      <w:r>
        <w:t xml:space="preserve">Eurostat) e Chianella, Ciccaglioni, Ercolani, RIEDS 2024</w:t>
      </w:r>
    </w:p>
    <w:p>
      <w:pPr>
        <w:pStyle w:val="BodyText"/>
      </w:pPr>
      <w:r>
        <w:t xml:space="preserve">La tavola non dà l’età dentro la fascia, e sull’aggregato pesano le 15-17enni, quasi tutte</w:t>
      </w:r>
      <w:r>
        <w:t xml:space="preserve"> </w:t>
      </w:r>
      <w:r>
        <w:t xml:space="preserve">studenti. Due casi limite: se nessuna delle 387 avesse meno di 18 anni, la quota sulle</w:t>
      </w:r>
      <w:r>
        <w:t xml:space="preserve"> </w:t>
      </w:r>
      <w:r>
        <w:t xml:space="preserve">18-24enni sarebbe del 18,8%; se nessuna ne avesse meno di 20, sarebbe del 25,8% sulle</w:t>
      </w:r>
      <w:r>
        <w:t xml:space="preserve"> </w:t>
      </w:r>
      <w:r>
        <w:t xml:space="preserve">20-24enni. Rispetto all’incidenza italiana, l’eccesso vale 255 ragazze.</w:t>
      </w:r>
      <w:r>
        <w:t xml:space="preserve"> </w:t>
      </w:r>
      <w:r>
        <w:t xml:space="preserve">→</w:t>
      </w:r>
      <w:r>
        <w:t xml:space="preserve"> </w:t>
      </w:r>
      <w:r>
        <w:rPr>
          <w:rStyle w:val="VerbatimChar"/>
        </w:rPr>
        <w:t xml:space="preserve">genere_casalinghe.csv</w:t>
      </w:r>
      <w:r>
        <w:t xml:space="preserve">,</w:t>
      </w:r>
      <w:r>
        <w:t xml:space="preserve"> </w:t>
      </w:r>
      <w:r>
        <w:rPr>
          <w:rStyle w:val="VerbatimChar"/>
        </w:rPr>
        <w:t xml:space="preserve">genere_casalinghe_bounds.csv</w:t>
      </w:r>
    </w:p>
    <w:p>
      <w:pPr>
        <w:pStyle w:val="BodyText"/>
      </w:pPr>
      <w:r>
        <w:t xml:space="preserve">Chi sono queste ragazze? Il canale del matrimonio precoce</w:t>
      </w:r>
      <w:r>
        <w:t xml:space="preserve"> </w:t>
      </w:r>
      <w:r>
        <w:rPr>
          <w:b/>
          <w:bCs/>
        </w:rPr>
        <w:t xml:space="preserve">non regge i numeri</w:t>
      </w:r>
      <w:r>
        <w:t xml:space="preserve">. Al</w:t>
      </w:r>
      <w:r>
        <w:t xml:space="preserve"> </w:t>
      </w:r>
      <w:r>
        <w:t xml:space="preserve">1.1.2025 le già coniugate 15-24 sono 41 (1,4%) contro 387 casalinghe:</w:t>
      </w:r>
      <w:r>
        <w:t xml:space="preserve"> </w:t>
      </w:r>
      <w:r>
        <w:rPr>
          <w:b/>
          <w:bCs/>
        </w:rPr>
        <w:t xml:space="preserve">almeno l’89% delle</w:t>
      </w:r>
      <w:r>
        <w:rPr>
          <w:b/>
          <w:bCs/>
        </w:rPr>
        <w:t xml:space="preserve"> </w:t>
      </w:r>
      <w:r>
        <w:rPr>
          <w:b/>
          <w:bCs/>
        </w:rPr>
        <w:t xml:space="preserve">casalinghe non è sposata</w:t>
      </w:r>
      <w:r>
        <w:t xml:space="preserve">. La quota di coniugate 20-24 di Bagheria (2,7%) sta inoltre</w:t>
      </w:r>
      <w:r>
        <w:t xml:space="preserve"> </w:t>
      </w:r>
      <w:r>
        <w:rPr>
          <w:i/>
          <w:iCs/>
        </w:rPr>
        <w:t xml:space="preserve">sotto</w:t>
      </w:r>
      <w:r>
        <w:t xml:space="preserve"> </w:t>
      </w:r>
      <w:r>
        <w:t xml:space="preserve">Palermo (3,2%) e Sicilia (2,9%). Lo stato civile esclude il matrimonio come</w:t>
      </w:r>
      <w:r>
        <w:t xml:space="preserve"> </w:t>
      </w:r>
      <w:r>
        <w:t xml:space="preserve">spiegazione, ma non osserva convivenze né figli: che cosa tenga a casa queste ragazze, i</w:t>
      </w:r>
      <w:r>
        <w:t xml:space="preserve"> </w:t>
      </w:r>
      <w:r>
        <w:t xml:space="preserve">dati pubblici non lo dicono. Per la policy basta il primo fatto: serve un servizio di</w:t>
      </w:r>
      <w:r>
        <w:t xml:space="preserve"> </w:t>
      </w:r>
      <w:r>
        <w:rPr>
          <w:b/>
          <w:bCs/>
        </w:rPr>
        <w:t xml:space="preserve">attivazione</w:t>
      </w:r>
      <w:r>
        <w:t xml:space="preserve">, non solo di conciliazione. →</w:t>
      </w:r>
      <w:r>
        <w:t xml:space="preserve"> </w:t>
      </w:r>
      <w:r>
        <w:rPr>
          <w:rStyle w:val="VerbatimChar"/>
        </w:rPr>
        <w:t xml:space="preserve">genere_stato_civile.csv</w:t>
      </w:r>
      <w:r>
        <w:t xml:space="preserve"> </w:t>
      </w:r>
      <w:r>
        <w:t xml:space="preserve">(fonte</w:t>
      </w:r>
      <w:r>
        <w:t xml:space="preserve"> </w:t>
      </w:r>
      <w:r>
        <w:t xml:space="preserve">DCIS_POPRES1, denominatori coincidenti alla singola unità con la tavola censuaria)</w:t>
      </w:r>
    </w:p>
    <w:p>
      <w:pPr>
        <w:pStyle w:val="BodyText"/>
      </w:pPr>
      <w:r>
        <w:t xml:space="preserve">Il gruppo degli «invisibili» (fuori da lavoro, studio e ricerca)</w:t>
      </w:r>
      <w:r>
        <w:t xml:space="preserve"> </w:t>
      </w:r>
      <w:r>
        <w:rPr>
          <w:b/>
          <w:bCs/>
        </w:rPr>
        <w:t xml:space="preserve">non è femminile nelle</w:t>
      </w:r>
      <w:r>
        <w:rPr>
          <w:b/>
          <w:bCs/>
        </w:rPr>
        <w:t xml:space="preserve"> </w:t>
      </w:r>
      <w:r>
        <w:rPr>
          <w:b/>
          <w:bCs/>
        </w:rPr>
        <w:t xml:space="preserve">dimensioni</w:t>
      </w:r>
      <w:r>
        <w:t xml:space="preserve">: 573 ragazze e 549 ragazzi (51% F). In quota sulla propria popolazione le</w:t>
      </w:r>
      <w:r>
        <w:t xml:space="preserve"> </w:t>
      </w:r>
      <w:r>
        <w:t xml:space="preserve">ragazze stanno un po’ sopra (19,9% contro 18,2% nel 2024, con lo stesso segno in ogni</w:t>
      </w:r>
      <w:r>
        <w:t xml:space="preserve"> </w:t>
      </w:r>
      <w:r>
        <w:t xml:space="preserve">annata), ma lo scarto sta fra 1,7 e 3,5 punti dal 2021. È femminile soprattutto</w:t>
      </w:r>
      <w:r>
        <w:t xml:space="preserve"> </w:t>
      </w:r>
      <w:r>
        <w:rPr>
          <w:b/>
          <w:bCs/>
        </w:rPr>
        <w:t xml:space="preserve">nell’etichetta</w:t>
      </w:r>
      <w:r>
        <w:t xml:space="preserve">. Fra le</w:t>
      </w:r>
      <w:r>
        <w:t xml:space="preserve"> </w:t>
      </w:r>
      <w:r>
        <w:t xml:space="preserve">ragazze prevale un’etichetta precisa: 387 casalinghe, contro 50 casalinghi fra i ragazzi.</w:t>
      </w:r>
      <w:r>
        <w:t xml:space="preserve"> </w:t>
      </w:r>
      <w:r>
        <w:t xml:space="preserve">Fra i ragazzi prevale il residuo senza nome, «altra condizione»: 485 ragazzi contro 183</w:t>
      </w:r>
      <w:r>
        <w:t xml:space="preserve"> </w:t>
      </w:r>
      <w:r>
        <w:t xml:space="preserve">ragazze.</w:t>
      </w:r>
    </w:p>
    <w:p>
      <w:pPr>
        <w:pStyle w:val="BodyText"/>
      </w:pPr>
      <w:r>
        <w:t xml:space="preserve">Anche questi numeri sono stime di modello, non conteggi. Nel modello «casalinga» e «altra</w:t>
      </w:r>
      <w:r>
        <w:t xml:space="preserve"> </w:t>
      </w:r>
      <w:r>
        <w:t xml:space="preserve">condizione» sono una sola categoria, e la regola che le separa non è descritta nelle fonti</w:t>
      </w:r>
      <w:r>
        <w:t xml:space="preserve"> </w:t>
      </w:r>
      <w:r>
        <w:t xml:space="preserve">lette. La stessa divisione per genere c’era però già nel 2018-2019, con l’altro metodo</w:t>
      </w:r>
      <w:r>
        <w:t xml:space="preserve"> </w:t>
      </w:r>
      <w:r>
        <w:t xml:space="preserve">(casalinghe il 12,4% delle ragazze e lo 0,8% dei ragazzi nel 2018): non è un artefatto del</w:t>
      </w:r>
      <w:r>
        <w:t xml:space="preserve"> </w:t>
      </w:r>
      <w:r>
        <w:t xml:space="preserve">solo modello 2021.</w:t>
      </w:r>
    </w:p>
    <w:p>
      <w:pPr>
        <w:pStyle w:val="BodyText"/>
      </w:pPr>
      <w:r>
        <w:t xml:space="preserve">A 15-24 anni, quindi, i dati sostengono</w:t>
      </w:r>
      <w:r>
        <w:t xml:space="preserve"> </w:t>
      </w:r>
      <w:r>
        <w:rPr>
          <w:b/>
          <w:bCs/>
        </w:rPr>
        <w:t xml:space="preserve">un’inattività di dimensioni simili con etichette</w:t>
      </w:r>
      <w:r>
        <w:rPr>
          <w:b/>
          <w:bCs/>
        </w:rPr>
        <w:t xml:space="preserve"> </w:t>
      </w:r>
      <w:r>
        <w:rPr>
          <w:b/>
          <w:bCs/>
        </w:rPr>
        <w:t xml:space="preserve">diverse</w:t>
      </w:r>
      <w:r>
        <w:t xml:space="preserve">; l’eccesso femminile largo compare dopo i 25 anni (sezione 3.1-bis). L’outreach</w:t>
      </w:r>
      <w:r>
        <w:t xml:space="preserve"> </w:t>
      </w:r>
      <w:r>
        <w:t xml:space="preserve">deve perciò coprire entrambi i generi, con agganci diversi.</w:t>
      </w:r>
      <w:r>
        <w:t xml:space="preserve"> </w:t>
      </w:r>
      <w:r>
        <w:t xml:space="preserve">→</w:t>
      </w:r>
      <w:r>
        <w:t xml:space="preserve"> </w:t>
      </w:r>
      <w:r>
        <w:rPr>
          <w:rStyle w:val="VerbatimChar"/>
        </w:rPr>
        <w:t xml:space="preserve">genere_composizione_stato_dettaglio.csv</w:t>
      </w:r>
      <w:r>
        <w:t xml:space="preserve">,</w:t>
      </w:r>
      <w:r>
        <w:t xml:space="preserve"> </w:t>
      </w:r>
      <w:r>
        <w:rPr>
          <w:rStyle w:val="VerbatimChar"/>
        </w:rPr>
        <w:t xml:space="preserve">genere_composizione_stato.csv</w:t>
      </w:r>
      <w:r>
        <w:t xml:space="preserve"> </w:t>
      </w:r>
      <w:r>
        <w:t xml:space="preserve">(fig02)</w:t>
      </w:r>
    </w:p>
    <w:p>
      <w:pPr>
        <w:pStyle w:val="BodyText"/>
      </w:pPr>
      <w:r>
        <w:drawing>
          <wp:inline>
            <wp:extent cx="6108700" cy="3998327"/>
            <wp:effectExtent b="0" l="0" r="0" t="0"/>
            <wp:docPr descr="" title="" id="53" name="Picture"/>
            <a:graphic>
              <a:graphicData uri="http://schemas.openxmlformats.org/drawingml/2006/picture">
                <pic:pic>
                  <pic:nvPicPr>
                    <pic:cNvPr descr="/home/kiycoh/Documents/dev/datapolis-2026-hackathon/.docx-build/fig02_composizione_stato.png" id="54" name="Picture"/>
                    <pic:cNvPicPr>
                      <a:picLocks noChangeArrowheads="1" noChangeAspect="1"/>
                    </pic:cNvPicPr>
                  </pic:nvPicPr>
                  <pic:blipFill>
                    <a:blip r:embed="rId52"/>
                    <a:stretch>
                      <a:fillRect/>
                    </a:stretch>
                  </pic:blipFill>
                  <pic:spPr bwMode="auto">
                    <a:xfrm>
                      <a:off x="0" y="0"/>
                      <a:ext cx="6108700" cy="3998327"/>
                    </a:xfrm>
                    <a:prstGeom prst="rect">
                      <a:avLst/>
                    </a:prstGeom>
                    <a:noFill/>
                    <a:ln w="9525">
                      <a:noFill/>
                      <a:headEnd/>
                      <a:tailEnd/>
                    </a:ln>
                  </pic:spPr>
                </pic:pic>
              </a:graphicData>
            </a:graphic>
          </wp:inline>
        </w:drawing>
      </w:r>
    </w:p>
    <w:p>
      <w:pPr>
        <w:pStyle w:val="Didascalia"/>
      </w:pPr>
      <w:r>
        <w:rPr>
          <w:b/>
          <w:bCs/>
        </w:rPr>
        <w:t xml:space="preserve">Figura 10. Come si legge:</w:t>
      </w:r>
      <w:r>
        <w:t xml:space="preserve"> </w:t>
      </w:r>
      <w:r>
        <w:t xml:space="preserve">si legge da sinistra a destra, in quattro colonne: il totale, i due generi, i sei stati della condizione, i tre esiti. Lo spessore di ogni nastro resta costante da un capo all’altro, perché il flusso si conserva e nessuno si perde per strada. Il colore dei nastri è lo stato di partenza, quindi dove due nastri di colore diverso entrano nello stesso nodo d’arrivo si vede da dove arriva ciascun genere. I nodi d’arrivo sono grigi perché sono somme e non categorie. L’etichetta dentro un blocco compare solo dove il blocco è abbastanza alto da contenerla: gli stati più piccoli li dice la legenda, e le loro quote stanno nel sottotitolo. Le posizioni verticali sono geometria del diagramma e non una scala: per questo non c’è asse e non c’è griglia. I tre nodi d’arrivo sono la convenzione di questo repo («fuori da lavoro e istruzione» = tutti meno occupati e studenti), spezzata in due secondo la ricerca di lavoro: vanno letti per quello, non come il NEET ISTAT 15-29, che a livello comunale esiste solo al 2011 (fig08).</w:t>
      </w:r>
    </w:p>
    <w:p>
      <w:pPr>
        <w:pStyle w:val="Didascalia"/>
      </w:pPr>
      <w:r>
        <w:rPr>
          <w:b/>
          <w:bCs/>
        </w:rPr>
        <w:t xml:space="preserve">Fonte:</w:t>
      </w:r>
      <w:r>
        <w:t xml:space="preserve"> </w:t>
      </w:r>
      <w:r>
        <w:t xml:space="preserve">ISTAT, Censimento permanente della popolazione, tavola della condizione professionale, classe 15-24 anni, 2024, più DCIS_POPRES1 (1° gennaio 2025) per lo stato civile. Elaborazione: notebooks/genere.ipynb (data/processed/genere_composizione_stato_dettaglio.csv per persone ed esiti, genere_fuori_lavoro_istruzione.csv per il totale del proxy, genere_casalinghe.csv e genere_stato_civile.csv per le nubili).</w:t>
      </w:r>
    </w:p>
    <w:p>
      <w:pPr>
        <w:pStyle w:val="Didascalia"/>
      </w:pPr>
      <w:r>
        <w:rPr>
          <w:i/>
          <w:iCs/>
        </w:rPr>
        <w:t xml:space="preserve">Figura</w:t>
      </w:r>
      <w:r>
        <w:t xml:space="preserve"> </w:t>
      </w:r>
      <w:r>
        <w:rPr>
          <w:rStyle w:val="VerbatimChar"/>
        </w:rPr>
        <w:t xml:space="preserve">fig02_composizione_stato</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viz/fig02_composizione_stato.R</w:t>
      </w:r>
      <w:r>
        <w:rPr>
          <w:i/>
          <w:iCs/>
        </w:rPr>
        <w:t xml:space="preserve">.</w:t>
      </w:r>
    </w:p>
    <w:bookmarkEnd w:id="55"/>
    <w:bookmarkStart w:id="62" w:name="Xbdaa8ef344774b64680d27be3e2ed988b34bb6b"/>
    <w:p>
      <w:pPr>
        <w:pStyle w:val="Heading2"/>
      </w:pPr>
      <w:r>
        <w:t xml:space="preserve">3.3 La fuga avviene all’uscita dal percorso formativo, per entrambi i generi</w:t>
      </w:r>
    </w:p>
    <w:p>
      <w:pPr>
        <w:pStyle w:val="FirstParagraph"/>
      </w:pPr>
      <w:r>
        <w:t xml:space="preserve">La</w:t>
      </w:r>
      <w:r>
        <w:t xml:space="preserve"> </w:t>
      </w:r>
      <w:r>
        <w:rPr>
          <w:b/>
          <w:bCs/>
        </w:rPr>
        <w:t xml:space="preserve">ritenzione di coorte</w:t>
      </w:r>
      <w:r>
        <w:t xml:space="preserve"> </w:t>
      </w:r>
      <w:r>
        <w:t xml:space="preserve">misura la fuga senza bisogno di dati sulle migrazioni. È il</w:t>
      </w:r>
      <w:r>
        <w:t xml:space="preserve"> </w:t>
      </w:r>
      <w:r>
        <w:t xml:space="preserve">numero di residenti di una certa età nel 2024 in percentuale di quelli che avevano tre anni</w:t>
      </w:r>
      <w:r>
        <w:t xml:space="preserve"> </w:t>
      </w:r>
      <w:r>
        <w:t xml:space="preserve">di meno nel 2021: sotto 100 la coorte si è ridotta, sopra è cresciuta. È un saldo netto, e</w:t>
      </w:r>
      <w:r>
        <w:t xml:space="preserve"> </w:t>
      </w:r>
      <w:r>
        <w:t xml:space="preserve">non distingue chi parte da chi arriva. Sul 2021-2024 la ritenzione mostra due uscite</w:t>
      </w:r>
      <w:r>
        <w:t xml:space="preserve"> </w:t>
      </w:r>
      <w:r>
        <w:t xml:space="preserve">diverse per genere (fig03, fig07):</w:t>
      </w:r>
    </w:p>
    <w:p>
      <w:pPr>
        <w:pStyle w:val="Compact"/>
        <w:numPr>
          <w:ilvl w:val="0"/>
          <w:numId w:val="1008"/>
        </w:numPr>
      </w:pPr>
      <w:r>
        <w:rPr>
          <w:b/>
          <w:bCs/>
        </w:rPr>
        <w:t xml:space="preserve">i ragazzi si perdono presto e a ondate</w:t>
      </w:r>
      <w:r>
        <w:t xml:space="preserve"> </w:t>
      </w:r>
      <w:r>
        <w:t xml:space="preserve">(età 17-19 e 23-24), con</w:t>
      </w:r>
      <w:r>
        <w:t xml:space="preserve"> </w:t>
      </w:r>
      <w:r>
        <w:rPr>
          <w:b/>
          <w:bCs/>
        </w:rPr>
        <w:t xml:space="preserve">rientri netti</w:t>
      </w:r>
      <w:r>
        <w:rPr>
          <w:b/>
          <w:bCs/>
        </w:rPr>
        <w:t xml:space="preserve"> </w:t>
      </w:r>
      <w:r>
        <w:rPr>
          <w:b/>
          <w:bCs/>
        </w:rPr>
        <w:t xml:space="preserve">dopo i 26</w:t>
      </w:r>
      <w:r>
        <w:t xml:space="preserve">;</w:t>
      </w:r>
    </w:p>
    <w:p>
      <w:pPr>
        <w:pStyle w:val="Compact"/>
        <w:numPr>
          <w:ilvl w:val="0"/>
          <w:numId w:val="1008"/>
        </w:numPr>
      </w:pPr>
      <w:r>
        <w:rPr>
          <w:b/>
          <w:bCs/>
        </w:rPr>
        <w:t xml:space="preserve">le ragazze tengono fino ai 23-24 anni e si perdono dai 24-25 in poi, senza</w:t>
      </w:r>
      <w:r>
        <w:rPr>
          <w:b/>
          <w:bCs/>
        </w:rPr>
        <w:t xml:space="preserve"> </w:t>
      </w:r>
      <w:r>
        <w:rPr>
          <w:b/>
          <w:bCs/>
        </w:rPr>
        <w:t xml:space="preserve">rientri.</w:t>
      </w:r>
      <w:r>
        <w:t xml:space="preserve"> </w:t>
      </w:r>
      <w:r>
        <w:t xml:space="preserve">La coorte femminile che nel 2021 aveva 25-29 anni è a</w:t>
      </w:r>
      <w:r>
        <w:t xml:space="preserve"> </w:t>
      </w:r>
      <w:r>
        <w:rPr>
          <w:b/>
          <w:bCs/>
        </w:rPr>
        <w:t xml:space="preserve">96,3</w:t>
      </w:r>
      <w:r>
        <w:t xml:space="preserve">, contro 101,2</w:t>
      </w:r>
      <w:r>
        <w:t xml:space="preserve"> </w:t>
      </w:r>
      <w:r>
        <w:t xml:space="preserve">dei coetanei maschi, 97,6 in Sicilia, 98,8 a Palermo e 103,0 in Italia (dove la coorte</w:t>
      </w:r>
      <w:r>
        <w:t xml:space="preserve"> </w:t>
      </w:r>
      <w:r>
        <w:t xml:space="preserve">cresce per immigrazione). È proprio l’età in cui il vantaggio educativo dovrebbe</w:t>
      </w:r>
      <w:r>
        <w:t xml:space="preserve"> </w:t>
      </w:r>
      <w:r>
        <w:t xml:space="preserve">convertirsi in occupazione, e non lo fa.</w:t>
      </w:r>
    </w:p>
    <w:p>
      <w:pPr>
        <w:pStyle w:val="FirstParagraph"/>
      </w:pPr>
      <w:r>
        <w:t xml:space="preserve">→</w:t>
      </w:r>
      <w:r>
        <w:t xml:space="preserve"> </w:t>
      </w:r>
      <w:r>
        <w:rPr>
          <w:rStyle w:val="VerbatimChar"/>
        </w:rPr>
        <w:t xml:space="preserve">genere_coorti.csv</w:t>
      </w:r>
      <w:r>
        <w:t xml:space="preserve">,</w:t>
      </w:r>
      <w:r>
        <w:t xml:space="preserve"> </w:t>
      </w:r>
      <w:r>
        <w:rPr>
          <w:rStyle w:val="VerbatimChar"/>
        </w:rPr>
        <w:t xml:space="preserve">genere_ritenzione_eta.csv</w:t>
      </w:r>
    </w:p>
    <w:p>
      <w:pPr>
        <w:pStyle w:val="BodyText"/>
      </w:pPr>
      <w:r>
        <w:drawing>
          <wp:inline>
            <wp:extent cx="6108700" cy="4442494"/>
            <wp:effectExtent b="0" l="0" r="0" t="0"/>
            <wp:docPr descr="" title="" id="57" name="Picture"/>
            <a:graphic>
              <a:graphicData uri="http://schemas.openxmlformats.org/drawingml/2006/picture">
                <pic:pic>
                  <pic:nvPicPr>
                    <pic:cNvPr descr="/home/kiycoh/Documents/dev/datapolis-2026-hackathon/.docx-build/fig03_coorti.png" id="58" name="Picture"/>
                    <pic:cNvPicPr>
                      <a:picLocks noChangeArrowheads="1" noChangeAspect="1"/>
                    </pic:cNvPicPr>
                  </pic:nvPicPr>
                  <pic:blipFill>
                    <a:blip r:embed="rId56"/>
                    <a:stretch>
                      <a:fillRect/>
                    </a:stretch>
                  </pic:blipFill>
                  <pic:spPr bwMode="auto">
                    <a:xfrm>
                      <a:off x="0" y="0"/>
                      <a:ext cx="6108700" cy="4442494"/>
                    </a:xfrm>
                    <a:prstGeom prst="rect">
                      <a:avLst/>
                    </a:prstGeom>
                    <a:noFill/>
                    <a:ln w="9525">
                      <a:noFill/>
                      <a:headEnd/>
                      <a:tailEnd/>
                    </a:ln>
                  </pic:spPr>
                </pic:pic>
              </a:graphicData>
            </a:graphic>
          </wp:inline>
        </w:drawing>
      </w:r>
    </w:p>
    <w:p>
      <w:pPr>
        <w:pStyle w:val="Didascalia"/>
      </w:pPr>
      <w:r>
        <w:rPr>
          <w:b/>
          <w:bCs/>
        </w:rPr>
        <w:t xml:space="preserve">Figura 11. Come si legge:</w:t>
      </w:r>
      <w:r>
        <w:t xml:space="preserve"> </w:t>
      </w:r>
      <w:r>
        <w:t xml:space="preserve">la riga tratteggiata verticale a 100% è la parità: a sinistra la coorte si è ridotta, a destra è cresciuta. Ogni riga è un territorio e ogni pannello una coorte. Il segmento grigio unisce i due generi dello stesso territorio, e la sua lunghezza è il divario. Il pallino grande rosa è il valore femminile, quello piccolo blu il maschile: i diametri sono diversi apposta, così dove i due valori coincidono si vede un anello e non un dato mancante. I numeri stampati ai lati del segmento sono gli stessi valori dei pallini che toccano, messi all’esterno per non sovrapporsi. I valori sono quote grezze, senza lisciamento, e la scala è stretta di pochi punti: si leggono i pattern rispetto al riferimento nazionale, non i decimali. Vicinato = i cinque comuni più vicini per distanza fra i centroidi, con le coorti sommate prima del rapporto: è il rapporto del blocco, non la media dei cinque rapporti.</w:t>
      </w:r>
    </w:p>
    <w:p>
      <w:pPr>
        <w:pStyle w:val="Didascalia"/>
      </w:pPr>
      <w:r>
        <w:rPr>
          <w:b/>
          <w:bCs/>
        </w:rPr>
        <w:t xml:space="preserve">Fonte:</w:t>
      </w:r>
      <w:r>
        <w:t xml:space="preserve"> </w:t>
      </w:r>
      <w:r>
        <w:t xml:space="preserve">ISTAT, Censimento permanente della popolazione, età singole, anni 2021 e 2024. Elaborazione: notebooks/genere.ipynb (data/processed/genere_coorti.csv, genere_coorti_vicini.csv e genere_ritenzione_eta.csv per i denominatori).</w:t>
      </w:r>
    </w:p>
    <w:p>
      <w:pPr>
        <w:pStyle w:val="Didascalia"/>
      </w:pPr>
      <w:r>
        <w:rPr>
          <w:i/>
          <w:iCs/>
        </w:rPr>
        <w:t xml:space="preserve">Figura</w:t>
      </w:r>
      <w:r>
        <w:t xml:space="preserve"> </w:t>
      </w:r>
      <w:r>
        <w:rPr>
          <w:rStyle w:val="VerbatimChar"/>
        </w:rPr>
        <w:t xml:space="preserve">fig03_coorti</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viz/fig03_coorti.R</w:t>
      </w:r>
      <w:r>
        <w:rPr>
          <w:i/>
          <w:iCs/>
        </w:rPr>
        <w:t xml:space="preserve">.</w:t>
      </w:r>
    </w:p>
    <w:p>
      <w:pPr>
        <w:pStyle w:val="BodyText"/>
      </w:pPr>
      <w:r>
        <w:rPr>
          <w:b/>
          <w:bCs/>
        </w:rPr>
        <w:t xml:space="preserve">Nel triennio la curva femminile scende fra i 22 e i 25 anni</w:t>
      </w:r>
      <w:r>
        <w:t xml:space="preserve"> </w:t>
      </w:r>
      <w:r>
        <w:t xml:space="preserve">(età nel 2021): prima di</w:t>
      </w:r>
      <w:r>
        <w:t xml:space="preserve"> </w:t>
      </w:r>
      <w:r>
        <w:t xml:space="preserve">quelle età sta sopra la parità, dopo resta sotto. Chi aveva 22-25 anni nel 2021 ne ha</w:t>
      </w:r>
      <w:r>
        <w:t xml:space="preserve"> </w:t>
      </w:r>
      <w:r>
        <w:t xml:space="preserve">25-28 nel 2024, ed è in quel passaggio che la coorte si riduce.</w:t>
      </w:r>
      <w:r>
        <w:t xml:space="preserve"> </w:t>
      </w:r>
      <w:r>
        <w:rPr>
          <w:b/>
          <w:bCs/>
        </w:rPr>
        <w:t xml:space="preserve">Cautela.</w:t>
      </w:r>
      <w:r>
        <w:t xml:space="preserve"> </w:t>
      </w:r>
      <w:r>
        <w:t xml:space="preserve">È una lettura</w:t>
      </w:r>
      <w:r>
        <w:t xml:space="preserve"> </w:t>
      </w:r>
      <w:r>
        <w:rPr>
          <w:b/>
          <w:bCs/>
        </w:rPr>
        <w:t xml:space="preserve">pooled</w:t>
      </w:r>
      <w:r>
        <w:rPr>
          <w:b/>
          <w:bCs/>
        </w:rPr>
        <w:t xml:space="preserve"> </w:t>
      </w:r>
      <w:r>
        <w:rPr>
          <w:b/>
          <w:bCs/>
        </w:rPr>
        <w:t xml:space="preserve">sul triennio</w:t>
      </w:r>
      <w:r>
        <w:t xml:space="preserve">. Le transizioni annuali oscillano fino a 8 punti sulla stessa età (n ~290</w:t>
      </w:r>
      <w:r>
        <w:t xml:space="preserve"> </w:t>
      </w:r>
      <w:r>
        <w:t xml:space="preserve">per cella), e l’anno singolo è un controllo, non un titolo. Il tratto di genere, inoltre,</w:t>
      </w:r>
      <w:r>
        <w:t xml:space="preserve"> </w:t>
      </w:r>
      <w:r>
        <w:t xml:space="preserve">è la forma della curva, non il saldo: prese in blocco, le età 22-25 perdono fra le ragazze</w:t>
      </w:r>
      <w:r>
        <w:t xml:space="preserve"> </w:t>
      </w:r>
      <w:r>
        <w:t xml:space="preserve">di Bagheria quanto fra i coetanei maschi e fra le ragazze siciliane. A 21 anni, invece,</w:t>
      </w:r>
      <w:r>
        <w:t xml:space="preserve"> </w:t>
      </w:r>
      <w:r>
        <w:t xml:space="preserve">nessuno dei due generi perde residenti netti. →</w:t>
      </w:r>
      <w:r>
        <w:t xml:space="preserve"> </w:t>
      </w:r>
      <w:r>
        <w:rPr>
          <w:rStyle w:val="VerbatimChar"/>
        </w:rPr>
        <w:t xml:space="preserve">genere_ritenzione_transizioni.csv</w:t>
      </w:r>
      <w:r>
        <w:t xml:space="preserve">,</w:t>
      </w:r>
      <w:r>
        <w:t xml:space="preserve"> </w:t>
      </w:r>
      <w:r>
        <w:rPr>
          <w:rStyle w:val="VerbatimChar"/>
        </w:rPr>
        <w:t xml:space="preserve">genere_ritenzione_eta.csv</w:t>
      </w:r>
    </w:p>
    <w:p>
      <w:pPr>
        <w:pStyle w:val="BodyText"/>
      </w:pPr>
      <w:r>
        <w:drawing>
          <wp:inline>
            <wp:extent cx="6108700" cy="3605740"/>
            <wp:effectExtent b="0" l="0" r="0" t="0"/>
            <wp:docPr descr="" title="" id="60" name="Picture"/>
            <a:graphic>
              <a:graphicData uri="http://schemas.openxmlformats.org/drawingml/2006/picture">
                <pic:pic>
                  <pic:nvPicPr>
                    <pic:cNvPr descr="/home/kiycoh/Documents/dev/datapolis-2026-hackathon/.docx-build/fig07_ritenzione_eta.png" id="61" name="Picture"/>
                    <pic:cNvPicPr>
                      <a:picLocks noChangeArrowheads="1" noChangeAspect="1"/>
                    </pic:cNvPicPr>
                  </pic:nvPicPr>
                  <pic:blipFill>
                    <a:blip r:embed="rId59"/>
                    <a:stretch>
                      <a:fillRect/>
                    </a:stretch>
                  </pic:blipFill>
                  <pic:spPr bwMode="auto">
                    <a:xfrm>
                      <a:off x="0" y="0"/>
                      <a:ext cx="6108700" cy="3605740"/>
                    </a:xfrm>
                    <a:prstGeom prst="rect">
                      <a:avLst/>
                    </a:prstGeom>
                    <a:noFill/>
                    <a:ln w="9525">
                      <a:noFill/>
                      <a:headEnd/>
                      <a:tailEnd/>
                    </a:ln>
                  </pic:spPr>
                </pic:pic>
              </a:graphicData>
            </a:graphic>
          </wp:inline>
        </w:drawing>
      </w:r>
    </w:p>
    <w:p>
      <w:pPr>
        <w:pStyle w:val="Didascalia"/>
      </w:pPr>
      <w:r>
        <w:rPr>
          <w:b/>
          <w:bCs/>
        </w:rPr>
        <w:t xml:space="preserve">Figura 12. Come si legge:</w:t>
      </w:r>
      <w:r>
        <w:t xml:space="preserve"> </w:t>
      </w:r>
      <w:r>
        <w:t xml:space="preserve">la riga tratteggiata orizzontale a 100% è la parità: sopra la coorte è cresciuta, sotto si è ridotta. Il rettangolo vermiglio chiaro, presente solo sul pannello delle femmine, è la finestra 22-25 anni, misurata sull’età del 2021: chi aveva 22-25 anni nel 2021 ne ha 25-28 nel 2024, ed è in quei tre anni che la coorte si riduce. Bagheria è in vermiglio e con la linea più spessa perché è il soggetto. Le linee sono medie mobili centrate su tre età, quindi si leggono i pattern e non i decimali; le età ai bordi servono solo a chiudere la media mobile e restano fuori dal grafico. Vicinato = Santa Flavia, Ficarazzi, Villabate, Casteldaccia, Misilmeri, cioè i cinque comuni più vicini per distanza fra i centroidi: le coorti sono sommate prima del rapporto, non è la media dei cinque rapporti, così il denominatore regge il confronto con Bagheria. Le serie dei singoli comuni, troppo piccole per essere lette per età, restano in genere_ritenzione_eta_vicini.csv.</w:t>
      </w:r>
    </w:p>
    <w:p>
      <w:pPr>
        <w:pStyle w:val="Didascalia"/>
      </w:pPr>
      <w:r>
        <w:rPr>
          <w:b/>
          <w:bCs/>
        </w:rPr>
        <w:t xml:space="preserve">Fonte:</w:t>
      </w:r>
      <w:r>
        <w:t xml:space="preserve"> </w:t>
      </w:r>
      <w:r>
        <w:t xml:space="preserve">ISTAT, Censimento permanente della popolazione, età singole, anni 2021 e 2024. Elaborazione: notebooks/genere.ipynb (data/processed/genere_ritenzione_eta.csv e genere_ritenzione_eta_vicini.csv).</w:t>
      </w:r>
    </w:p>
    <w:p>
      <w:pPr>
        <w:pStyle w:val="Didascalia"/>
      </w:pPr>
      <w:r>
        <w:rPr>
          <w:i/>
          <w:iCs/>
        </w:rPr>
        <w:t xml:space="preserve">Figura</w:t>
      </w:r>
      <w:r>
        <w:t xml:space="preserve"> </w:t>
      </w:r>
      <w:r>
        <w:rPr>
          <w:rStyle w:val="VerbatimChar"/>
        </w:rPr>
        <w:t xml:space="preserve">fig07_ritenzione_eta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viz/fig07_ritenzione_eta.R</w:t>
      </w:r>
      <w:r>
        <w:rPr>
          <w:i/>
          <w:iCs/>
        </w:rPr>
        <w:t xml:space="preserve">.</w:t>
      </w:r>
    </w:p>
    <w:p>
      <w:pPr>
        <w:pStyle w:val="BodyText"/>
      </w:pPr>
      <w:r>
        <w:rPr>
          <w:b/>
          <w:bCs/>
        </w:rPr>
        <w:t xml:space="preserve">Su cinque anni la differenza di genere non si ripete.</w:t>
      </w:r>
      <w:r>
        <w:t xml:space="preserve"> </w:t>
      </w:r>
      <w:r>
        <w:t xml:space="preserve">Dentro il solo censimento</w:t>
      </w:r>
      <w:r>
        <w:t xml:space="preserve"> </w:t>
      </w:r>
      <w:r>
        <w:t xml:space="preserve">permanente le coorti si possono seguire su due quinquenni, 2018-2023 e 2019-2024. Quelle</w:t>
      </w:r>
      <w:r>
        <w:t xml:space="preserve"> </w:t>
      </w:r>
      <w:r>
        <w:t xml:space="preserve">che escono dal percorso formativo, da 20-24 a 25-29 anni, si riducono per entrambi i</w:t>
      </w:r>
      <w:r>
        <w:t xml:space="preserve"> </w:t>
      </w:r>
      <w:r>
        <w:t xml:space="preserve">generi, 9-12 punti sotto l’Italia. I maschi si riducono più delle femmine (89,2% e 91,8%</w:t>
      </w:r>
      <w:r>
        <w:t xml:space="preserve"> </w:t>
      </w:r>
      <w:r>
        <w:t xml:space="preserve">contro 92,8% e 93,3%), e le femmine di Bagheria stanno al livello di Palermo (90,9% e</w:t>
      </w:r>
      <w:r>
        <w:t xml:space="preserve"> </w:t>
      </w:r>
      <w:r>
        <w:t xml:space="preserve">92,9%).</w:t>
      </w:r>
    </w:p>
    <w:p>
      <w:pPr>
        <w:pStyle w:val="BodyText"/>
      </w:pPr>
      <w:r>
        <w:t xml:space="preserve">Nei cinque comuni più vicini, inoltre, il cedimento femminile del triennio non c’è (coorte</w:t>
      </w:r>
      <w:r>
        <w:t xml:space="preserve"> </w:t>
      </w:r>
      <w:r>
        <w:t xml:space="preserve">25-29 al 102,4). Il cedimento di Bagheria o è specifico del comune, o è in parte un</w:t>
      </w:r>
      <w:r>
        <w:t xml:space="preserve"> </w:t>
      </w:r>
      <w:r>
        <w:t xml:space="preserve">trasloco a pochi chilometri, e la ritenzione netta non distingue i due casi. Regge dunque la</w:t>
      </w:r>
      <w:r>
        <w:t xml:space="preserve"> </w:t>
      </w:r>
      <w:r>
        <w:t xml:space="preserve">perdita all’uscita dal percorso formativo; il tempismo di genere resta la lettura di un</w:t>
      </w:r>
      <w:r>
        <w:t xml:space="preserve"> </w:t>
      </w:r>
      <w:r>
        <w:t xml:space="preserve">solo triennio. →</w:t>
      </w:r>
      <w:r>
        <w:t xml:space="preserve"> </w:t>
      </w:r>
      <w:r>
        <w:rPr>
          <w:rStyle w:val="VerbatimChar"/>
        </w:rPr>
        <w:t xml:space="preserve">genere_ritenzione_decennale.csv</w:t>
      </w:r>
      <w:r>
        <w:t xml:space="preserve">,</w:t>
      </w:r>
      <w:r>
        <w:t xml:space="preserve"> </w:t>
      </w:r>
      <w:r>
        <w:rPr>
          <w:rStyle w:val="VerbatimChar"/>
        </w:rPr>
        <w:t xml:space="preserve">genere_coorti_vicini.csv</w:t>
      </w:r>
    </w:p>
    <w:p>
      <w:pPr>
        <w:pStyle w:val="BodyText"/>
      </w:pPr>
      <w:r>
        <w:t xml:space="preserve">Alla scala decennale la frattura è più netta, e risponde all’obiezione che tre anni non</w:t>
      </w:r>
      <w:r>
        <w:t xml:space="preserve"> </w:t>
      </w:r>
      <w:r>
        <w:t xml:space="preserve">bastino a parlare di fuga. La coorte 15-19 seguita per dieci anni passa, fra le femmine, da</w:t>
      </w:r>
      <w:r>
        <w:t xml:space="preserve"> </w:t>
      </w:r>
      <w:r>
        <w:rPr>
          <w:b/>
          <w:bCs/>
        </w:rPr>
        <w:t xml:space="preserve">102,9% (2001-2011) a 88,6% (2011-2021)</w:t>
      </w:r>
      <w:r>
        <w:t xml:space="preserve">, fra i maschi da 98,4% a</w:t>
      </w:r>
      <w:r>
        <w:t xml:space="preserve"> </w:t>
      </w:r>
      <w:r>
        <w:rPr>
          <w:b/>
          <w:bCs/>
        </w:rPr>
        <w:t xml:space="preserve">83,9%</w:t>
      </w:r>
      <w:r>
        <w:t xml:space="preserve">. Sono circa</w:t>
      </w:r>
      <w:r>
        <w:t xml:space="preserve"> </w:t>
      </w:r>
      <w:r>
        <w:t xml:space="preserve">14 punti per entrambi i generi, contro 4-6 in Sicilia. A questa scala la fuga non ha</w:t>
      </w:r>
      <w:r>
        <w:t xml:space="preserve"> </w:t>
      </w:r>
      <w:r>
        <w:t xml:space="preserve">genere, e il suo decennio è quello</w:t>
      </w:r>
      <w:r>
        <w:t xml:space="preserve"> </w:t>
      </w:r>
      <w:r>
        <w:rPr>
          <w:b/>
          <w:bCs/>
        </w:rPr>
        <w:t xml:space="preserve">successivo</w:t>
      </w:r>
      <w:r>
        <w:t xml:space="preserve"> </w:t>
      </w:r>
      <w:r>
        <w:t xml:space="preserve">al muro sull’occupazione femminile</w:t>
      </w:r>
      <w:r>
        <w:t xml:space="preserve"> </w:t>
      </w:r>
      <w:r>
        <w:t xml:space="preserve">(2001-2011, sezione 2.3).</w:t>
      </w:r>
      <w:r>
        <w:t xml:space="preserve"> </w:t>
      </w:r>
      <w:r>
        <w:rPr>
          <w:b/>
          <w:bCs/>
        </w:rPr>
        <w:t xml:space="preserve">Cautela.</w:t>
      </w:r>
      <w:r>
        <w:t xml:space="preserve"> </w:t>
      </w:r>
      <w:r>
        <w:t xml:space="preserve">Il decennio 2011-2021 unisce il censimento 2011 e il censimento</w:t>
      </w:r>
      <w:r>
        <w:t xml:space="preserve"> </w:t>
      </w:r>
      <w:r>
        <w:t xml:space="preserve">permanente: la distorsione nota va nel verso prudente ed è dichiarata in fig07b.</w:t>
      </w:r>
      <w:r>
        <w:t xml:space="preserve"> </w:t>
      </w:r>
      <w:r>
        <w:t xml:space="preserve">→</w:t>
      </w:r>
      <w:r>
        <w:t xml:space="preserve"> </w:t>
      </w:r>
      <w:r>
        <w:rPr>
          <w:rStyle w:val="VerbatimChar"/>
        </w:rPr>
        <w:t xml:space="preserve">genere_ritenzione_decennale.csv</w:t>
      </w:r>
    </w:p>
    <w:p>
      <w:r>
        <w:pict>
          <v:rect style="width:0;height:1.5pt" o:hralign="center" o:hrstd="t" o:hr="t"/>
        </w:pict>
      </w:r>
    </w:p>
    <w:bookmarkEnd w:id="62"/>
    <w:bookmarkEnd w:id="63"/>
    <w:bookmarkStart w:id="67" w:name="Xf63d8299ce449af7f449fe55cbc1d52dd7f3e3e"/>
    <w:p>
      <w:pPr>
        <w:pStyle w:val="Heading1"/>
      </w:pPr>
      <w:r>
        <w:t xml:space="preserve">4. Titolo e condizione: la domanda a cui i dati comunali non rispondono</w:t>
      </w:r>
    </w:p>
    <w:p>
      <w:pPr>
        <w:pStyle w:val="FirstParagraph"/>
      </w:pPr>
      <w:r>
        <w:t xml:space="preserve">Il primo focus proposto dal bando è la relazione fra titolo di studio e condizione</w:t>
      </w:r>
      <w:r>
        <w:t xml:space="preserve"> </w:t>
      </w:r>
      <w:r>
        <w:t xml:space="preserve">lavorativa. A livello comunale questa relazione</w:t>
      </w:r>
      <w:r>
        <w:t xml:space="preserve"> </w:t>
      </w:r>
      <w:r>
        <w:rPr>
          <w:b/>
          <w:bCs/>
        </w:rPr>
        <w:t xml:space="preserve">non è misurabile sull’individuo</w:t>
      </w:r>
      <w:r>
        <w:t xml:space="preserve">, e lo</w:t>
      </w:r>
      <w:r>
        <w:t xml:space="preserve"> </w:t>
      </w:r>
      <w:r>
        <w:t xml:space="preserve">abbiamo dimostrato prima di aggirarlo. Nelle tavole comunali del censimento permanente, la</w:t>
      </w:r>
      <w:r>
        <w:t xml:space="preserve"> </w:t>
      </w:r>
      <w:r>
        <w:t xml:space="preserve">tavola lavoro pubblica il titolo solo come</w:t>
      </w:r>
      <w:r>
        <w:t xml:space="preserve"> </w:t>
      </w:r>
      <w:r>
        <w:rPr>
          <w:rStyle w:val="VerbatimChar"/>
        </w:rPr>
        <w:t xml:space="preserve">ALL</w:t>
      </w:r>
      <w:r>
        <w:t xml:space="preserve"> </w:t>
      </w:r>
      <w:r>
        <w:t xml:space="preserve">e la tavola istruzione pubblica la</w:t>
      </w:r>
      <w:r>
        <w:t xml:space="preserve"> </w:t>
      </w:r>
      <w:r>
        <w:t xml:space="preserve">condizione solo come totale</w:t>
      </w:r>
      <w:r>
        <w:t xml:space="preserve"> </w:t>
      </w:r>
      <w:r>
        <w:rPr>
          <w:rStyle w:val="VerbatimChar"/>
        </w:rPr>
        <w:t xml:space="preserve">99</w:t>
      </w:r>
      <w:r>
        <w:t xml:space="preserve"> </w:t>
      </w:r>
      <w:r>
        <w:t xml:space="preserve">(cella «Verifica di fattibilità» di</w:t>
      </w:r>
      <w:r>
        <w:t xml:space="preserve"> </w:t>
      </w:r>
      <w:r>
        <w:rPr>
          <w:rStyle w:val="VerbatimChar"/>
        </w:rPr>
        <w:t xml:space="preserve">notebooks/genere.ipynb</w:t>
      </w:r>
      <w:r>
        <w:t xml:space="preserve">).</w:t>
      </w:r>
      <w:r>
        <w:t xml:space="preserve"> </w:t>
      </w:r>
      <w:r>
        <w:rPr>
          <w:i/>
          <w:iCs/>
        </w:rPr>
        <w:t xml:space="preserve">«Quanti diplomati di Bagheria lavorano»</w:t>
      </w:r>
      <w:r>
        <w:t xml:space="preserve"> </w:t>
      </w:r>
      <w:r>
        <w:t xml:space="preserve">non è quindi una</w:t>
      </w:r>
      <w:r>
        <w:t xml:space="preserve"> </w:t>
      </w:r>
      <w:r>
        <w:t xml:space="preserve">domanda a cui i dati pubblici rispondono. Ci si avvicina alla domanda in tre modi: due</w:t>
      </w:r>
      <w:r>
        <w:t xml:space="preserve"> </w:t>
      </w:r>
      <w:r>
        <w:t xml:space="preserve">misure parallele sulla stessa fascia e sullo stesso denominatore (fig11, sezione 3.1), il</w:t>
      </w:r>
      <w:r>
        <w:t xml:space="preserve"> </w:t>
      </w:r>
      <w:r>
        <w:t xml:space="preserve">confronto territoriale (sezione 2) e la lente dei pari a pari istruzione (sezione 2.4).</w:t>
      </w:r>
    </w:p>
    <w:p>
      <w:pPr>
        <w:pStyle w:val="BodyText"/>
      </w:pPr>
      <w:r>
        <w:rPr>
          <w:b/>
          <w:bCs/>
        </w:rPr>
        <w:t xml:space="preserve">I margini, però, mettono un tetto.</w:t>
      </w:r>
      <w:r>
        <w:t xml:space="preserve"> </w:t>
      </w:r>
      <w:r>
        <w:t xml:space="preserve">Se tutte le occupate fossero diplomate, nel 2024</w:t>
      </w:r>
      <w:r>
        <w:t xml:space="preserve"> </w:t>
      </w:r>
      <w:r>
        <w:t xml:space="preserve">lavorerebbe al massimo il</w:t>
      </w:r>
      <w:r>
        <w:t xml:space="preserve"> </w:t>
      </w:r>
      <w:r>
        <w:rPr>
          <w:b/>
          <w:bCs/>
        </w:rPr>
        <w:t xml:space="preserve">16,1%</w:t>
      </w:r>
      <w:r>
        <w:t xml:space="preserve"> </w:t>
      </w:r>
      <w:r>
        <w:t xml:space="preserve">delle ragazze 15-24 con almeno il diploma (236</w:t>
      </w:r>
      <w:r>
        <w:t xml:space="preserve"> </w:t>
      </w:r>
      <w:r>
        <w:t xml:space="preserve">occupate su 1.469 diplomate), contro il 35,7% dei ragazzi. Il minimo, per entrambi, è</w:t>
      </w:r>
      <w:r>
        <w:t xml:space="preserve"> </w:t>
      </w:r>
      <w:r>
        <w:t xml:space="preserve">zero. Sono limiti di Fréchet, non stime. Valgono perché diplomati e occupati sono</w:t>
      </w:r>
      <w:r>
        <w:t xml:space="preserve"> </w:t>
      </w:r>
      <w:r>
        <w:t xml:space="preserve">sottoinsiemi della stessa popolazione 15-24: il totale della tavola lavoro, come verificato,</w:t>
      </w:r>
      <w:r>
        <w:t xml:space="preserve"> </w:t>
      </w:r>
      <w:r>
        <w:t xml:space="preserve">coincide con la somma delle età singole. Il tetto femminile di Bagheria è il più basso dei</w:t>
      </w:r>
      <w:r>
        <w:t xml:space="preserve"> </w:t>
      </w:r>
      <w:r>
        <w:t xml:space="preserve">quattro territori (Palermo 20,3%, Sicilia 20,4%, Italia 32,3%). Qualunque sia l’incrocio,</w:t>
      </w:r>
      <w:r>
        <w:t xml:space="preserve"> </w:t>
      </w:r>
      <w:r>
        <w:t xml:space="preserve">fra le diplomate lavora al più una su sei. →</w:t>
      </w:r>
      <w:r>
        <w:t xml:space="preserve"> </w:t>
      </w:r>
      <w:r>
        <w:rPr>
          <w:rStyle w:val="VerbatimChar"/>
        </w:rPr>
        <w:t xml:space="preserve">genere_frechet.csv</w:t>
      </w:r>
    </w:p>
    <w:p>
      <w:pPr>
        <w:pStyle w:val="BodyText"/>
      </w:pPr>
      <w:r>
        <w:t xml:space="preserve">Resta da chiarire di quale titolo si parla, perché non è lo stesso a tutte le altezze.</w:t>
      </w:r>
      <w:r>
        <w:t xml:space="preserve"> </w:t>
      </w:r>
      <w:r>
        <w:t xml:space="preserve">Nella fascia 9-24 del 2024, a Bagheria, oltre il diploma si va di rado: dei</w:t>
      </w:r>
      <w:r>
        <w:t xml:space="preserve"> </w:t>
      </w:r>
      <w:r>
        <w:rPr>
          <w:b/>
          <w:bCs/>
        </w:rPr>
        <w:t xml:space="preserve">2.864</w:t>
      </w:r>
      <w:r>
        <w:rPr>
          <w:b/>
          <w:bCs/>
        </w:rPr>
        <w:t xml:space="preserve"> </w:t>
      </w:r>
      <w:r>
        <w:rPr>
          <w:b/>
          <w:bCs/>
        </w:rPr>
        <w:t xml:space="preserve">residenti con almeno il diploma, il 91,0% si ferma al diploma</w:t>
      </w:r>
      <w:r>
        <w:t xml:space="preserve"> </w:t>
      </w:r>
      <w:r>
        <w:t xml:space="preserve">di scuola secondaria, e i</w:t>
      </w:r>
      <w:r>
        <w:t xml:space="preserve"> </w:t>
      </w:r>
      <w:r>
        <w:t xml:space="preserve">titoli terziari sono</w:t>
      </w:r>
      <w:r>
        <w:t xml:space="preserve"> </w:t>
      </w:r>
      <w:r>
        <w:rPr>
          <w:b/>
          <w:bCs/>
        </w:rPr>
        <w:t xml:space="preserve">258 persone</w:t>
      </w:r>
      <w:r>
        <w:t xml:space="preserve"> </w:t>
      </w:r>
      <w:r>
        <w:t xml:space="preserve">in tutto. A quell’età è così ovunque (fra l’88,1%</w:t>
      </w:r>
      <w:r>
        <w:t xml:space="preserve"> </w:t>
      </w:r>
      <w:r>
        <w:t xml:space="preserve">dell’Italia e l’89,4% della Sicilia): il dato dice quale titolo la fascia detiene, non</w:t>
      </w:r>
      <w:r>
        <w:t xml:space="preserve"> </w:t>
      </w:r>
      <w:r>
        <w:t xml:space="preserve">quanto in alto arriverà, perché a 20 anni una laurea non può ancora esserci.</w:t>
      </w:r>
      <w:r>
        <w:t xml:space="preserve"> </w:t>
      </w:r>
      <w:r>
        <w:t xml:space="preserve">→</w:t>
      </w:r>
      <w:r>
        <w:t xml:space="preserve"> </w:t>
      </w:r>
      <w:r>
        <w:rPr>
          <w:rStyle w:val="VerbatimChar"/>
        </w:rPr>
        <w:t xml:space="preserve">censpop_istr_lav_long.csv</w:t>
      </w:r>
    </w:p>
    <w:p>
      <w:pPr>
        <w:pStyle w:val="BodyText"/>
      </w:pPr>
      <w:r>
        <w:t xml:space="preserve">Chi la laurea l’ha già conseguita si osserva al 2011, e lì la scala dei titoli regge solo</w:t>
      </w:r>
      <w:r>
        <w:t xml:space="preserve"> </w:t>
      </w:r>
      <w:r>
        <w:t xml:space="preserve">al primo gradino (</w:t>
      </w:r>
      <w:r>
        <w:rPr>
          <w:rStyle w:val="VerbatimChar"/>
        </w:rPr>
        <w:t xml:space="preserve">edu_fig02_catena_2011</w:t>
      </w:r>
      <w:r>
        <w:t xml:space="preserve">). L’unico indicatore su cui Bagheria sta davanti</w:t>
      </w:r>
      <w:r>
        <w:t xml:space="preserve"> </w:t>
      </w:r>
      <w:r>
        <w:t xml:space="preserve">a Palermo e alla Sicilia è la competenza di base,</w:t>
      </w:r>
      <w:r>
        <w:t xml:space="preserve"> </w:t>
      </w:r>
      <w:r>
        <w:rPr>
          <w:rStyle w:val="VerbatimChar"/>
        </w:rPr>
        <w:t xml:space="preserve">I8</w:t>
      </w:r>
      <w:r>
        <w:t xml:space="preserve">:</w:t>
      </w:r>
      <w:r>
        <w:t xml:space="preserve"> </w:t>
      </w:r>
      <w:r>
        <w:rPr>
          <w:b/>
          <w:bCs/>
        </w:rPr>
        <w:t xml:space="preserve">96,7% dei 15-19enni con almeno</w:t>
      </w:r>
      <w:r>
        <w:rPr>
          <w:b/>
          <w:bCs/>
        </w:rPr>
        <w:t xml:space="preserve"> </w:t>
      </w:r>
      <w:r>
        <w:rPr>
          <w:b/>
          <w:bCs/>
        </w:rPr>
        <w:t xml:space="preserve">la licenza media</w:t>
      </w:r>
      <w:r>
        <w:t xml:space="preserve">, contro 95,6 e 96,5 (Italia 97,9). Un gradino più su il segno si</w:t>
      </w:r>
      <w:r>
        <w:t xml:space="preserve"> </w:t>
      </w:r>
      <w:r>
        <w:t xml:space="preserve">inverte, e resta tale:</w:t>
      </w:r>
    </w:p>
    <w:p>
      <w:pPr>
        <w:pStyle w:val="Compact"/>
        <w:numPr>
          <w:ilvl w:val="0"/>
          <w:numId w:val="1009"/>
        </w:numPr>
      </w:pPr>
      <w:r>
        <w:t xml:space="preserve">adulti 25-64 con diploma o laurea (</w:t>
      </w:r>
      <w:r>
        <w:rPr>
          <w:rStyle w:val="VerbatimChar"/>
        </w:rPr>
        <w:t xml:space="preserve">I6</w:t>
      </w:r>
      <w:r>
        <w:t xml:space="preserve">) al</w:t>
      </w:r>
      <w:r>
        <w:t xml:space="preserve"> </w:t>
      </w:r>
      <w:r>
        <w:rPr>
          <w:b/>
          <w:bCs/>
        </w:rPr>
        <w:t xml:space="preserve">42,5%</w:t>
      </w:r>
      <w:r>
        <w:t xml:space="preserve"> </w:t>
      </w:r>
      <w:r>
        <w:t xml:space="preserve">contro 48,2 in Sicilia, 51,2 a</w:t>
      </w:r>
      <w:r>
        <w:t xml:space="preserve"> </w:t>
      </w:r>
      <w:r>
        <w:t xml:space="preserve">Palermo e 55,1 in Italia;</w:t>
      </w:r>
    </w:p>
    <w:p>
      <w:pPr>
        <w:pStyle w:val="Compact"/>
        <w:numPr>
          <w:ilvl w:val="0"/>
          <w:numId w:val="1009"/>
        </w:numPr>
      </w:pPr>
      <w:r>
        <w:t xml:space="preserve">trentenni con titolo universitario (</w:t>
      </w:r>
      <w:r>
        <w:rPr>
          <w:rStyle w:val="VerbatimChar"/>
        </w:rPr>
        <w:t xml:space="preserve">I7</w:t>
      </w:r>
      <w:r>
        <w:t xml:space="preserve">) al</w:t>
      </w:r>
      <w:r>
        <w:t xml:space="preserve"> </w:t>
      </w:r>
      <w:r>
        <w:rPr>
          <w:b/>
          <w:bCs/>
        </w:rPr>
        <w:t xml:space="preserve">14,4%</w:t>
      </w:r>
      <w:r>
        <w:t xml:space="preserve"> </w:t>
      </w:r>
      <w:r>
        <w:t xml:space="preserve">contro 18,3, 20,6 e 23,2, nello</w:t>
      </w:r>
      <w:r>
        <w:t xml:space="preserve"> </w:t>
      </w:r>
      <w:r>
        <w:t xml:space="preserve">stesso ordine.</w:t>
      </w:r>
    </w:p>
    <w:p>
      <w:pPr>
        <w:pStyle w:val="FirstParagraph"/>
      </w:pPr>
      <w:r>
        <w:t xml:space="preserve">Bagheria è ultima del panel su entrambi gli indicatori, e al 2024 il segno non cambia</w:t>
      </w:r>
      <w:r>
        <w:t xml:space="preserve"> </w:t>
      </w:r>
      <w:r>
        <w:t xml:space="preserve">(−4,1 punti dalla Sicilia sul diploma 25-49, sezione 2.2).</w:t>
      </w:r>
      <w:r>
        <w:t xml:space="preserve"> </w:t>
      </w:r>
      <w:r>
        <w:t xml:space="preserve">→</w:t>
      </w:r>
      <w:r>
        <w:t xml:space="preserve"> </w:t>
      </w:r>
      <w:r>
        <w:rPr>
          <w:rStyle w:val="VerbatimChar"/>
        </w:rPr>
        <w:t xml:space="preserve">edu_historical_benchmarks_2011.csv</w:t>
      </w:r>
    </w:p>
    <w:p>
      <w:pPr>
        <w:pStyle w:val="BodyText"/>
      </w:pPr>
      <w:r>
        <w:drawing>
          <wp:inline>
            <wp:extent cx="6108700" cy="4185761"/>
            <wp:effectExtent b="0" l="0" r="0" t="0"/>
            <wp:docPr descr="" title="" id="65" name="Picture"/>
            <a:graphic>
              <a:graphicData uri="http://schemas.openxmlformats.org/drawingml/2006/picture">
                <pic:pic>
                  <pic:nvPicPr>
                    <pic:cNvPr descr="/home/kiycoh/Documents/dev/datapolis-2026-hackathon/.docx-build/edu_fig02_catena_2011.png" id="66" name="Picture"/>
                    <pic:cNvPicPr>
                      <a:picLocks noChangeArrowheads="1" noChangeAspect="1"/>
                    </pic:cNvPicPr>
                  </pic:nvPicPr>
                  <pic:blipFill>
                    <a:blip r:embed="rId64"/>
                    <a:stretch>
                      <a:fillRect/>
                    </a:stretch>
                  </pic:blipFill>
                  <pic:spPr bwMode="auto">
                    <a:xfrm>
                      <a:off x="0" y="0"/>
                      <a:ext cx="6108700" cy="4185761"/>
                    </a:xfrm>
                    <a:prstGeom prst="rect">
                      <a:avLst/>
                    </a:prstGeom>
                    <a:noFill/>
                    <a:ln w="9525">
                      <a:noFill/>
                      <a:headEnd/>
                      <a:tailEnd/>
                    </a:ln>
                  </pic:spPr>
                </pic:pic>
              </a:graphicData>
            </a:graphic>
          </wp:inline>
        </w:drawing>
      </w:r>
    </w:p>
    <w:p>
      <w:pPr>
        <w:pStyle w:val="Didascalia"/>
      </w:pPr>
      <w:r>
        <w:rPr>
          <w:b/>
          <w:bCs/>
        </w:rPr>
        <w:t xml:space="preserve">Figura 13. Come si legge:</w:t>
      </w:r>
      <w:r>
        <w:t xml:space="preserve"> </w:t>
      </w:r>
      <w:r>
        <w:t xml:space="preserve">ogni riga è un indicatore e i tre pallini sono i tre riferimenti. La riga verticale allo zero è la parità con Bagheria: a destra dello zero il riferimento sta meglio, a sinistra Bagheria sta meglio. L’etichetta numerica compare solo sulla Sicilia, che è il riferimento citato nel testo; Palermo e Italia si leggono sull’asse. Le righe hanno basi diverse e fasce d’età diverse, scritte in ogni riga: si confrontano il segno e l’ordine dei riferimenti, non la lunghezza di una riga contro quella di un’altra, e i sei valori non sono momenti successivi della stessa coorte. Diploma o laurea 25-64 e titolo universitario 30-34 sono gli stessi indicatori di edu_fig01, qui al solo livello 2011: là interessa il movimento nel tempo, qui la posizione rispetto ai riferimenti.</w:t>
      </w:r>
    </w:p>
    <w:p>
      <w:pPr>
        <w:pStyle w:val="Didascalia"/>
      </w:pPr>
      <w:r>
        <w:rPr>
          <w:b/>
          <w:bCs/>
        </w:rPr>
        <w:t xml:space="preserve">Fonte:</w:t>
      </w:r>
      <w:r>
        <w:t xml:space="preserve"> </w:t>
      </w:r>
      <w:r>
        <w:t xml:space="preserve">ISTAT, 8milaCensus, censimento 2011. Elaborazione: pipeline/edu (thread educazione), data/processed/edu_historical_benchmarks_2011.csv e edu_historical_bagheria.csv.</w:t>
      </w:r>
    </w:p>
    <w:p>
      <w:pPr>
        <w:pStyle w:val="Didascalia"/>
      </w:pPr>
      <w:r>
        <w:rPr>
          <w:i/>
          <w:iCs/>
        </w:rPr>
        <w:t xml:space="preserve">Figura</w:t>
      </w:r>
      <w:r>
        <w:t xml:space="preserve"> </w:t>
      </w:r>
      <w:r>
        <w:rPr>
          <w:rStyle w:val="VerbatimChar"/>
        </w:rPr>
        <w:t xml:space="preserve">edu_fig02_catena_2011</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viz/edu_fig02_catena_2011.R</w:t>
      </w:r>
      <w:r>
        <w:rPr>
          <w:i/>
          <w:iCs/>
        </w:rPr>
        <w:t xml:space="preserve">.</w:t>
      </w:r>
    </w:p>
    <w:p>
      <w:pPr>
        <w:pStyle w:val="BodyText"/>
      </w:pPr>
      <w:r>
        <w:rPr>
          <w:b/>
          <w:bCs/>
        </w:rPr>
        <w:t xml:space="preserve">Il collo di bottiglia, quindi, non è la scolarizzazione di base, che tiene. È tutto ciò</w:t>
      </w:r>
      <w:r>
        <w:rPr>
          <w:b/>
          <w:bCs/>
        </w:rPr>
        <w:t xml:space="preserve"> </w:t>
      </w:r>
      <w:r>
        <w:rPr>
          <w:b/>
          <w:bCs/>
        </w:rPr>
        <w:t xml:space="preserve">che viene dopo: la scala dei titoli, che a Bagheria si ferma presto, e la conversione in</w:t>
      </w:r>
      <w:r>
        <w:rPr>
          <w:b/>
          <w:bCs/>
        </w:rPr>
        <w:t xml:space="preserve"> </w:t>
      </w:r>
      <w:r>
        <w:rPr>
          <w:b/>
          <w:bCs/>
        </w:rPr>
        <w:t xml:space="preserve">lavoro, che non arriva nemmeno per i titoli che ci sono.</w:t>
      </w:r>
      <w:r>
        <w:t xml:space="preserve"> </w:t>
      </w:r>
      <w:r>
        <w:t xml:space="preserve">Le due letture non si sommano in</w:t>
      </w:r>
      <w:r>
        <w:t xml:space="preserve"> </w:t>
      </w:r>
      <w:r>
        <w:t xml:space="preserve">una catena individuale, perché l’incrocio sulla persona non esiste: restano due misure</w:t>
      </w:r>
      <w:r>
        <w:t xml:space="preserve"> </w:t>
      </w:r>
      <w:r>
        <w:t xml:space="preserve">aggregate dello stesso territorio.</w:t>
      </w:r>
    </w:p>
    <w:p>
      <w:pPr>
        <w:pStyle w:val="BodyText"/>
      </w:pPr>
      <w:r>
        <w:t xml:space="preserve">La versione individuale della domanda resta la più importante per il territorio. Per</w:t>
      </w:r>
      <w:r>
        <w:t xml:space="preserve"> </w:t>
      </w:r>
      <w:r>
        <w:t xml:space="preserve">questo la proposta la trasforma in un output: il dataset di servizio della sezione 7.5</w:t>
      </w:r>
      <w:r>
        <w:t xml:space="preserve"> </w:t>
      </w:r>
      <w:r>
        <w:t xml:space="preserve">misura per la prima volta a Bagheria, sulla singola persona, la sequenza titolo → azione →</w:t>
      </w:r>
      <w:r>
        <w:t xml:space="preserve"> </w:t>
      </w:r>
      <w:r>
        <w:t xml:space="preserve">esito.</w:t>
      </w:r>
    </w:p>
    <w:p>
      <w:r>
        <w:pict>
          <v:rect style="width:0;height:1.5pt" o:hralign="center" o:hrstd="t" o:hr="t"/>
        </w:pict>
      </w:r>
    </w:p>
    <w:bookmarkEnd w:id="67"/>
    <w:bookmarkStart w:id="88" w:name="Xcb09c2d349f7556fc27391e9800daf3f36ad9ed"/>
    <w:p>
      <w:pPr>
        <w:pStyle w:val="Heading1"/>
      </w:pPr>
      <w:r>
        <w:t xml:space="preserve">5. Il pendolarismo verso Palermo: una sola destinazione, e un divario di genere che si apre col lavoro</w:t>
      </w:r>
    </w:p>
    <w:p>
      <w:pPr>
        <w:pStyle w:val="FirstParagraph"/>
      </w:pPr>
      <w:r>
        <w:t xml:space="preserve">Il pendolarismo verso Palermo è il terzo focus del bando. Il censimento permanente lo</w:t>
      </w:r>
      <w:r>
        <w:t xml:space="preserve"> </w:t>
      </w:r>
      <w:r>
        <w:t xml:space="preserve">pubblica a livello comunale solo come dentro/fuori comune: la dimensione</w:t>
      </w:r>
      <w:r>
        <w:t xml:space="preserve"> </w:t>
      </w:r>
      <w:r>
        <w:rPr>
          <w:rStyle w:val="VerbatimChar"/>
        </w:rPr>
        <w:t xml:space="preserve">LOC_DEST</w:t>
      </w:r>
      <w:r>
        <w:t xml:space="preserve"> </w:t>
      </w:r>
      <w:r>
        <w:t xml:space="preserve">del</w:t>
      </w:r>
      <w:r>
        <w:t xml:space="preserve"> </w:t>
      </w:r>
      <w:r>
        <w:t xml:space="preserve">dataflow distingue solo lo stesso comune da un altro comune, quindi non dice dove si va. La destinazione la</w:t>
      </w:r>
      <w:r>
        <w:t xml:space="preserve"> </w:t>
      </w:r>
      <w:r>
        <w:t xml:space="preserve">danno le</w:t>
      </w:r>
      <w:r>
        <w:t xml:space="preserve"> </w:t>
      </w:r>
      <w:r>
        <w:rPr>
          <w:i/>
          <w:iCs/>
        </w:rPr>
        <w:t xml:space="preserve">matrici del pendolarismo</w:t>
      </w:r>
      <w:r>
        <w:t xml:space="preserve"> </w:t>
      </w:r>
      <w:r>
        <w:t xml:space="preserve">di ISTAT, che riportano i flussi origine-destinazione</w:t>
      </w:r>
      <w:r>
        <w:t xml:space="preserve"> </w:t>
      </w:r>
      <w:r>
        <w:t xml:space="preserve">comune per comune, con sesso, motivo, mezzo, fascia oraria e durata. Esistono per i</w:t>
      </w:r>
      <w:r>
        <w:t xml:space="preserve"> </w:t>
      </w:r>
      <w:r>
        <w:t xml:space="preserve">censimenti 1991/2001/2011 e, per il solo lavoro, per il censimento permanente 2021.</w:t>
      </w:r>
      <w:r>
        <w:t xml:space="preserve"> </w:t>
      </w:r>
      <w:r>
        <w:t xml:space="preserve">→</w:t>
      </w:r>
      <w:r>
        <w:t xml:space="preserve"> </w:t>
      </w:r>
      <w:r>
        <w:rPr>
          <w:rStyle w:val="VerbatimChar"/>
        </w:rPr>
        <w:t xml:space="preserve">notebooks/mobilita.ipynb</w:t>
      </w:r>
      <w:r>
        <w:t xml:space="preserve">,</w:t>
      </w:r>
      <w:r>
        <w:t xml:space="preserve"> </w:t>
      </w:r>
      <w:r>
        <w:rPr>
          <w:rStyle w:val="VerbatimChar"/>
        </w:rPr>
        <w:t xml:space="preserve">docs/sources.md</w:t>
      </w:r>
      <w:r>
        <w:t xml:space="preserve"> </w:t>
      </w:r>
      <w:r>
        <w:t xml:space="preserve">§12</w:t>
      </w:r>
    </w:p>
    <w:p>
      <w:pPr>
        <w:pStyle w:val="BodyText"/>
      </w:pPr>
      <w:r>
        <w:t xml:space="preserve">Il tracciato dei file è a campi fissi e senza intestazione, quindi un campo sfalsato</w:t>
      </w:r>
      <w:r>
        <w:t xml:space="preserve"> </w:t>
      </w:r>
      <w:r>
        <w:t xml:space="preserve">darebbe numeri plausibili e sbagliati. Per escluderlo, dalla matrice si</w:t>
      </w:r>
      <w:r>
        <w:t xml:space="preserve"> </w:t>
      </w:r>
      <w:r>
        <w:rPr>
          <w:b/>
          <w:bCs/>
        </w:rPr>
        <w:t xml:space="preserve">ricostruiscono</w:t>
      </w:r>
      <w:r>
        <w:rPr>
          <w:b/>
          <w:bCs/>
        </w:rPr>
        <w:t xml:space="preserve"> </w:t>
      </w:r>
      <w:r>
        <w:rPr>
          <w:b/>
          <w:bCs/>
        </w:rPr>
        <w:t xml:space="preserve">sette indicatori</w:t>
      </w:r>
      <w:r>
        <w:rPr>
          <w:b/>
          <w:bCs/>
        </w:rPr>
        <w:t xml:space="preserve"> </w:t>
      </w:r>
      <w:r>
        <w:rPr>
          <w:rStyle w:val="VerbatimChar"/>
          <w:b/>
          <w:bCs/>
        </w:rPr>
        <w:t xml:space="preserve">M</w:t>
      </w:r>
      <w:r>
        <w:rPr>
          <w:b/>
          <w:bCs/>
        </w:rPr>
        <w:t xml:space="preserve"> </w:t>
      </w:r>
      <w:r>
        <w:rPr>
          <w:b/>
          <w:bCs/>
        </w:rPr>
        <w:t xml:space="preserve">di 8milaCensus già pubblicati</w:t>
      </w:r>
      <w:r>
        <w:t xml:space="preserve">. Tutti e sette coincidono alla prima</w:t>
      </w:r>
      <w:r>
        <w:t xml:space="preserve"> </w:t>
      </w:r>
      <w:r>
        <w:t xml:space="preserve">cifra decimale:</w:t>
      </w:r>
      <w:r>
        <w:t xml:space="preserve"> </w:t>
      </w:r>
      <w:r>
        <w:rPr>
          <w:rStyle w:val="VerbatimChar"/>
        </w:rPr>
        <w:t xml:space="preserve">M3</w:t>
      </w:r>
      <w:r>
        <w:t xml:space="preserve"> </w:t>
      </w:r>
      <w:r>
        <w:t xml:space="preserve">76,1 ·</w:t>
      </w:r>
      <w:r>
        <w:t xml:space="preserve"> </w:t>
      </w:r>
      <w:r>
        <w:rPr>
          <w:rStyle w:val="VerbatimChar"/>
        </w:rPr>
        <w:t xml:space="preserve">M4</w:t>
      </w:r>
      <w:r>
        <w:t xml:space="preserve"> </w:t>
      </w:r>
      <w:r>
        <w:t xml:space="preserve">19,6 ·</w:t>
      </w:r>
      <w:r>
        <w:t xml:space="preserve"> </w:t>
      </w:r>
      <w:r>
        <w:rPr>
          <w:rStyle w:val="VerbatimChar"/>
        </w:rPr>
        <w:t xml:space="preserve">M5</w:t>
      </w:r>
      <w:r>
        <w:t xml:space="preserve"> </w:t>
      </w:r>
      <w:r>
        <w:t xml:space="preserve">65,2 ·</w:t>
      </w:r>
      <w:r>
        <w:t xml:space="preserve"> </w:t>
      </w:r>
      <w:r>
        <w:rPr>
          <w:rStyle w:val="VerbatimChar"/>
        </w:rPr>
        <w:t xml:space="preserve">M6</w:t>
      </w:r>
      <w:r>
        <w:t xml:space="preserve"> </w:t>
      </w:r>
      <w:r>
        <w:t xml:space="preserve">8,4 ·</w:t>
      </w:r>
      <w:r>
        <w:t xml:space="preserve"> </w:t>
      </w:r>
      <w:r>
        <w:rPr>
          <w:rStyle w:val="VerbatimChar"/>
        </w:rPr>
        <w:t xml:space="preserve">M7</w:t>
      </w:r>
      <w:r>
        <w:t xml:space="preserve"> </w:t>
      </w:r>
      <w:r>
        <w:t xml:space="preserve">25,7 ·</w:t>
      </w:r>
      <w:r>
        <w:t xml:space="preserve"> </w:t>
      </w:r>
      <w:r>
        <w:rPr>
          <w:rStyle w:val="VerbatimChar"/>
        </w:rPr>
        <w:t xml:space="preserve">M8</w:t>
      </w:r>
      <w:r>
        <w:t xml:space="preserve"> </w:t>
      </w:r>
      <w:r>
        <w:t xml:space="preserve">83,3 ·</w:t>
      </w:r>
      <w:r>
        <w:t xml:space="preserve"> </w:t>
      </w:r>
      <w:r>
        <w:rPr>
          <w:rStyle w:val="VerbatimChar"/>
        </w:rPr>
        <w:t xml:space="preserve">M9</w:t>
      </w:r>
      <w:r>
        <w:t xml:space="preserve"> </w:t>
      </w:r>
      <w:r>
        <w:t xml:space="preserve">3,6.</w:t>
      </w:r>
      <w:r>
        <w:t xml:space="preserve"> </w:t>
      </w:r>
      <w:r>
        <w:t xml:space="preserve">Anche i totali nazionali del 2011 e del 2021 coincidono con quelli dichiarati da ISTAT. Il</w:t>
      </w:r>
      <w:r>
        <w:t xml:space="preserve"> </w:t>
      </w:r>
      <w:r>
        <w:t xml:space="preserve">controllo mostra inoltre che la matrice</w:t>
      </w:r>
      <w:r>
        <w:t xml:space="preserve"> </w:t>
      </w:r>
      <w:r>
        <w:rPr>
          <w:b/>
          <w:bCs/>
        </w:rPr>
        <w:t xml:space="preserve">non è una fonte alternativa a 8milaCensus, ma il</w:t>
      </w:r>
      <w:r>
        <w:rPr>
          <w:b/>
          <w:bCs/>
        </w:rPr>
        <w:t xml:space="preserve"> </w:t>
      </w:r>
      <w:r>
        <w:rPr>
          <w:b/>
          <w:bCs/>
        </w:rPr>
        <w:t xml:space="preserve">livello sottostante</w:t>
      </w:r>
      <w:r>
        <w:t xml:space="preserve"> </w:t>
      </w:r>
      <w:r>
        <w:t xml:space="preserve">da cui quegli indicatori sono calcolati: un punto utile rispetto al</w:t>
      </w:r>
      <w:r>
        <w:t xml:space="preserve"> </w:t>
      </w:r>
      <w:r>
        <w:t xml:space="preserve">vincolo sulle fonti posto dal bando. → sezione «La fonte, e come si controlla che sia letta</w:t>
      </w:r>
      <w:r>
        <w:t xml:space="preserve"> </w:t>
      </w:r>
      <w:r>
        <w:t xml:space="preserve">bene» di</w:t>
      </w:r>
      <w:r>
        <w:t xml:space="preserve"> </w:t>
      </w:r>
      <w:r>
        <w:rPr>
          <w:rStyle w:val="VerbatimChar"/>
        </w:rPr>
        <w:t xml:space="preserve">notebooks/mobilita.ipynb</w:t>
      </w:r>
    </w:p>
    <w:bookmarkStart w:id="71" w:name="la-destinazione-ha-un-nome-ed-è-una-sola"/>
    <w:p>
      <w:pPr>
        <w:pStyle w:val="Heading2"/>
      </w:pPr>
      <w:r>
        <w:t xml:space="preserve">5.1 La destinazione ha un nome, ed è una sola</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Fra chi esce dal comune, quanti vanno a Palermo</w:t>
            </w:r>
          </w:p>
        </w:tc>
        <w:tc>
          <w:tcPr/>
          <w:p>
            <w:pPr>
              <w:pStyle w:val="Compact"/>
              <w:jc w:val="right"/>
            </w:pPr>
            <w:r>
              <w:t xml:space="preserve">quota</w:t>
            </w:r>
          </w:p>
        </w:tc>
        <w:tc>
          <w:tcPr/>
          <w:p>
            <w:pPr>
              <w:pStyle w:val="Compact"/>
            </w:pPr>
            <w:r>
              <w:t xml:space="preserve">percentile sui 381 comuni non capoluogo</w:t>
            </w:r>
          </w:p>
        </w:tc>
      </w:tr>
      <w:tr>
        <w:tc>
          <w:tcPr/>
          <w:p>
            <w:pPr>
              <w:pStyle w:val="Compact"/>
            </w:pPr>
            <w:r>
              <w:rPr>
                <w:b/>
                <w:bCs/>
              </w:rPr>
              <w:t xml:space="preserve">per studio</w:t>
            </w:r>
            <w:r>
              <w:t xml:space="preserve">, 2011</w:t>
            </w:r>
          </w:p>
        </w:tc>
        <w:tc>
          <w:tcPr/>
          <w:p>
            <w:pPr>
              <w:pStyle w:val="Compact"/>
              <w:jc w:val="right"/>
            </w:pPr>
            <w:r>
              <w:rPr>
                <w:b/>
                <w:bCs/>
              </w:rPr>
              <w:t xml:space="preserve">91,1%</w:t>
            </w:r>
          </w:p>
        </w:tc>
        <w:tc>
          <w:tcPr/>
          <w:p>
            <w:pPr>
              <w:pStyle w:val="Compact"/>
            </w:pPr>
            <w:r>
              <w:t xml:space="preserve">97°</w:t>
            </w:r>
          </w:p>
        </w:tc>
      </w:tr>
      <w:tr>
        <w:tc>
          <w:tcPr/>
          <w:p>
            <w:pPr>
              <w:pStyle w:val="Compact"/>
            </w:pPr>
            <w:r>
              <w:rPr>
                <w:b/>
                <w:bCs/>
              </w:rPr>
              <w:t xml:space="preserve">per lavoro</w:t>
            </w:r>
            <w:r>
              <w:t xml:space="preserve">, 2011</w:t>
            </w:r>
          </w:p>
        </w:tc>
        <w:tc>
          <w:tcPr/>
          <w:p>
            <w:pPr>
              <w:pStyle w:val="Compact"/>
              <w:jc w:val="right"/>
            </w:pPr>
            <w:r>
              <w:rPr>
                <w:b/>
                <w:bCs/>
              </w:rPr>
              <w:t xml:space="preserve">67,5%</w:t>
            </w:r>
          </w:p>
        </w:tc>
        <w:tc>
          <w:tcPr/>
          <w:p>
            <w:pPr>
              <w:pStyle w:val="Compact"/>
            </w:pPr>
            <w:r>
              <w:t xml:space="preserve">93°</w:t>
            </w:r>
          </w:p>
        </w:tc>
      </w:tr>
      <w:tr>
        <w:tc>
          <w:tcPr/>
          <w:p>
            <w:pPr>
              <w:pStyle w:val="Compact"/>
            </w:pPr>
            <w:r>
              <w:rPr>
                <w:b/>
                <w:bCs/>
              </w:rPr>
              <w:t xml:space="preserve">per lavoro</w:t>
            </w:r>
            <w:r>
              <w:t xml:space="preserve">, 2021</w:t>
            </w:r>
          </w:p>
        </w:tc>
        <w:tc>
          <w:tcPr/>
          <w:p>
            <w:pPr>
              <w:pStyle w:val="Compact"/>
              <w:jc w:val="right"/>
            </w:pPr>
            <w:r>
              <w:rPr>
                <w:b/>
                <w:bCs/>
              </w:rPr>
              <w:t xml:space="preserve">65,1%</w:t>
            </w:r>
          </w:p>
        </w:tc>
        <w:tc>
          <w:tcPr/>
          <w:p>
            <w:pPr>
              <w:pStyle w:val="Compact"/>
            </w:pPr>
            <w:r>
              <w:t xml:space="preserve">94°</w:t>
            </w:r>
          </w:p>
        </w:tc>
      </w:tr>
    </w:tbl>
    <w:p>
      <w:pPr>
        <w:pStyle w:val="BodyText"/>
      </w:pPr>
      <w:r>
        <w:t xml:space="preserve">Il secondo comune di destinazione per lavoro è Santa Flavia, con il 6,8% nel 2011:</w:t>
      </w:r>
      <w:r>
        <w:t xml:space="preserve"> </w:t>
      </w:r>
      <w:r>
        <w:rPr>
          <w:b/>
          <w:bCs/>
        </w:rPr>
        <w:t xml:space="preserve">non</w:t>
      </w:r>
      <w:r>
        <w:rPr>
          <w:b/>
          <w:bCs/>
        </w:rPr>
        <w:t xml:space="preserve"> </w:t>
      </w:r>
      <w:r>
        <w:rPr>
          <w:b/>
          <w:bCs/>
        </w:rPr>
        <w:t xml:space="preserve">esiste una seconda direzione</w:t>
      </w:r>
      <w:r>
        <w:t xml:space="preserve">. Il percentile è calcolato su una misura comparabile fra</w:t>
      </w:r>
      <w:r>
        <w:t xml:space="preserve"> </w:t>
      </w:r>
      <w:r>
        <w:t xml:space="preserve">comuni, la quota di chi esce diretta al</w:t>
      </w:r>
      <w:r>
        <w:t xml:space="preserve"> </w:t>
      </w:r>
      <w:r>
        <w:rPr>
          <w:i/>
          <w:iCs/>
        </w:rPr>
        <w:t xml:space="preserve">proprio</w:t>
      </w:r>
      <w:r>
        <w:t xml:space="preserve"> </w:t>
      </w:r>
      <w:r>
        <w:t xml:space="preserve">capoluogo di provincia. Per un comune del</w:t>
      </w:r>
      <w:r>
        <w:t xml:space="preserve"> </w:t>
      </w:r>
      <w:r>
        <w:t xml:space="preserve">Ragusano, infatti, «quanti vanno a Palermo» è zero per costruzione. → sezione 2 di</w:t>
      </w:r>
      <w:r>
        <w:t xml:space="preserve"> </w:t>
      </w:r>
      <w:r>
        <w:rPr>
          <w:rStyle w:val="VerbatimChar"/>
        </w:rPr>
        <w:t xml:space="preserve">notebooks/mobilita.ipynb</w:t>
      </w:r>
      <w:r>
        <w:t xml:space="preserve">,</w:t>
      </w:r>
      <w:r>
        <w:t xml:space="preserve"> </w:t>
      </w:r>
      <w:r>
        <w:rPr>
          <w:rStyle w:val="VerbatimChar"/>
        </w:rPr>
        <w:t xml:space="preserve">mob_flussi_bagheria.csv</w:t>
      </w:r>
      <w:r>
        <w:t xml:space="preserve">, fig</w:t>
      </w:r>
      <w:r>
        <w:t xml:space="preserve"> </w:t>
      </w:r>
      <w:r>
        <w:rPr>
          <w:rStyle w:val="VerbatimChar"/>
        </w:rPr>
        <w:t xml:space="preserve">mob_fig01</w:t>
      </w:r>
    </w:p>
    <w:p>
      <w:pPr>
        <w:pStyle w:val="BodyText"/>
      </w:pPr>
      <w:r>
        <w:t xml:space="preserve">Una destinazione unica rende la mobilità una leva di policy, non un dettaglio descrittivo:</w:t>
      </w:r>
      <w:r>
        <w:t xml:space="preserve"> </w:t>
      </w:r>
      <w:r>
        <w:t xml:space="preserve">non c’è da scegliere quale destinazione servire.</w:t>
      </w:r>
    </w:p>
    <w:p>
      <w:pPr>
        <w:pStyle w:val="BodyText"/>
      </w:pPr>
      <w:r>
        <w:drawing>
          <wp:inline>
            <wp:extent cx="6108700" cy="3337974"/>
            <wp:effectExtent b="0" l="0" r="0" t="0"/>
            <wp:docPr descr="" title="" id="69" name="Picture"/>
            <a:graphic>
              <a:graphicData uri="http://schemas.openxmlformats.org/drawingml/2006/picture">
                <pic:pic>
                  <pic:nvPicPr>
                    <pic:cNvPr descr="/home/kiycoh/Documents/dev/datapolis-2026-hackathon/.docx-build/mob_fig01_verso_palermo.png" id="70" name="Picture"/>
                    <pic:cNvPicPr>
                      <a:picLocks noChangeArrowheads="1" noChangeAspect="1"/>
                    </pic:cNvPicPr>
                  </pic:nvPicPr>
                  <pic:blipFill>
                    <a:blip r:embed="rId68"/>
                    <a:stretch>
                      <a:fillRect/>
                    </a:stretch>
                  </pic:blipFill>
                  <pic:spPr bwMode="auto">
                    <a:xfrm>
                      <a:off x="0" y="0"/>
                      <a:ext cx="6108700" cy="3337974"/>
                    </a:xfrm>
                    <a:prstGeom prst="rect">
                      <a:avLst/>
                    </a:prstGeom>
                    <a:noFill/>
                    <a:ln w="9525">
                      <a:noFill/>
                      <a:headEnd/>
                      <a:tailEnd/>
                    </a:ln>
                  </pic:spPr>
                </pic:pic>
              </a:graphicData>
            </a:graphic>
          </wp:inline>
        </w:drawing>
      </w:r>
    </w:p>
    <w:p>
      <w:pPr>
        <w:pStyle w:val="Didascalia"/>
      </w:pPr>
      <w:r>
        <w:rPr>
          <w:b/>
          <w:bCs/>
        </w:rPr>
        <w:t xml:space="preserve">Figura 14. Come si legge:</w:t>
      </w:r>
      <w:r>
        <w:t xml:space="preserve"> </w:t>
      </w:r>
      <w:r>
        <w:t xml:space="preserve">spessore e opacità di ogni linea sono proporzionali al numero di persone, e la dimensione del pallino sulla destinazione lo è al numero di arrivi. Le linee sono rette fra i centroidi comunali e non percorsi reali: dicono quanti e verso dove, non per quale strada. Il riquadro è il corridoio Bagheria-Palermo, 65 per 36 km, e contiene le destinazioni che valgono il 90% del flusso; la quota rimasta fuori dal riquadro è annotata in basso a sinistra in ciascun pannello, invece di essere disegnata come una linea che esce dal bordo. Sono nominate le prime cinque destinazioni di ogni scena. Il punto vermiglio è Bagheria, origine di tutte le linee. Le due annate stanno una per pannello e non in serie: il 2011 conta chi si sposta giornalmente, il 2021 chi si reca al lavoro almeno tre giorni a settimana, e il 2021 copre il solo motivo lavoro. Si confronta la composizione, cioè dove vanno su cento che escono, mai quanti escono. La matrice non ha la dimensione dell’età, quindi il target 15-34 del bando non è isolabile su questa fonte; chi esce per studio è però quasi solo secondaria superiore e università, perché a Bagheria i cicli precedenti ci sono tutti.</w:t>
      </w:r>
    </w:p>
    <w:p>
      <w:pPr>
        <w:pStyle w:val="Didascalia"/>
      </w:pPr>
      <w:r>
        <w:rPr>
          <w:b/>
          <w:bCs/>
        </w:rPr>
        <w:t xml:space="preserve">Fonte:</w:t>
      </w:r>
      <w:r>
        <w:t xml:space="preserve"> </w:t>
      </w:r>
      <w:r>
        <w:t xml:space="preserve">ISTAT, Matrici del pendolarismo, censimento della popolazione 2011 (studio) e censimento permanente 2021 (lavoro), origine-destinazione comune per comune, su studio 2011: 1.706 persone; lavoro 2021: 4.808 persone. Confini: ISTAT, unità amministrative generalizzate al 01/01/2026, sistema di riferimento EPSG:32633 (WGS 84 / UTM 33N). Elaborazione: notebooks/mobilita.ipynb (data/processed/mob_flussi_bagheria.csv).</w:t>
      </w:r>
    </w:p>
    <w:p>
      <w:pPr>
        <w:pStyle w:val="Didascalia"/>
      </w:pPr>
      <w:r>
        <w:rPr>
          <w:i/>
          <w:iCs/>
        </w:rPr>
        <w:t xml:space="preserve">Figura</w:t>
      </w:r>
      <w:r>
        <w:t xml:space="preserve"> </w:t>
      </w:r>
      <w:r>
        <w:rPr>
          <w:rStyle w:val="VerbatimChar"/>
        </w:rPr>
        <w:t xml:space="preserve">mob_fig01_verso_palermo</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viz/mob_fig01_verso_palermo.R</w:t>
      </w:r>
      <w:r>
        <w:rPr>
          <w:i/>
          <w:iCs/>
        </w:rPr>
        <w:t xml:space="preserve">.</w:t>
      </w:r>
    </w:p>
    <w:bookmarkEnd w:id="71"/>
    <w:bookmarkStart w:id="78" w:name="X067795717d5e14fbc353145f59392e06007f2a3"/>
    <w:p>
      <w:pPr>
        <w:pStyle w:val="Heading2"/>
      </w:pPr>
      <w:r>
        <w:t xml:space="preserve">5.2 Il ribaltamento: lo scarto di genere cambia segno col motivo</w:t>
      </w:r>
    </w:p>
    <w:p>
      <w:pPr>
        <w:pStyle w:val="FirstParagraph"/>
      </w:pPr>
      <w:r>
        <w:t xml:space="preserve">La misura è la quota di chi</w:t>
      </w:r>
      <w:r>
        <w:t xml:space="preserve"> </w:t>
      </w:r>
      <w:r>
        <w:rPr>
          <w:b/>
          <w:bCs/>
        </w:rPr>
        <w:t xml:space="preserve">esce dal comune</w:t>
      </w:r>
      <w:r>
        <w:t xml:space="preserve"> </w:t>
      </w:r>
      <w:r>
        <w:t xml:space="preserve">sul totale di chi si sposta ogni giorno per</w:t>
      </w:r>
      <w:r>
        <w:t xml:space="preserve"> </w:t>
      </w:r>
      <w:r>
        <w:t xml:space="preserve">quel motivo, distinta per genere. Il denominatore è già condizionato al motivo: chi si</w:t>
      </w:r>
      <w:r>
        <w:t xml:space="preserve"> </w:t>
      </w:r>
      <w:r>
        <w:t xml:space="preserve">sposta per lavoro un lavoro ce l’ha. Lo scarto di genere è quindi</w:t>
      </w:r>
      <w:r>
        <w:t xml:space="preserve"> </w:t>
      </w:r>
      <w:r>
        <w:rPr>
          <w:b/>
          <w:bCs/>
        </w:rPr>
        <w:t xml:space="preserve">compatibile</w:t>
      </w:r>
      <w:r>
        <w:t xml:space="preserve"> </w:t>
      </w:r>
      <w:r>
        <w:t xml:space="preserve">con il</w:t>
      </w:r>
      <w:r>
        <w:t xml:space="preserve"> </w:t>
      </w:r>
      <w:r>
        <w:t xml:space="preserve">divario occupazionale della sezione 3, non una sua conferma indipendente. Se chi non può</w:t>
      </w:r>
      <w:r>
        <w:t xml:space="preserve"> </w:t>
      </w:r>
      <w:r>
        <w:t xml:space="preserve">spostarsi non lavora, le occupate sono per costruzione quelle con un lavoro vicino. Il</w:t>
      </w:r>
      <w:r>
        <w:t xml:space="preserve"> </w:t>
      </w:r>
      <w:r>
        <w:t xml:space="preserve">conteggio del 2011, infine,</w:t>
      </w:r>
      <w:r>
        <w:t xml:space="preserve"> </w:t>
      </w:r>
      <w:r>
        <w:rPr>
          <w:b/>
          <w:bCs/>
        </w:rPr>
        <w:t xml:space="preserve">non è una stima</w:t>
      </w:r>
      <w:r>
        <w:t xml:space="preserve">: i record di tipo</w:t>
      </w:r>
      <w:r>
        <w:t xml:space="preserve"> </w:t>
      </w:r>
      <w:r>
        <w:rPr>
          <w:rStyle w:val="VerbatimChar"/>
        </w:rPr>
        <w:t xml:space="preserve">S</w:t>
      </w:r>
      <w:r>
        <w:t xml:space="preserve"> </w:t>
      </w:r>
      <w:r>
        <w:t xml:space="preserve">sono un’enumerazione</w:t>
      </w:r>
      <w:r>
        <w:t xml:space="preserve"> </w:t>
      </w:r>
      <w:r>
        <w:t xml:space="preserve">esaustiva.</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Quota che esce dal comune, 2011, scarto F − M</w:t>
            </w:r>
          </w:p>
        </w:tc>
        <w:tc>
          <w:tcPr/>
          <w:p>
            <w:pPr>
              <w:pStyle w:val="Compact"/>
              <w:jc w:val="right"/>
            </w:pPr>
            <w:r>
              <w:t xml:space="preserve">Bagheria</w:t>
            </w:r>
          </w:p>
        </w:tc>
        <w:tc>
          <w:tcPr/>
          <w:p>
            <w:pPr>
              <w:pStyle w:val="Compact"/>
              <w:jc w:val="right"/>
            </w:pPr>
            <w:r>
              <w:t xml:space="preserve">Sicilia</w:t>
            </w:r>
          </w:p>
        </w:tc>
        <w:tc>
          <w:tcPr/>
          <w:p>
            <w:pPr>
              <w:pStyle w:val="Compact"/>
              <w:jc w:val="right"/>
            </w:pPr>
            <w:r>
              <w:t xml:space="preserve">Italia</w:t>
            </w:r>
          </w:p>
        </w:tc>
        <w:tc>
          <w:tcPr/>
          <w:p>
            <w:pPr>
              <w:pStyle w:val="Compact"/>
              <w:jc w:val="right"/>
            </w:pPr>
            <w:r>
              <w:t xml:space="preserve">Comune di Palermo</w:t>
            </w:r>
          </w:p>
        </w:tc>
      </w:tr>
      <w:tr>
        <w:tc>
          <w:tcPr/>
          <w:p>
            <w:pPr>
              <w:pStyle w:val="Compact"/>
            </w:pPr>
            <w:r>
              <w:rPr>
                <w:b/>
                <w:bCs/>
              </w:rPr>
              <w:t xml:space="preserve">per studio</w:t>
            </w:r>
          </w:p>
        </w:tc>
        <w:tc>
          <w:tcPr/>
          <w:p>
            <w:pPr>
              <w:pStyle w:val="Compact"/>
              <w:jc w:val="right"/>
            </w:pPr>
            <w:r>
              <w:rPr>
                <w:b/>
                <w:bCs/>
              </w:rPr>
              <w:t xml:space="preserve">+2,6</w:t>
            </w:r>
          </w:p>
        </w:tc>
        <w:tc>
          <w:tcPr/>
          <w:p>
            <w:pPr>
              <w:pStyle w:val="Compact"/>
              <w:jc w:val="right"/>
            </w:pPr>
            <w:r>
              <w:t xml:space="preserve">+1,4</w:t>
            </w:r>
          </w:p>
        </w:tc>
        <w:tc>
          <w:tcPr/>
          <w:p>
            <w:pPr>
              <w:pStyle w:val="Compact"/>
              <w:jc w:val="right"/>
            </w:pPr>
            <w:r>
              <w:t xml:space="preserve">+1,8</w:t>
            </w:r>
          </w:p>
        </w:tc>
        <w:tc>
          <w:tcPr/>
          <w:p>
            <w:pPr>
              <w:pStyle w:val="Compact"/>
              <w:jc w:val="right"/>
            </w:pPr>
            <w:r>
              <w:t xml:space="preserve">−0,1</w:t>
            </w:r>
          </w:p>
        </w:tc>
      </w:tr>
      <w:tr>
        <w:tc>
          <w:tcPr/>
          <w:p>
            <w:pPr>
              <w:pStyle w:val="Compact"/>
            </w:pPr>
            <w:r>
              <w:rPr>
                <w:b/>
                <w:bCs/>
              </w:rPr>
              <w:t xml:space="preserve">per lavoro</w:t>
            </w:r>
          </w:p>
        </w:tc>
        <w:tc>
          <w:tcPr/>
          <w:p>
            <w:pPr>
              <w:pStyle w:val="Compact"/>
              <w:jc w:val="right"/>
            </w:pPr>
            <w:r>
              <w:rPr>
                <w:b/>
                <w:bCs/>
              </w:rPr>
              <w:t xml:space="preserve">−12,1</w:t>
            </w:r>
          </w:p>
        </w:tc>
        <w:tc>
          <w:tcPr/>
          <w:p>
            <w:pPr>
              <w:pStyle w:val="Compact"/>
              <w:jc w:val="right"/>
            </w:pPr>
            <w:r>
              <w:t xml:space="preserve">−4,6</w:t>
            </w:r>
          </w:p>
        </w:tc>
        <w:tc>
          <w:tcPr/>
          <w:p>
            <w:pPr>
              <w:pStyle w:val="Compact"/>
              <w:jc w:val="right"/>
            </w:pPr>
            <w:r>
              <w:t xml:space="preserve">−4,8</w:t>
            </w:r>
          </w:p>
        </w:tc>
        <w:tc>
          <w:tcPr/>
          <w:p>
            <w:pPr>
              <w:pStyle w:val="Compact"/>
              <w:jc w:val="right"/>
            </w:pPr>
            <w:r>
              <w:t xml:space="preserve">−2,0</w:t>
            </w:r>
          </w:p>
        </w:tc>
      </w:tr>
      <w:tr>
        <w:tc>
          <w:tcPr/>
          <w:p>
            <w:pPr>
              <w:pStyle w:val="Compact"/>
            </w:pPr>
            <w:r>
              <w:rPr>
                <w:b/>
                <w:bCs/>
              </w:rPr>
              <w:t xml:space="preserve">il salto fra i due</w:t>
            </w:r>
          </w:p>
        </w:tc>
        <w:tc>
          <w:tcPr/>
          <w:p>
            <w:pPr>
              <w:pStyle w:val="Compact"/>
              <w:jc w:val="right"/>
            </w:pPr>
            <w:r>
              <w:rPr>
                <w:b/>
                <w:bCs/>
              </w:rPr>
              <w:t xml:space="preserve">14,7</w:t>
            </w:r>
          </w:p>
        </w:tc>
        <w:tc>
          <w:tcPr/>
          <w:p>
            <w:pPr>
              <w:pStyle w:val="Compact"/>
              <w:jc w:val="right"/>
            </w:pPr>
            <w:r>
              <w:t xml:space="preserve">6,0</w:t>
            </w:r>
          </w:p>
        </w:tc>
        <w:tc>
          <w:tcPr/>
          <w:p>
            <w:pPr>
              <w:pStyle w:val="Compact"/>
              <w:jc w:val="right"/>
            </w:pPr>
            <w:r>
              <w:t xml:space="preserve">6,5</w:t>
            </w:r>
          </w:p>
        </w:tc>
        <w:tc>
          <w:tcPr/>
          <w:p>
            <w:pPr>
              <w:pStyle w:val="Compact"/>
              <w:jc w:val="right"/>
            </w:pPr>
            <w:r>
              <w:t xml:space="preserve">1,9</w:t>
            </w:r>
          </w:p>
        </w:tc>
      </w:tr>
    </w:tbl>
    <w:p>
      <w:pPr>
        <w:pStyle w:val="BodyText"/>
      </w:pPr>
      <w:r>
        <w:t xml:space="preserve">→</w:t>
      </w:r>
      <w:r>
        <w:t xml:space="preserve"> </w:t>
      </w:r>
      <w:r>
        <w:rPr>
          <w:rStyle w:val="VerbatimChar"/>
        </w:rPr>
        <w:t xml:space="preserve">mob_ribaltamento.csv</w:t>
      </w:r>
      <w:r>
        <w:t xml:space="preserve">,</w:t>
      </w:r>
      <w:r>
        <w:t xml:space="preserve"> </w:t>
      </w:r>
      <w:r>
        <w:rPr>
          <w:rStyle w:val="VerbatimChar"/>
        </w:rPr>
        <w:t xml:space="preserve">mob_ribaltamento_territori.csv</w:t>
      </w:r>
      <w:r>
        <w:t xml:space="preserve">, fig</w:t>
      </w:r>
      <w:r>
        <w:t xml:space="preserve"> </w:t>
      </w:r>
      <w:r>
        <w:rPr>
          <w:rStyle w:val="VerbatimChar"/>
        </w:rPr>
        <w:t xml:space="preserve">mob_fig02</w:t>
      </w:r>
    </w:p>
    <w:p>
      <w:pPr>
        <w:pStyle w:val="BodyText"/>
      </w:pPr>
      <w:r>
        <w:t xml:space="preserve">Il cambio di verso col motivo non è solo di Bagheria: c’è anche in Sicilia e in Italia,</w:t>
      </w:r>
      <w:r>
        <w:t xml:space="preserve"> </w:t>
      </w:r>
      <w:r>
        <w:t xml:space="preserve">mentre a Palermo città i due scarti sono entrambi negativi e quasi nulli. La particolarità</w:t>
      </w:r>
      <w:r>
        <w:t xml:space="preserve"> </w:t>
      </w:r>
      <w:r>
        <w:t xml:space="preserve">di Bagheria è</w:t>
      </w:r>
      <w:r>
        <w:t xml:space="preserve"> </w:t>
      </w:r>
      <w:r>
        <w:rPr>
          <w:b/>
          <w:bCs/>
        </w:rPr>
        <w:t xml:space="preserve">l’ampiezza</w:t>
      </w:r>
      <w:r>
        <w:t xml:space="preserve">: un salto due volte e mezza quello siciliano, e sul lavoro il</w:t>
      </w:r>
      <w:r>
        <w:t xml:space="preserve"> </w:t>
      </w:r>
      <w:r>
        <w:rPr>
          <w:b/>
          <w:bCs/>
        </w:rPr>
        <w:t xml:space="preserve">15° percentile</w:t>
      </w:r>
      <w:r>
        <w:t xml:space="preserve"> </w:t>
      </w:r>
      <w:r>
        <w:t xml:space="preserve">dei comuni siciliani (14° al netto di taglia e distanza dal capoluogo).</w:t>
      </w:r>
      <w:r>
        <w:t xml:space="preserve"> </w:t>
      </w:r>
      <w:r>
        <w:rPr>
          <w:b/>
          <w:bCs/>
        </w:rPr>
        <w:t xml:space="preserve">Cautela.</w:t>
      </w:r>
      <w:r>
        <w:t xml:space="preserve"> </w:t>
      </w:r>
      <w:r>
        <w:t xml:space="preserve">La fonte non ha l’età. Sullo studio pesano i giovani, sul lavoro gli adulti fino a 64</w:t>
      </w:r>
      <w:r>
        <w:t xml:space="preserve"> </w:t>
      </w:r>
      <w:r>
        <w:t xml:space="preserve">anni: il ribaltamento confronta quindi due popolazioni diverse, non il passaggio di vita</w:t>
      </w:r>
      <w:r>
        <w:t xml:space="preserve"> </w:t>
      </w:r>
      <w:r>
        <w:t xml:space="preserve">delle stesse ragazze. Il vantaggio femminile sullo studio, inoltre, è in parte meccanico:</w:t>
      </w:r>
      <w:r>
        <w:t xml:space="preserve"> </w:t>
      </w:r>
      <w:r>
        <w:t xml:space="preserve">più ragazze all’università, che è a Palermo.</w:t>
      </w:r>
    </w:p>
    <w:p>
      <w:pPr>
        <w:pStyle w:val="BodyText"/>
      </w:pPr>
      <w:r>
        <w:drawing>
          <wp:inline>
            <wp:extent cx="6108700" cy="3821862"/>
            <wp:effectExtent b="0" l="0" r="0" t="0"/>
            <wp:docPr descr="" title="" id="73" name="Picture"/>
            <a:graphic>
              <a:graphicData uri="http://schemas.openxmlformats.org/drawingml/2006/picture">
                <pic:pic>
                  <pic:nvPicPr>
                    <pic:cNvPr descr="/home/kiycoh/Documents/dev/datapolis-2026-hackathon/.docx-build/mob_fig02_ribaltamento.png" id="74" name="Picture"/>
                    <pic:cNvPicPr>
                      <a:picLocks noChangeArrowheads="1" noChangeAspect="1"/>
                    </pic:cNvPicPr>
                  </pic:nvPicPr>
                  <pic:blipFill>
                    <a:blip r:embed="rId72"/>
                    <a:stretch>
                      <a:fillRect/>
                    </a:stretch>
                  </pic:blipFill>
                  <pic:spPr bwMode="auto">
                    <a:xfrm>
                      <a:off x="0" y="0"/>
                      <a:ext cx="6108700" cy="3821862"/>
                    </a:xfrm>
                    <a:prstGeom prst="rect">
                      <a:avLst/>
                    </a:prstGeom>
                    <a:noFill/>
                    <a:ln w="9525">
                      <a:noFill/>
                      <a:headEnd/>
                      <a:tailEnd/>
                    </a:ln>
                  </pic:spPr>
                </pic:pic>
              </a:graphicData>
            </a:graphic>
          </wp:inline>
        </w:drawing>
      </w:r>
    </w:p>
    <w:p>
      <w:pPr>
        <w:pStyle w:val="Didascalia"/>
      </w:pPr>
      <w:r>
        <w:rPr>
          <w:b/>
          <w:bCs/>
        </w:rPr>
        <w:t xml:space="preserve">Figura 15. Come si legge:</w:t>
      </w:r>
      <w:r>
        <w:t xml:space="preserve"> </w:t>
      </w:r>
      <w:r>
        <w:t xml:space="preserve">nel pannello di sinistra ogni linea è un territorio e la sua pendenza è il finding: unisce lo scarto sullo studio a quello sul lavoro, e il cambio di segno è il ribaltamento. Bagheria è in vermiglio e a tratto spesso, gli altri quattro territori sono grigi perché servono a mostrare che il ribaltamento esiste ovunque e che quello che cambia è l’ampiezza. La riga orizzontale chiara è lo zero, cioè la parità fra i generi. Le etichette di fine linea sono scostate in verticale quel tanto che basta a non sovrapporsi: i punti stanno sul valore vero, le scritte no. Nel pannello di destra ogni barra conta i comuni con quel valore di ribaltamento; la riga grigia è la mediana dei 390 comuni e quella vermiglia è Bagheria, con il suo percentile. «5 comuni vicini» è l’aggregato di Santa Flavia, Ficarazzi, Villabate, Casteldaccia e Misilmeri. I 390 comuni sono presi ai confini del 2011, l’universo usato da tutti i thread del progetto, e la matrice non ha la dimensione dell’età: il target 15-34 del bando non è isolabile su questa fonte. Chi esce dal comune per studio è però quasi solo secondaria superiore e università, perché a Bagheria i cicli precedenti ci sono tutti.</w:t>
      </w:r>
    </w:p>
    <w:p>
      <w:pPr>
        <w:pStyle w:val="Didascalia"/>
      </w:pPr>
      <w:r>
        <w:rPr>
          <w:b/>
          <w:bCs/>
        </w:rPr>
        <w:t xml:space="preserve">Fonte:</w:t>
      </w:r>
      <w:r>
        <w:t xml:space="preserve"> </w:t>
      </w:r>
      <w:r>
        <w:t xml:space="preserve">ISTAT, Matrice del pendolarismo, censimento della popolazione 2011 (conteggio esaustivo su 11.153 pendolari a Bagheria: non è una stima campionaria), più il Censimento permanente della popolazione del 2018 per il controllo su una rilevazione indipendente. Elaborazione: notebooks/mobilita.ipynb (data/processed/mob_ribaltamento.csv, mob_ribaltamento_territori.csv, mob_ribaltamento_390.csv, mob_treno_390.csv per i denominatori e genere_pendolarismo.csv per il controllo).</w:t>
      </w:r>
    </w:p>
    <w:p>
      <w:pPr>
        <w:pStyle w:val="Didascalia"/>
      </w:pPr>
      <w:r>
        <w:rPr>
          <w:i/>
          <w:iCs/>
        </w:rPr>
        <w:t xml:space="preserve">Figura</w:t>
      </w:r>
      <w:r>
        <w:t xml:space="preserve"> </w:t>
      </w:r>
      <w:r>
        <w:rPr>
          <w:rStyle w:val="VerbatimChar"/>
        </w:rPr>
        <w:t xml:space="preserve">mob_fig02_ribaltamento</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viz/mob_fig02_ribaltamento.R</w:t>
      </w:r>
      <w:r>
        <w:rPr>
          <w:i/>
          <w:iCs/>
        </w:rPr>
        <w:t xml:space="preserve">.</w:t>
      </w:r>
    </w:p>
    <w:p>
      <w:pPr>
        <w:pStyle w:val="BodyText"/>
      </w:pPr>
      <w:r>
        <w:rPr>
          <w:b/>
          <w:bCs/>
        </w:rPr>
        <w:t xml:space="preserve">Il risultato si replica su una fonte diversa.</w:t>
      </w:r>
      <w:r>
        <w:t xml:space="preserve"> </w:t>
      </w:r>
      <w:r>
        <w:t xml:space="preserve">Sul censimento permanente 2018-2019, cioè</w:t>
      </w:r>
      <w:r>
        <w:t xml:space="preserve"> </w:t>
      </w:r>
      <w:r>
        <w:t xml:space="preserve">su un’altra rilevazione, con un altro metodo e sette anni dopo, lo stesso salto fra studio e</w:t>
      </w:r>
      <w:r>
        <w:t xml:space="preserve"> </w:t>
      </w:r>
      <w:r>
        <w:t xml:space="preserve">lavoro vale a Bagheria 11,3 e 10,9 punti. In Sicilia vale 5,6 e 5,9, in Italia 6,5 e 6,1.</w:t>
      </w:r>
      <w:r>
        <w:t xml:space="preserve"> </w:t>
      </w:r>
      <w:r>
        <w:t xml:space="preserve">Il salto è compatibile con la forbice della sezione 3.1 e viene da una terza tavola;</w:t>
      </w:r>
      <w:r>
        <w:t xml:space="preserve"> </w:t>
      </w:r>
      <w:r>
        <w:t xml:space="preserve">senza l’età, però, non colloca il passaggio nella vita delle stesse persone.</w:t>
      </w:r>
      <w:r>
        <w:t xml:space="preserve"> </w:t>
      </w:r>
      <w:r>
        <w:t xml:space="preserve">→</w:t>
      </w:r>
      <w:r>
        <w:t xml:space="preserve"> </w:t>
      </w:r>
      <w:r>
        <w:rPr>
          <w:rStyle w:val="VerbatimChar"/>
        </w:rPr>
        <w:t xml:space="preserve">genere_pendolarismo.csv</w:t>
      </w:r>
      <w:r>
        <w:t xml:space="preserve">, fig12</w:t>
      </w:r>
    </w:p>
    <w:p>
      <w:pPr>
        <w:pStyle w:val="BodyText"/>
      </w:pPr>
      <w:r>
        <w:drawing>
          <wp:inline>
            <wp:extent cx="6108700" cy="4043726"/>
            <wp:effectExtent b="0" l="0" r="0" t="0"/>
            <wp:docPr descr="" title="" id="76" name="Picture"/>
            <a:graphic>
              <a:graphicData uri="http://schemas.openxmlformats.org/drawingml/2006/picture">
                <pic:pic>
                  <pic:nvPicPr>
                    <pic:cNvPr descr="/home/kiycoh/Documents/dev/datapolis-2026-hackathon/.docx-build/fig12_pendolarismo.png" id="77" name="Picture"/>
                    <pic:cNvPicPr>
                      <a:picLocks noChangeArrowheads="1" noChangeAspect="1"/>
                    </pic:cNvPicPr>
                  </pic:nvPicPr>
                  <pic:blipFill>
                    <a:blip r:embed="rId75"/>
                    <a:stretch>
                      <a:fillRect/>
                    </a:stretch>
                  </pic:blipFill>
                  <pic:spPr bwMode="auto">
                    <a:xfrm>
                      <a:off x="0" y="0"/>
                      <a:ext cx="6108700" cy="4043726"/>
                    </a:xfrm>
                    <a:prstGeom prst="rect">
                      <a:avLst/>
                    </a:prstGeom>
                    <a:noFill/>
                    <a:ln w="9525">
                      <a:noFill/>
                      <a:headEnd/>
                      <a:tailEnd/>
                    </a:ln>
                  </pic:spPr>
                </pic:pic>
              </a:graphicData>
            </a:graphic>
          </wp:inline>
        </w:drawing>
      </w:r>
    </w:p>
    <w:p>
      <w:pPr>
        <w:pStyle w:val="Didascalia"/>
      </w:pPr>
      <w:r>
        <w:rPr>
          <w:b/>
          <w:bCs/>
        </w:rPr>
        <w:t xml:space="preserve">Figura 16. Come si legge:</w:t>
      </w:r>
      <w:r>
        <w:t xml:space="preserve"> </w:t>
      </w:r>
      <w:r>
        <w:t xml:space="preserve">la tavola non ha l’età: sullo studio pesano i giovani, sul lavoro gli adulti fino a 64 anni, quindi i due pannelli confrontano popolazioni diverse e non il passaggio di vita delle stesse persone. Ogni riga è un territorio. Il pallino grande rosa è il valore femminile, quello piccolo blu il maschile: i diametri sono diversi apposta, così dove i due valori quasi coincidono si vede un anello e non un pallino solo. La freccia parte dal valore maschile e punta verso quello femminile, quindi il suo verso è la direzione dello scarto; si ferma prima del pallino di arrivo perché una punta sotto il pallino nasconderebbe proprio il verso. La cifra sopra la freccia è l’ampiezza dello scarto in punti percentuali, in valore assoluto. Bagheria è in vermiglio, gli altri territori in grigio. Palermo compare con valori bassissimi perché è un comune grande e quasi tutti gli spostamenti restano dentro il suo confine: su questa misura va letta come artefatto della geografia, non come un dato sui palermitani. La serie esiste solo per il 2018 e il 2019, quindi resta separata dal 2021-2024 delle altre figure del thread; il 2018 serve da controllo di stabilità, citato nel sottotitolo e non disegnato.</w:t>
      </w:r>
    </w:p>
    <w:p>
      <w:pPr>
        <w:pStyle w:val="Didascalia"/>
      </w:pPr>
      <w:r>
        <w:rPr>
          <w:b/>
          <w:bCs/>
        </w:rPr>
        <w:t xml:space="preserve">Fonte:</w:t>
      </w:r>
      <w:r>
        <w:t xml:space="preserve"> </w:t>
      </w:r>
      <w:r>
        <w:t xml:space="preserve">ISTAT, Censimento permanente della popolazione, tavola del pendolarismo, 2018-2019. La destinazione è «fuori comune» aggregata e la fonte non identifica il comune di arrivo: questa figura non misura il pendolarismo verso Palermo, che è invece l’oggetto di mob_fig01 su un’altra fonte. Contesto al 2011 (8milaCensus, 390 comuni siciliani): Bagheria sta al 25° percentile per mobilità fuori comune (indicatore M2), cioè si esce poco in assoluto; mob_fig04 mostra che quel percentile è un effetto della taglia del comune. Elaborazione: notebooks/genere.ipynb (data/processed/genere_pendolarismo.csv e genere_mobilita_2011.csv).</w:t>
      </w:r>
    </w:p>
    <w:p>
      <w:pPr>
        <w:pStyle w:val="Didascalia"/>
      </w:pPr>
      <w:r>
        <w:rPr>
          <w:i/>
          <w:iCs/>
        </w:rPr>
        <w:t xml:space="preserve">Figura</w:t>
      </w:r>
      <w:r>
        <w:t xml:space="preserve"> </w:t>
      </w:r>
      <w:r>
        <w:rPr>
          <w:rStyle w:val="VerbatimChar"/>
        </w:rPr>
        <w:t xml:space="preserve">fig12_pendolarismo</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viz/fig12_pendolarismo.R</w:t>
      </w:r>
      <w:r>
        <w:rPr>
          <w:i/>
          <w:iCs/>
        </w:rPr>
        <w:t xml:space="preserve">.</w:t>
      </w:r>
    </w:p>
    <w:bookmarkEnd w:id="78"/>
    <w:bookmarkStart w:id="82" w:name="X4f467b4dc8899b67bde8260de65820df1b73823"/>
    <w:p>
      <w:pPr>
        <w:pStyle w:val="Heading2"/>
      </w:pPr>
      <w:r>
        <w:t xml:space="preserve">5.3 «Bagheria si muove poco» è una lettura sbagliata di un numero giusto</w:t>
      </w:r>
    </w:p>
    <w:p>
      <w:pPr>
        <w:pStyle w:val="FirstParagraph"/>
      </w:pPr>
      <w:r>
        <w:t xml:space="preserve">A una prima lettura, gli indicatori 2011 dicono che Bagheria si muove poco: la mobilità</w:t>
      </w:r>
      <w:r>
        <w:t xml:space="preserve"> </w:t>
      </w:r>
      <w:r>
        <w:t xml:space="preserve">fuori comune (</w:t>
      </w:r>
      <w:r>
        <w:rPr>
          <w:rStyle w:val="VerbatimChar"/>
        </w:rPr>
        <w:t xml:space="preserve">M2</w:t>
      </w:r>
      <w:r>
        <w:t xml:space="preserve">) è al 25° percentile dei 390 comuni.</w:t>
      </w:r>
      <w:r>
        <w:t xml:space="preserve"> </w:t>
      </w:r>
      <w:r>
        <w:rPr>
          <w:b/>
          <w:bCs/>
        </w:rPr>
        <w:t xml:space="preserve">Il percentile è esatto, la</w:t>
      </w:r>
      <w:r>
        <w:rPr>
          <w:b/>
          <w:bCs/>
        </w:rPr>
        <w:t xml:space="preserve"> </w:t>
      </w:r>
      <w:r>
        <w:rPr>
          <w:b/>
          <w:bCs/>
        </w:rPr>
        <w:t xml:space="preserve">lettura no.</w:t>
      </w:r>
      <w:r>
        <w:t xml:space="preserve"> </w:t>
      </w:r>
      <w:r>
        <w:rPr>
          <w:rStyle w:val="VerbatimChar"/>
        </w:rPr>
        <w:t xml:space="preserve">M2</w:t>
      </w:r>
      <w:r>
        <w:t xml:space="preserve"> </w:t>
      </w:r>
      <w:r>
        <w:t xml:space="preserve">rapporta chi esce all’intera popolazione fino a 64 anni, quindi è basso</w:t>
      </w:r>
      <w:r>
        <w:t xml:space="preserve"> </w:t>
      </w:r>
      <w:r>
        <w:t xml:space="preserve">anche perché a Bagheria lavorano in pochi. Inoltre si va fuori comune per mancanza di</w:t>
      </w:r>
      <w:r>
        <w:t xml:space="preserve"> </w:t>
      </w:r>
      <w:r>
        <w:t xml:space="preserve">lavoro dentro, e Bagheria è il comune più grande della corona di Palermo. Nel 2021 conta</w:t>
      </w:r>
      <w:r>
        <w:t xml:space="preserve"> </w:t>
      </w:r>
      <w:r>
        <w:t xml:space="preserve">quasi 12.000 pendolari per lavoro contro i circa 3.200 di Ficarazzi, che infatti manda</w:t>
      </w:r>
      <w:r>
        <w:t xml:space="preserve"> </w:t>
      </w:r>
      <w:r>
        <w:t xml:space="preserve">fuori tre pendolari su quattro, contro i due su cinque di Bagheria.</w:t>
      </w:r>
    </w:p>
    <w:p>
      <w:pPr>
        <w:pStyle w:val="BodyText"/>
      </w:pPr>
      <w:r>
        <w:t xml:space="preserve">Controllando per</w:t>
      </w:r>
      <w:r>
        <w:t xml:space="preserve"> </w:t>
      </w:r>
      <w:r>
        <w:rPr>
          <w:b/>
          <w:bCs/>
        </w:rPr>
        <w:t xml:space="preserve">distanza dal capoluogo e dimensione</w:t>
      </w:r>
      <w:r>
        <w:t xml:space="preserve">, due variabili geografiche e non</w:t>
      </w:r>
      <w:r>
        <w:t xml:space="preserve"> </w:t>
      </w:r>
      <w:r>
        <w:t xml:space="preserve">di comportamento, il residuo di Bagheria sulla quota di chi esce per lavoro nel 2021 è di</w:t>
      </w:r>
      <w:r>
        <w:t xml:space="preserve"> </w:t>
      </w:r>
      <w:r>
        <w:rPr>
          <w:b/>
          <w:bCs/>
        </w:rPr>
        <w:t xml:space="preserve">−1,9 punti</w:t>
      </w:r>
      <w:r>
        <w:t xml:space="preserve"> </w:t>
      </w:r>
      <w:r>
        <w:t xml:space="preserve">(z = −0,13). Fra i 381 comuni non capoluogo il percentile passa dal 36°</w:t>
      </w:r>
      <w:r>
        <w:t xml:space="preserve"> </w:t>
      </w:r>
      <w:r>
        <w:t xml:space="preserve">grezzo al</w:t>
      </w:r>
      <w:r>
        <w:t xml:space="preserve"> </w:t>
      </w:r>
      <w:r>
        <w:rPr>
          <w:b/>
          <w:bCs/>
        </w:rPr>
        <w:t xml:space="preserve">48°</w:t>
      </w:r>
      <w:r>
        <w:t xml:space="preserve">. Bagheria si muove esattamente quanto ci si aspetta da un comune della</w:t>
      </w:r>
      <w:r>
        <w:t xml:space="preserve"> </w:t>
      </w:r>
      <w:r>
        <w:t xml:space="preserve">sua taglia a quella distanza. → sezione 3 di</w:t>
      </w:r>
      <w:r>
        <w:t xml:space="preserve"> </w:t>
      </w:r>
      <w:r>
        <w:rPr>
          <w:rStyle w:val="VerbatimChar"/>
        </w:rPr>
        <w:t xml:space="preserve">notebooks/mobilita.ipynb</w:t>
      </w:r>
      <w:r>
        <w:t xml:space="preserve">,</w:t>
      </w:r>
      <w:r>
        <w:t xml:space="preserve"> </w:t>
      </w:r>
      <w:r>
        <w:rPr>
          <w:rStyle w:val="VerbatimChar"/>
        </w:rPr>
        <w:t xml:space="preserve">mob_taglia_distanza.csv</w:t>
      </w:r>
      <w:r>
        <w:t xml:space="preserve">, fig</w:t>
      </w:r>
      <w:r>
        <w:t xml:space="preserve"> </w:t>
      </w:r>
      <w:r>
        <w:rPr>
          <w:rStyle w:val="VerbatimChar"/>
        </w:rPr>
        <w:t xml:space="preserve">mob_fig04</w:t>
      </w:r>
    </w:p>
    <w:p>
      <w:pPr>
        <w:pStyle w:val="BodyText"/>
      </w:pPr>
      <w:r>
        <w:t xml:space="preserve">Lo stesso vale per la mobilità studentesca</w:t>
      </w:r>
      <w:r>
        <w:t xml:space="preserve"> </w:t>
      </w:r>
      <w:r>
        <w:rPr>
          <w:rStyle w:val="VerbatimChar"/>
        </w:rPr>
        <w:t xml:space="preserve">M4</w:t>
      </w:r>
      <w:r>
        <w:t xml:space="preserve">, al 18° percentile. Già la versione</w:t>
      </w:r>
      <w:r>
        <w:t xml:space="preserve"> </w:t>
      </w:r>
      <w:r>
        <w:t xml:space="preserve">precedente dell’analisi segnalava che non è di per sé un dato negativo: l’indicatore è un</w:t>
      </w:r>
      <w:r>
        <w:t xml:space="preserve"> </w:t>
      </w:r>
      <w:r>
        <w:t xml:space="preserve">rapporto fuori/dentro comune, e Bagheria ha scuole proprie (3 sedi tecniche, anagrafe MIUR).</w:t>
      </w:r>
      <w:r>
        <w:t xml:space="preserve"> </w:t>
      </w:r>
      <w:r>
        <w:t xml:space="preserve">Sulla quota di studenti che escono dal comune (2011), lo stesso modello di distanza e</w:t>
      </w:r>
      <w:r>
        <w:t xml:space="preserve"> </w:t>
      </w:r>
      <w:r>
        <w:t xml:space="preserve">taglia dà un residuo di −0,8 punti. → sezione 3 di</w:t>
      </w:r>
      <w:r>
        <w:t xml:space="preserve"> </w:t>
      </w:r>
      <w:r>
        <w:rPr>
          <w:rStyle w:val="VerbatimChar"/>
        </w:rPr>
        <w:t xml:space="preserve">notebooks/mobilita.ipynb</w:t>
      </w:r>
      <w:r>
        <w:t xml:space="preserve">,</w:t>
      </w:r>
      <w:r>
        <w:t xml:space="preserve"> </w:t>
      </w:r>
      <w:r>
        <w:rPr>
          <w:rStyle w:val="VerbatimChar"/>
        </w:rPr>
        <w:t xml:space="preserve">edu_technical_schools.csv</w:t>
      </w:r>
    </w:p>
    <w:p>
      <w:pPr>
        <w:pStyle w:val="BodyText"/>
      </w:pPr>
      <w:r>
        <w:rPr>
          <w:b/>
          <w:bCs/>
        </w:rPr>
        <w:t xml:space="preserve">La particolarità di Bagheria non è quanto si muove. È chi si muove, e per quale motivo.</w:t>
      </w:r>
    </w:p>
    <w:p>
      <w:pPr>
        <w:pStyle w:val="BodyText"/>
      </w:pPr>
      <w:r>
        <w:drawing>
          <wp:inline>
            <wp:extent cx="6108700" cy="4039832"/>
            <wp:effectExtent b="0" l="0" r="0" t="0"/>
            <wp:docPr descr="" title="" id="80" name="Picture"/>
            <a:graphic>
              <a:graphicData uri="http://schemas.openxmlformats.org/drawingml/2006/picture">
                <pic:pic>
                  <pic:nvPicPr>
                    <pic:cNvPr descr="/home/kiycoh/Documents/dev/datapolis-2026-hackathon/.docx-build/mob_fig04_taglia_distanza.png" id="81" name="Picture"/>
                    <pic:cNvPicPr>
                      <a:picLocks noChangeArrowheads="1" noChangeAspect="1"/>
                    </pic:cNvPicPr>
                  </pic:nvPicPr>
                  <pic:blipFill>
                    <a:blip r:embed="rId79"/>
                    <a:stretch>
                      <a:fillRect/>
                    </a:stretch>
                  </pic:blipFill>
                  <pic:spPr bwMode="auto">
                    <a:xfrm>
                      <a:off x="0" y="0"/>
                      <a:ext cx="6108700" cy="4039832"/>
                    </a:xfrm>
                    <a:prstGeom prst="rect">
                      <a:avLst/>
                    </a:prstGeom>
                    <a:noFill/>
                    <a:ln w="9525">
                      <a:noFill/>
                      <a:headEnd/>
                      <a:tailEnd/>
                    </a:ln>
                  </pic:spPr>
                </pic:pic>
              </a:graphicData>
            </a:graphic>
          </wp:inline>
        </w:drawing>
      </w:r>
    </w:p>
    <w:p>
      <w:pPr>
        <w:pStyle w:val="Didascalia"/>
      </w:pPr>
      <w:r>
        <w:rPr>
          <w:b/>
          <w:bCs/>
        </w:rPr>
        <w:t xml:space="preserve">Figura 17. Come si legge:</w:t>
      </w:r>
      <w:r>
        <w:t xml:space="preserve"> </w:t>
      </w:r>
      <w:r>
        <w:t xml:space="preserve">nel pannello A ogni punto grigio è un comune e Bagheria è il punto vermiglio. Il diametro del punto è il numero di pendolari del comune, cioè proprio la variabile che spiega l’apparente anomalia: si vede a occhio che i comuni grandi stanno in basso. L’asse orizzontale è logaritmico perché il modello è nel logaritmo della distanza: così il valore atteso appare come la retta che è. Le due linee scure sono il valore atteso dal modello a due taglie fissate, e non una interpolazione dei punti: la distanza fra le due curve è quanto la sola taglia sposta l’atteso. Nel pannello B ogni barra conta i comuni, e le due righe vermiglie sono Bagheria prima del controllo (quota grezza) e dopo (residuo del modello): il salto fra le due posizioni è il finding. Il modello è una regressione lineare della quota di uscita sul logaritmo della distanza dal capoluogo e sul logaritmo del numero di pendolari (n = 381, R quadro = 0,31, errori standard HC3): serve a togliere di mezzo taglia e posizione, e sono due regressori geografici senza nessuna pretesa causale. La distanza è in linea d’aria fra i centroidi ISTAT (EPSG:32633): non è distanza stradale né tempo di viaggio, e per i comuni montani la sottostima. I nove capoluoghi restano fuori perché per loro la misura non è definita: è l’unica esclusione dai 381 comuni disegnati.</w:t>
      </w:r>
    </w:p>
    <w:p>
      <w:pPr>
        <w:pStyle w:val="Didascalia"/>
      </w:pPr>
      <w:r>
        <w:rPr>
          <w:b/>
          <w:bCs/>
        </w:rPr>
        <w:t xml:space="preserve">Fonte:</w:t>
      </w:r>
      <w:r>
        <w:t xml:space="preserve"> </w:t>
      </w:r>
      <w:r>
        <w:t xml:space="preserve">ISTAT, Matrice del pendolarismo, censimento permanente 2021, motivo lavoro, origine-destinazione comune per comune (conteggio esaustivo, non stima campionaria). Elaborazione: notebooks/mobilita.ipynb (data/processed/mob_taglia_distanza.csv e mob_curva_attesa.csv).</w:t>
      </w:r>
    </w:p>
    <w:p>
      <w:pPr>
        <w:pStyle w:val="Didascalia"/>
      </w:pPr>
      <w:r>
        <w:rPr>
          <w:i/>
          <w:iCs/>
        </w:rPr>
        <w:t xml:space="preserve">Figura</w:t>
      </w:r>
      <w:r>
        <w:t xml:space="preserve"> </w:t>
      </w:r>
      <w:r>
        <w:rPr>
          <w:rStyle w:val="VerbatimChar"/>
        </w:rPr>
        <w:t xml:space="preserve">mob_fig04_taglia_distanza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viz/mob_fig04_taglia_distanza.R</w:t>
      </w:r>
      <w:r>
        <w:rPr>
          <w:i/>
          <w:iCs/>
        </w:rPr>
        <w:t xml:space="preserve">.</w:t>
      </w:r>
    </w:p>
    <w:bookmarkEnd w:id="82"/>
    <w:bookmarkStart w:id="86" w:name="X342a6466fdd0524e63ffaa8cf01fcef58795e44"/>
    <w:p>
      <w:pPr>
        <w:pStyle w:val="Heading2"/>
      </w:pPr>
      <w:r>
        <w:t xml:space="preserve">5.4 Il treno è il canale femminile, e il vincolo non è l’offerta di trasporto</w:t>
      </w:r>
    </w:p>
    <w:p>
      <w:pPr>
        <w:pStyle w:val="FirstParagraph"/>
      </w:pPr>
      <w:r>
        <w:t xml:space="preserve">Mezzo, orario e durata sono rilevati su campione nei comuni sopra i 20.000 abitanti. Sono</w:t>
      </w:r>
      <w:r>
        <w:t xml:space="preserve"> </w:t>
      </w:r>
      <w:r>
        <w:t xml:space="preserve">quindi stime, e per questo stanno in una tabella separata dai conteggi esaustivi. La loro</w:t>
      </w:r>
      <w:r>
        <w:t xml:space="preserve"> </w:t>
      </w:r>
      <w:r>
        <w:t xml:space="preserve">precisione è misurata, non assunta: per gli stessi strati esistono sia il conteggio</w:t>
      </w:r>
      <w:r>
        <w:t xml:space="preserve"> </w:t>
      </w:r>
      <w:r>
        <w:t xml:space="preserve">esaustivo sia la stima. L’errore relativo è dello</w:t>
      </w:r>
      <w:r>
        <w:t xml:space="preserve"> </w:t>
      </w:r>
      <w:r>
        <w:rPr>
          <w:b/>
          <w:bCs/>
        </w:rPr>
        <w:t xml:space="preserve">0,9%</w:t>
      </w:r>
      <w:r>
        <w:t xml:space="preserve"> </w:t>
      </w:r>
      <w:r>
        <w:t xml:space="preserve">in mediana e arriva al massimo</w:t>
      </w:r>
      <w:r>
        <w:t xml:space="preserve"> </w:t>
      </w:r>
      <w:r>
        <w:t xml:space="preserve">all’8,6% sullo strato più piccolo. Le quote qui sotto sono inoltre</w:t>
      </w:r>
      <w:r>
        <w:t xml:space="preserve"> </w:t>
      </w:r>
      <w:r>
        <w:rPr>
          <w:b/>
          <w:bCs/>
        </w:rPr>
        <w:t xml:space="preserve">calibrate sui margini</w:t>
      </w:r>
      <w:r>
        <w:rPr>
          <w:b/>
          <w:bCs/>
        </w:rPr>
        <w:t xml:space="preserve"> </w:t>
      </w:r>
      <w:r>
        <w:rPr>
          <w:b/>
          <w:bCs/>
        </w:rPr>
        <w:t xml:space="preserve">esatti</w:t>
      </w:r>
      <w:r>
        <w:t xml:space="preserve"> </w:t>
      </w:r>
      <w:r>
        <w:t xml:space="preserve">dei conteggi esaustivi. La calibrazione non cambia la conclusione, la rafforza: lo</w:t>
      </w:r>
      <w:r>
        <w:t xml:space="preserve"> </w:t>
      </w:r>
      <w:r>
        <w:t xml:space="preserve">scarto di genere sul treno passa da 14,5 a 15,1 punti.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Fra chi esce da Bagheria (2011)</w:t>
            </w:r>
          </w:p>
        </w:tc>
        <w:tc>
          <w:tcPr/>
          <w:p>
            <w:pPr>
              <w:pStyle w:val="Compact"/>
              <w:jc w:val="right"/>
            </w:pPr>
            <w:r>
              <w:t xml:space="preserve">donne</w:t>
            </w:r>
          </w:p>
        </w:tc>
        <w:tc>
          <w:tcPr/>
          <w:p>
            <w:pPr>
              <w:pStyle w:val="Compact"/>
              <w:jc w:val="right"/>
            </w:pPr>
            <w:r>
              <w:t xml:space="preserve">uomini</w:t>
            </w:r>
          </w:p>
        </w:tc>
      </w:tr>
      <w:tr>
        <w:tc>
          <w:tcPr/>
          <w:p>
            <w:pPr>
              <w:pStyle w:val="Compact"/>
            </w:pPr>
            <w:r>
              <w:t xml:space="preserve">mezzo collettivo</w:t>
            </w:r>
          </w:p>
        </w:tc>
        <w:tc>
          <w:tcPr/>
          <w:p>
            <w:pPr>
              <w:pStyle w:val="Compact"/>
              <w:jc w:val="right"/>
            </w:pPr>
            <w:r>
              <w:rPr>
                <w:b/>
                <w:bCs/>
              </w:rPr>
              <w:t xml:space="preserve">34,7%</w:t>
            </w:r>
          </w:p>
        </w:tc>
        <w:tc>
          <w:tcPr/>
          <w:p>
            <w:pPr>
              <w:pStyle w:val="Compact"/>
              <w:jc w:val="right"/>
            </w:pPr>
            <w:r>
              <w:t xml:space="preserve">18,9%</w:t>
            </w:r>
          </w:p>
        </w:tc>
      </w:tr>
      <w:tr>
        <w:tc>
          <w:tcPr/>
          <w:p>
            <w:pPr>
              <w:pStyle w:val="Compact"/>
            </w:pPr>
            <w:r>
              <w:t xml:space="preserve">di cui treno</w:t>
            </w:r>
          </w:p>
        </w:tc>
        <w:tc>
          <w:tcPr/>
          <w:p>
            <w:pPr>
              <w:pStyle w:val="Compact"/>
              <w:jc w:val="right"/>
            </w:pPr>
            <w:r>
              <w:rPr>
                <w:b/>
                <w:bCs/>
              </w:rPr>
              <w:t xml:space="preserve">31,5%</w:t>
            </w:r>
          </w:p>
        </w:tc>
        <w:tc>
          <w:tcPr/>
          <w:p>
            <w:pPr>
              <w:pStyle w:val="Compact"/>
              <w:jc w:val="right"/>
            </w:pPr>
            <w:r>
              <w:t xml:space="preserve">16,4%</w:t>
            </w:r>
          </w:p>
        </w:tc>
      </w:tr>
      <w:tr>
        <w:tc>
          <w:tcPr/>
          <w:p>
            <w:pPr>
              <w:pStyle w:val="Compact"/>
            </w:pPr>
            <w:r>
              <w:t xml:space="preserve">mezzo privato a motore</w:t>
            </w:r>
          </w:p>
        </w:tc>
        <w:tc>
          <w:tcPr/>
          <w:p>
            <w:pPr>
              <w:pStyle w:val="Compact"/>
              <w:jc w:val="right"/>
            </w:pPr>
            <w:r>
              <w:t xml:space="preserve">63,6%</w:t>
            </w:r>
          </w:p>
        </w:tc>
        <w:tc>
          <w:tcPr/>
          <w:p>
            <w:pPr>
              <w:pStyle w:val="Compact"/>
              <w:jc w:val="right"/>
            </w:pPr>
            <w:r>
              <w:rPr>
                <w:b/>
                <w:bCs/>
              </w:rPr>
              <w:t xml:space="preserve">79,0%</w:t>
            </w:r>
          </w:p>
        </w:tc>
      </w:tr>
    </w:tbl>
    <w:p>
      <w:pPr>
        <w:pStyle w:val="BodyText"/>
      </w:pPr>
      <w:r>
        <w:t xml:space="preserve">→</w:t>
      </w:r>
      <w:r>
        <w:t xml:space="preserve"> </w:t>
      </w:r>
      <w:r>
        <w:rPr>
          <w:rStyle w:val="VerbatimChar"/>
        </w:rPr>
        <w:t xml:space="preserve">mob_mezzo_genere.csv</w:t>
      </w:r>
      <w:r>
        <w:t xml:space="preserve">, fig</w:t>
      </w:r>
      <w:r>
        <w:t xml:space="preserve"> </w:t>
      </w:r>
      <w:r>
        <w:rPr>
          <w:rStyle w:val="VerbatimChar"/>
        </w:rPr>
        <w:t xml:space="preserve">mob_fig03</w:t>
      </w:r>
    </w:p>
    <w:p>
      <w:pPr>
        <w:pStyle w:val="BodyText"/>
      </w:pPr>
      <w:r>
        <w:t xml:space="preserve">Il mezzo privato resta il primo per entrambi i generi, ma il</w:t>
      </w:r>
      <w:r>
        <w:t xml:space="preserve"> </w:t>
      </w:r>
      <w:r>
        <w:rPr>
          <w:b/>
          <w:bCs/>
        </w:rPr>
        <w:t xml:space="preserve">mezzo collettivo</w:t>
      </w:r>
      <w:r>
        <w:t xml:space="preserve"> </w:t>
      </w:r>
      <w:r>
        <w:t xml:space="preserve">pesa fra</w:t>
      </w:r>
      <w:r>
        <w:t xml:space="preserve"> </w:t>
      </w:r>
      <w:r>
        <w:t xml:space="preserve">le donne quasi il doppio che fra gli uomini, e il treno da solo porta quasi un terzo delle</w:t>
      </w:r>
      <w:r>
        <w:t xml:space="preserve"> </w:t>
      </w:r>
      <w:r>
        <w:t xml:space="preserve">donne che escono. Fra chi va a lavorare a Palermo, a circa 18 chilometri, le donne partono più</w:t>
      </w:r>
      <w:r>
        <w:t xml:space="preserve"> </w:t>
      </w:r>
      <w:r>
        <w:t xml:space="preserve">tardi: esce prima delle 7:15 il 54,4% di loro, contro il 65,0% degli uomini. Fra tutti</w:t>
      </w:r>
      <w:r>
        <w:t xml:space="preserve"> </w:t>
      </w:r>
      <w:r>
        <w:t xml:space="preserve">quelli che escono dal comune, le donne viaggiano anche più a lungo: 31-60 minuti per il</w:t>
      </w:r>
      <w:r>
        <w:t xml:space="preserve"> </w:t>
      </w:r>
      <w:r>
        <w:t xml:space="preserve">43,8%, contro il 36,1% degli uomini. → sezione 6 («Quando si parte») di</w:t>
      </w:r>
      <w:r>
        <w:t xml:space="preserve"> </w:t>
      </w:r>
      <w:r>
        <w:rPr>
          <w:rStyle w:val="VerbatimChar"/>
        </w:rPr>
        <w:t xml:space="preserve">notebooks/mobilita.ipynb</w:t>
      </w:r>
    </w:p>
    <w:p>
      <w:pPr>
        <w:pStyle w:val="BodyText"/>
      </w:pPr>
      <w:r>
        <w:rPr>
          <w:b/>
          <w:bCs/>
        </w:rPr>
        <w:t xml:space="preserve">Il treno di Bagheria, però, non è sottoutilizzato: è già l’asset di mobilità più</w:t>
      </w:r>
      <w:r>
        <w:rPr>
          <w:b/>
          <w:bCs/>
        </w:rPr>
        <w:t xml:space="preserve"> </w:t>
      </w:r>
      <w:r>
        <w:rPr>
          <w:b/>
          <w:bCs/>
        </w:rPr>
        <w:t xml:space="preserve">distintivo del comune.</w:t>
      </w:r>
      <w:r>
        <w:t xml:space="preserve"> </w:t>
      </w:r>
      <w:r>
        <w:t xml:space="preserve">Bagheria è al 98° percentile siciliano per quota di chi esce che lo</w:t>
      </w:r>
      <w:r>
        <w:t xml:space="preserve"> </w:t>
      </w:r>
      <w:r>
        <w:t xml:space="preserve">usa (97° a parità di distanza e taglia). Aumentarne l’uso non è la leva che manca.</w:t>
      </w:r>
    </w:p>
    <w:p>
      <w:pPr>
        <w:pStyle w:val="BodyText"/>
      </w:pPr>
      <w:r>
        <w:drawing>
          <wp:inline>
            <wp:extent cx="6108700" cy="4448333"/>
            <wp:effectExtent b="0" l="0" r="0" t="0"/>
            <wp:docPr descr="" title="" id="84" name="Picture"/>
            <a:graphic>
              <a:graphicData uri="http://schemas.openxmlformats.org/drawingml/2006/picture">
                <pic:pic>
                  <pic:nvPicPr>
                    <pic:cNvPr descr="/home/kiycoh/Documents/dev/datapolis-2026-hackathon/.docx-build/mob_fig03_treno_genere.png" id="85" name="Picture"/>
                    <pic:cNvPicPr>
                      <a:picLocks noChangeArrowheads="1" noChangeAspect="1"/>
                    </pic:cNvPicPr>
                  </pic:nvPicPr>
                  <pic:blipFill>
                    <a:blip r:embed="rId83"/>
                    <a:stretch>
                      <a:fillRect/>
                    </a:stretch>
                  </pic:blipFill>
                  <pic:spPr bwMode="auto">
                    <a:xfrm>
                      <a:off x="0" y="0"/>
                      <a:ext cx="6108700" cy="4448333"/>
                    </a:xfrm>
                    <a:prstGeom prst="rect">
                      <a:avLst/>
                    </a:prstGeom>
                    <a:noFill/>
                    <a:ln w="9525">
                      <a:noFill/>
                      <a:headEnd/>
                      <a:tailEnd/>
                    </a:ln>
                  </pic:spPr>
                </pic:pic>
              </a:graphicData>
            </a:graphic>
          </wp:inline>
        </w:drawing>
      </w:r>
    </w:p>
    <w:p>
      <w:pPr>
        <w:pStyle w:val="Didascalia"/>
      </w:pPr>
      <w:r>
        <w:rPr>
          <w:b/>
          <w:bCs/>
        </w:rPr>
        <w:t xml:space="preserve">Figura 18. Come si legge:</w:t>
      </w:r>
      <w:r>
        <w:t xml:space="preserve"> </w:t>
      </w:r>
      <w:r>
        <w:t xml:space="preserve">nei pannelli A e B il colore è il genere, rosa le donne e blu gli uomini, e le due barre affiancate della stessa riga sono i due generi sulla stessa voce. Nel pannello A la barra «di cui: treno» è staccata dalle altre perché è un sottoinsieme della classe «collettivo» e non una quinta classe: le quattro classi sommano a 100, la barra del treno no. Le classi seguono la convenzione di 8milaCensus, verificata ricostruendo gli indicatori M5, M6 e M7, e «collettivo» esclude l’autobus aziendale o scolastico, che è contato a parte. Nel pannello C ogni barra conta i comuni con quel valore, la riga vermiglia è Bagheria e il percentile è scritto accanto; restano fuori i 13 comuni su 390 dove escono meno di 100 persone al giorno, perché sotto quella soglia la quota è rumore. Il percentile mostrato è quello grezzo, e a parità di distanza dal capoluogo e di dimensione il residuo di Bagheria resta al 97°. Mezzo, orario di uscita e durata sono rilevati su campione nei comuni sopra i 20.000 abitanti, e Bagheria è uno di questi: i valori dei pannelli A e B sono stime, calibrate sui margini esatti dei record di tipo S. Della fascia oraria si conosce solo l’uscita di casa: del rientro la matrice non dice nulla, e l’ipotesi del carico di cura resta un’ipotesi non verificata da questi dati.</w:t>
      </w:r>
    </w:p>
    <w:p>
      <w:pPr>
        <w:pStyle w:val="Didascalia"/>
      </w:pPr>
      <w:r>
        <w:rPr>
          <w:b/>
          <w:bCs/>
        </w:rPr>
        <w:t xml:space="preserve">Fonte:</w:t>
      </w:r>
      <w:r>
        <w:t xml:space="preserve"> </w:t>
      </w:r>
      <w:r>
        <w:t xml:space="preserve">ISTAT, Matrice del pendolarismo, censimento della popolazione 2011, su 2.240 donne e 4.284 uomini che escono dal comune. Elaborazione: notebooks/mobilita.ipynb (data/processed/mob_mezzo_genere.csv, mob_orario_genere.csv e mob_treno_390.csv).</w:t>
      </w:r>
    </w:p>
    <w:p>
      <w:pPr>
        <w:pStyle w:val="Didascalia"/>
      </w:pPr>
      <w:r>
        <w:rPr>
          <w:i/>
          <w:iCs/>
        </w:rPr>
        <w:t xml:space="preserve">Figura</w:t>
      </w:r>
      <w:r>
        <w:t xml:space="preserve"> </w:t>
      </w:r>
      <w:r>
        <w:rPr>
          <w:rStyle w:val="VerbatimChar"/>
        </w:rPr>
        <w:t xml:space="preserve">mob_fig03_treno_genere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viz/mob_fig03_treno_genere.R</w:t>
      </w:r>
      <w:r>
        <w:rPr>
          <w:i/>
          <w:iCs/>
        </w:rPr>
        <w:t xml:space="preserve">.</w:t>
      </w:r>
    </w:p>
    <w:p>
      <w:pPr>
        <w:pStyle w:val="BlockText"/>
      </w:pPr>
      <w:r>
        <w:rPr>
          <w:b/>
          <w:bCs/>
        </w:rPr>
        <w:t xml:space="preserve">Un risultato negativo, riportato perché è stato testato.</w:t>
      </w:r>
      <w:r>
        <w:t xml:space="preserve"> </w:t>
      </w:r>
      <w:r>
        <w:t xml:space="preserve">L’ipotesi naturale è che</w:t>
      </w:r>
      <w:r>
        <w:t xml:space="preserve"> </w:t>
      </w:r>
      <w:r>
        <w:t xml:space="preserve">dove il mezzo collettivo pesa di più il divario di genere sia più piccolo. Sui 381 comuni</w:t>
      </w:r>
      <w:r>
        <w:t xml:space="preserve"> </w:t>
      </w:r>
      <w:r>
        <w:t xml:space="preserve">non capoluogo l’ipotesi</w:t>
      </w:r>
      <w:r>
        <w:t xml:space="preserve"> </w:t>
      </w:r>
      <w:r>
        <w:rPr>
          <w:b/>
          <w:bCs/>
        </w:rPr>
        <w:t xml:space="preserve">non trova sostegno</w:t>
      </w:r>
      <w:r>
        <w:t xml:space="preserve">. Fra quota d’uso del mezzo collettivo e</w:t>
      </w:r>
      <w:r>
        <w:t xml:space="preserve"> </w:t>
      </w:r>
      <w:r>
        <w:t xml:space="preserve">divario di genere il rho di Spearman è −0,10 (p = 0,06), cioè di segno opposto</w:t>
      </w:r>
      <w:r>
        <w:t xml:space="preserve"> </w:t>
      </w:r>
      <w:r>
        <w:t xml:space="preserve">all’ipotesi, e il quartile con più mezzo collettivo ha il divario più ampio. Sul treno</w:t>
      </w:r>
      <w:r>
        <w:t xml:space="preserve"> </w:t>
      </w:r>
      <w:r>
        <w:t xml:space="preserve">l’associazione è nulla (p = 0,29). Coerentemente, l’ultimo miglio a Palermo non è un collo</w:t>
      </w:r>
      <w:r>
        <w:t xml:space="preserve"> </w:t>
      </w:r>
      <w:r>
        <w:t xml:space="preserve">di bottiglia. Secondo il GTFS di AMAT, la terza fonte indicata dal bando, le fermate</w:t>
      </w:r>
      <w:r>
        <w:t xml:space="preserve"> </w:t>
      </w:r>
      <w:r>
        <w:t xml:space="preserve">«Stazione Centrale» hanno 18 linee e, fra le 7 e le 21, non meno di 125 passaggi l’ora,</w:t>
      </w:r>
      <w:r>
        <w:t xml:space="preserve"> </w:t>
      </w:r>
      <w:r>
        <w:t xml:space="preserve">già nel servizio estivo ridotto del feed di agosto.</w:t>
      </w:r>
    </w:p>
    <w:p>
      <w:pPr>
        <w:pStyle w:val="BlockText"/>
      </w:pPr>
      <w:r>
        <w:rPr>
          <w:b/>
          <w:bCs/>
        </w:rPr>
        <w:t xml:space="preserve">Conseguenza di progettazione.</w:t>
      </w:r>
      <w:r>
        <w:t xml:space="preserve"> </w:t>
      </w:r>
      <w:r>
        <w:t xml:space="preserve">L’assenza di un’associazione fra comuni non esclude che</w:t>
      </w:r>
      <w:r>
        <w:t xml:space="preserve"> </w:t>
      </w:r>
      <w:r>
        <w:t xml:space="preserve">l’orario o il mezzo pesino sulla singola persona, ma toglie la base a un intervento</w:t>
      </w:r>
      <w:r>
        <w:t xml:space="preserve"> </w:t>
      </w:r>
      <w:r>
        <w:t xml:space="preserve">infrastrutturale. La proposta quindi non finanzia trasporto. Verifica la raggiungibilità</w:t>
      </w:r>
      <w:r>
        <w:t xml:space="preserve"> </w:t>
      </w:r>
      <w:r>
        <w:t xml:space="preserve">caso per caso (sezione 7.6, F2) e agisce sul passaggio studio→lavoro, dove il divario si</w:t>
      </w:r>
      <w:r>
        <w:t xml:space="preserve"> </w:t>
      </w:r>
      <w:r>
        <w:t xml:space="preserve">apre: è la finestra B di Ponte 19 (sezione 7).</w:t>
      </w:r>
    </w:p>
    <w:bookmarkEnd w:id="86"/>
    <w:bookmarkStart w:id="87" w:name="il-bersaglio-in-persone"/>
    <w:p>
      <w:pPr>
        <w:pStyle w:val="Heading2"/>
      </w:pPr>
      <w:r>
        <w:t xml:space="preserve">5.5 Il bersaglio, in persone</w:t>
      </w:r>
    </w:p>
    <w:p>
      <w:pPr>
        <w:pStyle w:val="FirstParagraph"/>
      </w:pPr>
      <w:r>
        <w:t xml:space="preserve">Portare le pendolari di Bagheria al divario</w:t>
      </w:r>
      <w:r>
        <w:t xml:space="preserve"> </w:t>
      </w:r>
      <w:r>
        <w:rPr>
          <w:b/>
          <w:bCs/>
        </w:rPr>
        <w:t xml:space="preserve">medio siciliano</w:t>
      </w:r>
      <w:r>
        <w:t xml:space="preserve">, cioè al semplice</w:t>
      </w:r>
      <w:r>
        <w:t xml:space="preserve"> </w:t>
      </w:r>
      <w:r>
        <w:t xml:space="preserve">comportamento regionale e non alla parità, vale</w:t>
      </w:r>
      <w:r>
        <w:t xml:space="preserve"> </w:t>
      </w:r>
      <w:r>
        <w:rPr>
          <w:b/>
          <w:bCs/>
        </w:rPr>
        <w:t xml:space="preserve">+279 donne</w:t>
      </w:r>
      <w:r>
        <w:t xml:space="preserve"> </w:t>
      </w:r>
      <w:r>
        <w:t xml:space="preserve">che lavorano fuori comune.</w:t>
      </w:r>
      <w:r>
        <w:t xml:space="preserve"> </w:t>
      </w:r>
      <w:r>
        <w:t xml:space="preserve">La parità piena con gli uomini di Bagheria ne varrebbe 449. Il conto è sul 2011 e su tutte</w:t>
      </w:r>
      <w:r>
        <w:t xml:space="preserve"> </w:t>
      </w:r>
      <w:r>
        <w:t xml:space="preserve">le età: dà la scala del fenomeno, non un obiettivo per la fascia giovanile.</w:t>
      </w:r>
      <w:r>
        <w:t xml:space="preserve"> </w:t>
      </w:r>
      <w:r>
        <w:t xml:space="preserve">→</w:t>
      </w:r>
      <w:r>
        <w:t xml:space="preserve"> </w:t>
      </w:r>
      <w:r>
        <w:rPr>
          <w:rStyle w:val="VerbatimChar"/>
        </w:rPr>
        <w:t xml:space="preserve">mob_sintesi.csv</w:t>
      </w:r>
    </w:p>
    <w:p>
      <w:pPr>
        <w:pStyle w:val="BodyText"/>
      </w:pPr>
      <w:r>
        <w:rPr>
          <w:b/>
          <w:bCs/>
        </w:rPr>
        <w:t xml:space="preserve">Le misure sul pendolarismo hanno cinque limiti.</w:t>
      </w:r>
    </w:p>
    <w:p>
      <w:pPr>
        <w:pStyle w:val="Compact"/>
        <w:numPr>
          <w:ilvl w:val="0"/>
          <w:numId w:val="1010"/>
        </w:numPr>
      </w:pPr>
      <w:r>
        <w:rPr>
          <w:b/>
          <w:bCs/>
        </w:rPr>
        <w:t xml:space="preserve">Nessuna età.</w:t>
      </w:r>
      <w:r>
        <w:t xml:space="preserve"> </w:t>
      </w:r>
      <w:r>
        <w:t xml:space="preserve">Né la matrice né la tavola del censimento permanente hanno la dimensione</w:t>
      </w:r>
      <w:r>
        <w:t xml:space="preserve"> </w:t>
      </w:r>
      <w:r>
        <w:t xml:space="preserve">età. È verificato:</w:t>
      </w:r>
      <w:r>
        <w:t xml:space="preserve"> </w:t>
      </w:r>
      <w:r>
        <w:rPr>
          <w:rStyle w:val="VerbatimChar"/>
        </w:rPr>
        <w:t xml:space="preserve">AGE_NOCLASS</w:t>
      </w:r>
      <w:r>
        <w:t xml:space="preserve"> </w:t>
      </w:r>
      <w:r>
        <w:t xml:space="preserve">è servita solo come</w:t>
      </w:r>
      <w:r>
        <w:t xml:space="preserve"> </w:t>
      </w:r>
      <w:r>
        <w:rPr>
          <w:rStyle w:val="VerbatimChar"/>
        </w:rPr>
        <w:t xml:space="preserve">TOTAL</w:t>
      </w:r>
      <w:r>
        <w:t xml:space="preserve">, anche a livello</w:t>
      </w:r>
      <w:r>
        <w:t xml:space="preserve"> </w:t>
      </w:r>
      <w:r>
        <w:t xml:space="preserve">nazionale. Il target 15-34 del bando</w:t>
      </w:r>
      <w:r>
        <w:t xml:space="preserve"> </w:t>
      </w:r>
      <w:r>
        <w:rPr>
          <w:b/>
          <w:bCs/>
        </w:rPr>
        <w:t xml:space="preserve">non è isolabile sul pendolarismo</w:t>
      </w:r>
      <w:r>
        <w:t xml:space="preserve">. Il motivo</w:t>
      </w:r>
      <w:r>
        <w:t xml:space="preserve"> </w:t>
      </w:r>
      <w:r>
        <w:t xml:space="preserve">dello spostamento dà un’informazione d’età parziale, da usare come tale: chi esce per</w:t>
      </w:r>
      <w:r>
        <w:t xml:space="preserve"> </w:t>
      </w:r>
      <w:r>
        <w:t xml:space="preserve">studio frequenta quasi solo la secondaria superiore o l’università, perché i cicli</w:t>
      </w:r>
      <w:r>
        <w:t xml:space="preserve"> </w:t>
      </w:r>
      <w:r>
        <w:t xml:space="preserve">precedenti a Bagheria ci sono tutti.</w:t>
      </w:r>
    </w:p>
    <w:p>
      <w:pPr>
        <w:pStyle w:val="Compact"/>
        <w:numPr>
          <w:ilvl w:val="0"/>
          <w:numId w:val="1010"/>
        </w:numPr>
      </w:pPr>
      <w:r>
        <w:rPr>
          <w:b/>
          <w:bCs/>
        </w:rPr>
        <w:t xml:space="preserve">Nessun livello in serie fra 2011 e 2021.</w:t>
      </w:r>
      <w:r>
        <w:t xml:space="preserve"> </w:t>
      </w:r>
      <w:r>
        <w:t xml:space="preserve">Il 2011 conta chi si sposta</w:t>
      </w:r>
      <w:r>
        <w:t xml:space="preserve"> </w:t>
      </w:r>
      <w:r>
        <w:rPr>
          <w:i/>
          <w:iCs/>
        </w:rPr>
        <w:t xml:space="preserve">giornalmente</w:t>
      </w:r>
      <w:r>
        <w:t xml:space="preserve">, il 2021 chi si reca al lavoro</w:t>
      </w:r>
      <w:r>
        <w:t xml:space="preserve"> </w:t>
      </w:r>
      <w:r>
        <w:rPr>
          <w:i/>
          <w:iCs/>
        </w:rPr>
        <w:t xml:space="preserve">almeno tre giorni a settimana</w:t>
      </w:r>
      <w:r>
        <w:t xml:space="preserve">. Il 2021,</w:t>
      </w:r>
      <w:r>
        <w:t xml:space="preserve"> </w:t>
      </w:r>
      <w:r>
        <w:t xml:space="preserve">inoltre, copre il solo lavoro e non ha il sesso. Si confronta quindi la composizione</w:t>
      </w:r>
      <w:r>
        <w:t xml:space="preserve"> </w:t>
      </w:r>
      <w:r>
        <w:t xml:space="preserve">(dove vanno, su cento che escono), mai il livello. La colonna</w:t>
      </w:r>
      <w:r>
        <w:t xml:space="preserve"> </w:t>
      </w:r>
      <w:r>
        <w:rPr>
          <w:rStyle w:val="VerbatimChar"/>
        </w:rPr>
        <w:t xml:space="preserve">definizione</w:t>
      </w:r>
      <w:r>
        <w:t xml:space="preserve"> </w:t>
      </w:r>
      <w:r>
        <w:t xml:space="preserve">della</w:t>
      </w:r>
      <w:r>
        <w:t xml:space="preserve"> </w:t>
      </w:r>
      <w:r>
        <w:t xml:space="preserve">tabella riporta la definizione riga per riga.</w:t>
      </w:r>
    </w:p>
    <w:p>
      <w:pPr>
        <w:pStyle w:val="Compact"/>
        <w:numPr>
          <w:ilvl w:val="0"/>
          <w:numId w:val="1010"/>
        </w:numPr>
      </w:pPr>
      <w:r>
        <w:rPr>
          <w:b/>
          <w:bCs/>
        </w:rPr>
        <w:t xml:space="preserve">Nessun dato sul rientro.</w:t>
      </w:r>
      <w:r>
        <w:t xml:space="preserve"> </w:t>
      </w:r>
      <w:r>
        <w:t xml:space="preserve">Si conosce solo l’orario di uscita di casa. Che le donne</w:t>
      </w:r>
      <w:r>
        <w:t xml:space="preserve"> </w:t>
      </w:r>
      <w:r>
        <w:t xml:space="preserve">partano più tardi e viaggino più a lungo è un fatto; che dipenda dal carico di cura resta</w:t>
      </w:r>
      <w:r>
        <w:t xml:space="preserve"> </w:t>
      </w:r>
      <w:r>
        <w:t xml:space="preserve">un’ipotesi.</w:t>
      </w:r>
    </w:p>
    <w:p>
      <w:pPr>
        <w:pStyle w:val="Compact"/>
        <w:numPr>
          <w:ilvl w:val="0"/>
          <w:numId w:val="1010"/>
        </w:numPr>
      </w:pPr>
      <w:r>
        <w:rPr>
          <w:b/>
          <w:bCs/>
        </w:rPr>
        <w:t xml:space="preserve">Correlazioni ecologiche.</w:t>
      </w:r>
      <w:r>
        <w:t xml:space="preserve"> </w:t>
      </w:r>
      <w:r>
        <w:t xml:space="preserve">Sui 390 comuni la mobilità fuori comune correla con</w:t>
      </w:r>
      <w:r>
        <w:t xml:space="preserve"> </w:t>
      </w:r>
      <w:r>
        <w:t xml:space="preserve">l’occupazione femminile (Spearman +0,32): il dato orienta l’ipotesi, non la dimostra, ed</w:t>
      </w:r>
      <w:r>
        <w:t xml:space="preserve"> </w:t>
      </w:r>
      <w:r>
        <w:t xml:space="preserve">è in parte meccanico, perché dove si lavora di più ci si sposta di più. L’</w:t>
      </w:r>
      <w:r>
        <w:rPr>
          <w:rStyle w:val="VerbatimChar"/>
        </w:rPr>
        <w:t xml:space="preserve">R²</w:t>
      </w:r>
      <w:r>
        <w:t xml:space="preserve"> </w:t>
      </w:r>
      <w:r>
        <w:t xml:space="preserve">dei</w:t>
      </w:r>
      <w:r>
        <w:t xml:space="preserve"> </w:t>
      </w:r>
      <w:r>
        <w:t xml:space="preserve">modelli sui divari di genere, inoltre, è vicino a zero: lì «atteso» vuol dire poco più</w:t>
      </w:r>
      <w:r>
        <w:t xml:space="preserve"> </w:t>
      </w:r>
      <w:r>
        <w:t xml:space="preserve">di «media siciliana». → sezione «La nuvola dei 390» di</w:t>
      </w:r>
      <w:r>
        <w:t xml:space="preserve"> </w:t>
      </w:r>
      <w:r>
        <w:rPr>
          <w:rStyle w:val="VerbatimChar"/>
        </w:rPr>
        <w:t xml:space="preserve">notebooks/genere.ipynb</w:t>
      </w:r>
      <w:r>
        <w:t xml:space="preserve">,</w:t>
      </w:r>
      <w:r>
        <w:t xml:space="preserve"> </w:t>
      </w:r>
      <w:r>
        <w:rPr>
          <w:rStyle w:val="VerbatimChar"/>
        </w:rPr>
        <w:t xml:space="preserve">genere_mobilita_2011.csv</w:t>
      </w:r>
    </w:p>
    <w:p>
      <w:pPr>
        <w:pStyle w:val="Compact"/>
        <w:numPr>
          <w:ilvl w:val="0"/>
          <w:numId w:val="1010"/>
        </w:numPr>
      </w:pPr>
      <w:r>
        <w:rPr>
          <w:b/>
          <w:bCs/>
        </w:rPr>
        <w:t xml:space="preserve">Palermo non è un termine di paragone su questa misura.</w:t>
      </w:r>
      <w:r>
        <w:t xml:space="preserve"> </w:t>
      </w:r>
      <w:r>
        <w:t xml:space="preserve">È un comune grande, e per</w:t>
      </w:r>
      <w:r>
        <w:t xml:space="preserve"> </w:t>
      </w:r>
      <w:r>
        <w:t xml:space="preserve">costruzione compare con valori bassissimi.</w:t>
      </w:r>
    </w:p>
    <w:p>
      <w:r>
        <w:pict>
          <v:rect style="width:0;height:1.5pt" o:hralign="center" o:hrstd="t" o:hr="t"/>
        </w:pict>
      </w:r>
    </w:p>
    <w:bookmarkEnd w:id="87"/>
    <w:bookmarkEnd w:id="88"/>
    <w:bookmarkStart w:id="95" w:name="Xc9f49ca3419550b4ab1098371d297a065d00c1e"/>
    <w:p>
      <w:pPr>
        <w:pStyle w:val="Heading1"/>
      </w:pPr>
      <w:r>
        <w:t xml:space="preserve">6. Il denominatore si muove: la platea giovane si restringe</w:t>
      </w:r>
    </w:p>
    <w:p>
      <w:pPr>
        <w:pStyle w:val="FirstParagraph"/>
      </w:pPr>
      <w:r>
        <w:t xml:space="preserve">La «fuga di talenti» del bando si misura con la ritenzione di coorte (sezione 3.3). Questa</w:t>
      </w:r>
      <w:r>
        <w:t xml:space="preserve"> </w:t>
      </w:r>
      <w:r>
        <w:t xml:space="preserve">sezione guarda a un’altra conseguenza, che vale per qualunque obiettivo: la platea giovane</w:t>
      </w:r>
      <w:r>
        <w:t xml:space="preserve"> </w:t>
      </w:r>
      <w:r>
        <w:t xml:space="preserve">si restringe, e con essa il denominatore di ogni tasso di questa relazione.</w:t>
      </w:r>
    </w:p>
    <w:p>
      <w:pPr>
        <w:pStyle w:val="BodyText"/>
      </w:pPr>
      <w:r>
        <w:t xml:space="preserve">La popolazione 15-34 passa da</w:t>
      </w:r>
      <w:r>
        <w:t xml:space="preserve"> </w:t>
      </w:r>
      <w:r>
        <w:rPr>
          <w:b/>
          <w:bCs/>
        </w:rPr>
        <w:t xml:space="preserve">12.174 (2021) a 11.861 (2024)</w:t>
      </w:r>
      <w:r>
        <w:t xml:space="preserve">: −313 persone, −2,6% in</w:t>
      </w:r>
      <w:r>
        <w:t xml:space="preserve"> </w:t>
      </w:r>
      <w:r>
        <w:t xml:space="preserve">tre anni. Ma 266 di quelle 313 persone sono</w:t>
      </w:r>
      <w:r>
        <w:t xml:space="preserve"> </w:t>
      </w:r>
      <w:r>
        <w:rPr>
          <w:b/>
          <w:bCs/>
        </w:rPr>
        <w:t xml:space="preserve">ricambio d’età</w:t>
      </w:r>
      <w:r>
        <w:t xml:space="preserve">: le coorti che compiono 15</w:t>
      </w:r>
      <w:r>
        <w:t xml:space="preserve"> </w:t>
      </w:r>
      <w:r>
        <w:t xml:space="preserve">anni sono più piccole di quelle che superano i 34. Dentro le stesse coorti il saldo è di</w:t>
      </w:r>
      <w:r>
        <w:t xml:space="preserve"> </w:t>
      </w:r>
      <w:r>
        <w:t xml:space="preserve">−47 persone, −0,39%, come in Sicilia (−0,38%). Sull’insieme dei 15-34, quindi, Bagheria</w:t>
      </w:r>
      <w:r>
        <w:t xml:space="preserve"> </w:t>
      </w:r>
      <w:r>
        <w:t xml:space="preserve">non perde più della regione: la perdita si concentra all’uscita dal percorso formativo</w:t>
      </w:r>
      <w:r>
        <w:t xml:space="preserve"> </w:t>
      </w:r>
      <w:r>
        <w:t xml:space="preserve">(sezione 3.3). →</w:t>
      </w:r>
      <w:r>
        <w:t xml:space="preserve"> </w:t>
      </w:r>
      <w:r>
        <w:rPr>
          <w:rStyle w:val="VerbatimChar"/>
        </w:rPr>
        <w:t xml:space="preserve">analisi_popolazione_giovane.csv</w:t>
      </w:r>
      <w:r>
        <w:t xml:space="preserve">,</w:t>
      </w:r>
      <w:r>
        <w:t xml:space="preserve"> </w:t>
      </w:r>
      <w:r>
        <w:rPr>
          <w:rStyle w:val="VerbatimChar"/>
        </w:rPr>
        <w:t xml:space="preserve">genere_stock_coorti.csv</w:t>
      </w:r>
    </w:p>
    <w:p>
      <w:pPr>
        <w:pStyle w:val="BodyText"/>
      </w:pPr>
      <w:r>
        <w:t xml:space="preserve">Il ricambio dall’estero è debole: gli stranieri sono l’</w:t>
      </w:r>
      <w:r>
        <w:rPr>
          <w:b/>
          <w:bCs/>
        </w:rPr>
        <w:t xml:space="preserve">1,6% del 15-34</w:t>
      </w:r>
      <w:r>
        <w:t xml:space="preserve"> </w:t>
      </w:r>
      <w:r>
        <w:t xml:space="preserve">(195 persone),</w:t>
      </w:r>
      <w:r>
        <w:t xml:space="preserve"> </w:t>
      </w:r>
      <w:r>
        <w:t xml:space="preserve">contro il 5,1% a Palermo, il 6,4% in Sicilia e il 12,4% in Italia. →</w:t>
      </w:r>
      <w:r>
        <w:t xml:space="preserve"> </w:t>
      </w:r>
      <w:r>
        <w:rPr>
          <w:rStyle w:val="VerbatimChar"/>
        </w:rPr>
        <w:t xml:space="preserve">genere_stranieri.csv</w:t>
      </w:r>
    </w:p>
    <w:p>
      <w:pPr>
        <w:pStyle w:val="BodyText"/>
      </w:pPr>
      <w:r>
        <w:drawing>
          <wp:inline>
            <wp:extent cx="6108700" cy="3772133"/>
            <wp:effectExtent b="0" l="0" r="0" t="0"/>
            <wp:docPr descr="" title="" id="90" name="Picture"/>
            <a:graphic>
              <a:graphicData uri="http://schemas.openxmlformats.org/drawingml/2006/picture">
                <pic:pic>
                  <pic:nvPicPr>
                    <pic:cNvPr descr="/home/kiycoh/Documents/dev/datapolis-2026-hackathon/.docx-build/edu_fig08_popolazione.png" id="91" name="Picture"/>
                    <pic:cNvPicPr>
                      <a:picLocks noChangeArrowheads="1" noChangeAspect="1"/>
                    </pic:cNvPicPr>
                  </pic:nvPicPr>
                  <pic:blipFill>
                    <a:blip r:embed="rId89"/>
                    <a:stretch>
                      <a:fillRect/>
                    </a:stretch>
                  </pic:blipFill>
                  <pic:spPr bwMode="auto">
                    <a:xfrm>
                      <a:off x="0" y="0"/>
                      <a:ext cx="6108700" cy="3772133"/>
                    </a:xfrm>
                    <a:prstGeom prst="rect">
                      <a:avLst/>
                    </a:prstGeom>
                    <a:noFill/>
                    <a:ln w="9525">
                      <a:noFill/>
                      <a:headEnd/>
                      <a:tailEnd/>
                    </a:ln>
                  </pic:spPr>
                </pic:pic>
              </a:graphicData>
            </a:graphic>
          </wp:inline>
        </w:drawing>
      </w:r>
    </w:p>
    <w:p>
      <w:pPr>
        <w:pStyle w:val="Didascalia"/>
      </w:pPr>
      <w:r>
        <w:rPr>
          <w:b/>
          <w:bCs/>
        </w:rPr>
        <w:t xml:space="preserve">Figura 19. Come si legge:</w:t>
      </w:r>
      <w:r>
        <w:t xml:space="preserve"> </w:t>
      </w:r>
      <w:r>
        <w:t xml:space="preserve">ogni linea è un territorio e parte da 100 nel 2021: la sua altezza in un’annata è quindi la variazione percentuale cumulata da quell’anno, non un valore assoluto. Le etichette di fine linea sono scostate in verticale quel tanto che basta a non sovrapporsi, perché Bagheria e Sicilia arrivano a 0,02 punti d’indice l’una dall’altra: i pallini stanno sul valore vero, le scritte no. Che le due linee siano quasi sovrapposte è il finding, e che l’Italia se ne stacchi dimostra che questa scala le differenze le mostra quando ci sono. Lo stock non identifica la migrazione: una popolazione che si riduce somma nascite, morti, immigrazioni, emigrazioni e l’invecchiamento delle coorti che entrano ed escono dalla fascia, e il numero non va citato come misura di chi se ne va. La finestra parte dal 2021 perché le età singole, necessarie a ricostruire la fascia 15-34, esistono solo da quell’anno: le altre figure del thread usano la classe 15-24 sul 2018-2024, e le due finestre restano separate.</w:t>
      </w:r>
    </w:p>
    <w:p>
      <w:pPr>
        <w:pStyle w:val="Didascalia"/>
      </w:pPr>
      <w:r>
        <w:rPr>
          <w:b/>
          <w:bCs/>
        </w:rPr>
        <w:t xml:space="preserve">Fonte:</w:t>
      </w:r>
      <w:r>
        <w:t xml:space="preserve"> </w:t>
      </w:r>
      <w:r>
        <w:t xml:space="preserve">ISTAT, Censimento permanente della popolazione, popolazione residente per età singola, fascia 15-34 anni, 2021-2024 (nel 2021: Bagheria 12.174; Palermo 137.091; Italia 12.002.452; Sicilia 1.060.515 residenti). Elaborazione: pipeline/edu (thread educazione), data/processed/edu_youth_population_15_34.csv.</w:t>
      </w:r>
    </w:p>
    <w:p>
      <w:pPr>
        <w:pStyle w:val="Didascalia"/>
      </w:pPr>
      <w:r>
        <w:rPr>
          <w:i/>
          <w:iCs/>
        </w:rPr>
        <w:t xml:space="preserve">Figura</w:t>
      </w:r>
      <w:r>
        <w:t xml:space="preserve"> </w:t>
      </w:r>
      <w:r>
        <w:rPr>
          <w:rStyle w:val="VerbatimChar"/>
        </w:rPr>
        <w:t xml:space="preserve">edu_fig08_popolazione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viz/edu_fig08_popolazione.R</w:t>
      </w:r>
      <w:r>
        <w:rPr>
          <w:i/>
          <w:iCs/>
        </w:rPr>
        <w:t xml:space="preserve">.</w:t>
      </w:r>
    </w:p>
    <w:p>
      <w:pPr>
        <w:pStyle w:val="BodyText"/>
      </w:pPr>
      <w:r>
        <w:t xml:space="preserve">Chi avrà 15-24 anni nel 2029 e nel 2034</w:t>
      </w:r>
      <w:r>
        <w:t xml:space="preserve"> </w:t>
      </w:r>
      <w:r>
        <w:rPr>
          <w:b/>
          <w:bCs/>
        </w:rPr>
        <w:t xml:space="preserve">è già nato</w:t>
      </w:r>
      <w:r>
        <w:t xml:space="preserve">: la platea futura si conta oggi sui</w:t>
      </w:r>
      <w:r>
        <w:t xml:space="preserve"> </w:t>
      </w:r>
      <w:r>
        <w:t xml:space="preserve">residenti di 10-19 e 5-14 anni. Non è una proiezione demografica, ma il conto di chi è già</w:t>
      </w:r>
      <w:r>
        <w:t xml:space="preserve"> </w:t>
      </w:r>
      <w:r>
        <w:t xml:space="preserve">residente a migrazioni nulle; le partenze e gli arrivi dei prossimi anni lo sposteranno. Le</w:t>
      </w:r>
      <w:r>
        <w:t xml:space="preserve"> </w:t>
      </w:r>
      <w:r>
        <w:t xml:space="preserve">ragazze passano da 2.882 (2024) a 2.651 (2029, −8,0%) e a</w:t>
      </w:r>
      <w:r>
        <w:t xml:space="preserve"> </w:t>
      </w:r>
      <w:r>
        <w:rPr>
          <w:b/>
          <w:bCs/>
        </w:rPr>
        <w:t xml:space="preserve">2.435 (2034, −15,5%)</w:t>
      </w:r>
      <w:r>
        <w:t xml:space="preserve">; i</w:t>
      </w:r>
      <w:r>
        <w:t xml:space="preserve"> </w:t>
      </w:r>
      <w:r>
        <w:t xml:space="preserve">ragazzi calano del 2,5% e del 5,8%. Nei territori di confronto il calo è simile fra i</w:t>
      </w:r>
      <w:r>
        <w:t xml:space="preserve"> </w:t>
      </w:r>
      <w:r>
        <w:t xml:space="preserve">generi, anzi un po’ più forte fra i maschi; a Bagheria pesa soprattutto sulle ragazze.</w:t>
      </w:r>
      <w:r>
        <w:t xml:space="preserve"> </w:t>
      </w:r>
      <w:r>
        <w:t xml:space="preserve">→</w:t>
      </w:r>
      <w:r>
        <w:t xml:space="preserve"> </w:t>
      </w:r>
      <w:r>
        <w:rPr>
          <w:rStyle w:val="VerbatimChar"/>
        </w:rPr>
        <w:t xml:space="preserve">genere_platea.csv</w:t>
      </w:r>
    </w:p>
    <w:p>
      <w:pPr>
        <w:pStyle w:val="BodyText"/>
      </w:pPr>
      <w:r>
        <w:rPr>
          <w:b/>
          <w:bCs/>
        </w:rPr>
        <w:t xml:space="preserve">Cautela.</w:t>
      </w:r>
      <w:r>
        <w:t xml:space="preserve"> </w:t>
      </w:r>
      <w:r>
        <w:t xml:space="preserve">L’asimmetria nasce da una sex ratio 5-14 anomala: 117 maschi per 100 femmine, contro</w:t>
      </w:r>
      <w:r>
        <w:t xml:space="preserve"> </w:t>
      </w:r>
      <w:r>
        <w:t xml:space="preserve">104-106 dei benchmark. Il valore è in salita dal 2011 ed è identico su due tavole</w:t>
      </w:r>
      <w:r>
        <w:t xml:space="preserve"> </w:t>
      </w:r>
      <w:r>
        <w:t xml:space="preserve">indipendenti. Il meccanismo resta aperto, e il dato si cita solo insieme al suo audit.</w:t>
      </w:r>
      <w:r>
        <w:t xml:space="preserve"> </w:t>
      </w:r>
      <w:r>
        <w:t xml:space="preserve">→</w:t>
      </w:r>
      <w:r>
        <w:t xml:space="preserve"> </w:t>
      </w:r>
      <w:r>
        <w:rPr>
          <w:rStyle w:val="VerbatimChar"/>
        </w:rPr>
        <w:t xml:space="preserve">genere_sex_ratio_5_14.csv</w:t>
      </w:r>
    </w:p>
    <w:p>
      <w:pPr>
        <w:pStyle w:val="BodyText"/>
      </w:pPr>
      <w:r>
        <w:t xml:space="preserve">La conseguenza per qualunque intervento è aritmetica, ed è il secondo pilastro della</w:t>
      </w:r>
      <w:r>
        <w:t xml:space="preserve"> </w:t>
      </w:r>
      <w:r>
        <w:t xml:space="preserve">proposta. Al tasso obiettivo di Palermo (9,59%), l’equivalente di «+40 occupate» misurato</w:t>
      </w:r>
      <w:r>
        <w:t xml:space="preserve"> </w:t>
      </w:r>
      <w:r>
        <w:t xml:space="preserve">sulla platea di ciascun anno vale</w:t>
      </w:r>
      <w:r>
        <w:t xml:space="preserve"> </w:t>
      </w:r>
      <w:r>
        <w:rPr>
          <w:b/>
          <w:bCs/>
        </w:rPr>
        <w:t xml:space="preserve">+18,2 nel 2029 e −2,5 nel 2034</w:t>
      </w:r>
      <w:r>
        <w:t xml:space="preserve"> </w:t>
      </w:r>
      <w:r>
        <w:t xml:space="preserve">(lordo +40,4; attrito</w:t>
      </w:r>
      <w:r>
        <w:t xml:space="preserve"> </w:t>
      </w:r>
      <w:r>
        <w:t xml:space="preserve">demografico −22,2 e −42,9). Un obiettivo scritto in teste si annulla da solo, senza che</w:t>
      </w:r>
      <w:r>
        <w:t xml:space="preserve"> </w:t>
      </w:r>
      <w:r>
        <w:t xml:space="preserve">nessuno abbia sbagliato nulla.</w:t>
      </w:r>
      <w:r>
        <w:t xml:space="preserve"> </w:t>
      </w:r>
      <w:r>
        <w:rPr>
          <w:b/>
          <w:bCs/>
        </w:rPr>
        <w:t xml:space="preserve">Il KPI va scritto in tasso.</w:t>
      </w:r>
      <w:r>
        <w:t xml:space="preserve"> </w:t>
      </w:r>
      <w:r>
        <w:t xml:space="preserve">→</w:t>
      </w:r>
      <w:r>
        <w:t xml:space="preserve"> </w:t>
      </w:r>
      <w:r>
        <w:rPr>
          <w:rStyle w:val="VerbatimChar"/>
        </w:rPr>
        <w:t xml:space="preserve">genere_kpi_netto.csv</w:t>
      </w:r>
      <w:r>
        <w:t xml:space="preserve"> </w:t>
      </w:r>
      <w:r>
        <w:t xml:space="preserve">(fig09; cautela: da non confondere con lo scenario «non si fa</w:t>
      </w:r>
      <w:r>
        <w:t xml:space="preserve"> </w:t>
      </w:r>
      <w:r>
        <w:t xml:space="preserve">niente», −19/−37 a tasso 2024 costante:</w:t>
      </w:r>
      <w:r>
        <w:t xml:space="preserve"> </w:t>
      </w:r>
      <w:r>
        <w:rPr>
          <w:rStyle w:val="VerbatimChar"/>
        </w:rPr>
        <w:t xml:space="preserve">genere_tetto_platea.csv</w:t>
      </w:r>
      <w:r>
        <w:t xml:space="preserve">)</w:t>
      </w:r>
    </w:p>
    <w:p>
      <w:pPr>
        <w:pStyle w:val="BodyText"/>
      </w:pPr>
      <w:r>
        <w:drawing>
          <wp:inline>
            <wp:extent cx="6108700" cy="4911712"/>
            <wp:effectExtent b="0" l="0" r="0" t="0"/>
            <wp:docPr descr="" title="" id="93" name="Picture"/>
            <a:graphic>
              <a:graphicData uri="http://schemas.openxmlformats.org/drawingml/2006/picture">
                <pic:pic>
                  <pic:nvPicPr>
                    <pic:cNvPr descr="/home/kiycoh/Documents/dev/datapolis-2026-hackathon/.docx-build/fig09_kpi_finestra.png" id="94" name="Picture"/>
                    <pic:cNvPicPr>
                      <a:picLocks noChangeArrowheads="1" noChangeAspect="1"/>
                    </pic:cNvPicPr>
                  </pic:nvPicPr>
                  <pic:blipFill>
                    <a:blip r:embed="rId92"/>
                    <a:stretch>
                      <a:fillRect/>
                    </a:stretch>
                  </pic:blipFill>
                  <pic:spPr bwMode="auto">
                    <a:xfrm>
                      <a:off x="0" y="0"/>
                      <a:ext cx="6108700" cy="4911712"/>
                    </a:xfrm>
                    <a:prstGeom prst="rect">
                      <a:avLst/>
                    </a:prstGeom>
                    <a:noFill/>
                    <a:ln w="9525">
                      <a:noFill/>
                      <a:headEnd/>
                      <a:tailEnd/>
                    </a:ln>
                  </pic:spPr>
                </pic:pic>
              </a:graphicData>
            </a:graphic>
          </wp:inline>
        </w:drawing>
      </w:r>
    </w:p>
    <w:p>
      <w:pPr>
        <w:pStyle w:val="Didascalia"/>
      </w:pPr>
      <w:r>
        <w:rPr>
          <w:b/>
          <w:bCs/>
        </w:rPr>
        <w:t xml:space="preserve">Figura 20. Come si legge:</w:t>
      </w:r>
      <w:r>
        <w:t xml:space="preserve"> </w:t>
      </w:r>
      <w:r>
        <w:t xml:space="preserve">nel pannello sinistro ogni quadratino vale 10 ragazze e il blocco intero è la popolazione femminile 15-24. I colori sono una rampa ordinata su una tinta sola, non categorie: il vermiglio pieno è chi lavora oggi, le tinte via via più chiare sono i traguardi successivi (allineamento a Palermo, parità con i coetanei, tasso nazionale) e il grigio è chi resta comunque fuori. Le classi sono cumulative, quindi ogni fascia va letta come «e in più»; i quadratini sono arrotondati alla decina mentre i totali in legenda no, e la somma può scostarsi di poche unità. Nel pannello destro ogni faccia è un orizzonte e le tre barre si leggono in cascata: l’obiettivo sulla platea di oggi in arancio, quanto la platea si restringe in grigio (valore negativo, barra verso sinistra), quello che resta in vermiglio. La riga verticale grigia è lo zero. La lettura sta tutta nel confronto fra le due facce. Le platee del 2029 (2.651) e del 2034 (2.435) contano ragazze già nate e già residenti oggi: sono un tetto che si restringe, non una previsione demografica. Le due misure dell’attrito non coincidono, perché ciascuna si misura al tasso a cui la si applica: a tasso 2024 fermo la sola demografia toglie 19 occupate al 2029 e 37 al 2034 (lo scenario «non si fa niente»), mentre al tasso obiettivo di Palermo (9,59%) ne toglie 22 e 43, che è il numero disegnato nel pannello destro.</w:t>
      </w:r>
    </w:p>
    <w:p>
      <w:pPr>
        <w:pStyle w:val="Didascalia"/>
      </w:pPr>
      <w:r>
        <w:rPr>
          <w:b/>
          <w:bCs/>
        </w:rPr>
        <w:t xml:space="preserve">Fonte:</w:t>
      </w:r>
      <w:r>
        <w:t xml:space="preserve"> </w:t>
      </w:r>
      <w:r>
        <w:t xml:space="preserve">ISTAT, Censimento permanente della popolazione, tavola della condizione professionale, classe 15-24 anni, 2024, e demografia per età singola per le platee future. Elaborazione: notebooks/genere.ipynb (data/processed/genere_base_persone.csv, genere_gap_persone.csv, genere_platea.csv, genere_tetto_platea.csv e genere_kpi_netto.csv).</w:t>
      </w:r>
    </w:p>
    <w:p>
      <w:pPr>
        <w:pStyle w:val="Didascalia"/>
      </w:pPr>
      <w:r>
        <w:rPr>
          <w:i/>
          <w:iCs/>
        </w:rPr>
        <w:t xml:space="preserve">Figura</w:t>
      </w:r>
      <w:r>
        <w:t xml:space="preserve"> </w:t>
      </w:r>
      <w:r>
        <w:rPr>
          <w:rStyle w:val="VerbatimChar"/>
        </w:rPr>
        <w:t xml:space="preserve">fig09_kpi_finestra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viz/fig09_kpi_finestra.R</w:t>
      </w:r>
      <w:r>
        <w:rPr>
          <w:i/>
          <w:iCs/>
        </w:rPr>
        <w:t xml:space="preserve">.</w:t>
      </w:r>
    </w:p>
    <w:p>
      <w:r>
        <w:pict>
          <v:rect style="width:0;height:1.5pt" o:hralign="center" o:hrstd="t" o:hr="t"/>
        </w:pict>
      </w:r>
    </w:p>
    <w:bookmarkEnd w:id="95"/>
    <w:bookmarkStart w:id="106" w:name="dallevidenza-alla-proposta-ponte-19"/>
    <w:p>
      <w:pPr>
        <w:pStyle w:val="Heading1"/>
      </w:pPr>
      <w:r>
        <w:t xml:space="preserve">7. Dall’evidenza alla proposta: Ponte 19</w:t>
      </w:r>
    </w:p>
    <w:p>
      <w:pPr>
        <w:pStyle w:val="FirstParagraph"/>
      </w:pPr>
      <w:r>
        <w:t xml:space="preserve">La proposta completa, con modello operativo, decision gate e disegno di valutazione, sta in</w:t>
      </w:r>
      <w:r>
        <w:t xml:space="preserve"> </w:t>
      </w:r>
      <w:r>
        <w:rPr>
          <w:rStyle w:val="VerbatimChar"/>
        </w:rPr>
        <w:t xml:space="preserve">dist/POLICY_PONTE_19.pdf</w:t>
      </w:r>
      <w:r>
        <w:t xml:space="preserve">. Questa sezione ne ricostruisce la derivazione</w:t>
      </w:r>
      <w:r>
        <w:t xml:space="preserve"> </w:t>
      </w:r>
      <w:r>
        <w:t xml:space="preserve">dall’evidenza, nel formato fissato dal progetto:</w:t>
      </w:r>
      <w:r>
        <w:t xml:space="preserve"> </w:t>
      </w:r>
      <w:r>
        <w:rPr>
          <w:b/>
          <w:bCs/>
        </w:rPr>
        <w:t xml:space="preserve">evidenza → intervento → target → KPI</w:t>
      </w:r>
      <w:r>
        <w:t xml:space="preserv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Evidenza</w:t>
            </w:r>
          </w:p>
        </w:tc>
        <w:tc>
          <w:tcPr/>
          <w:p>
            <w:pPr>
              <w:pStyle w:val="Compact"/>
            </w:pPr>
            <w:r>
              <w:t xml:space="preserve">Il 70,6% dei 15-24enni fuori da lavoro e studio non cerca lavoro (sez. 2.1). La conversione dei titoli in lavoro fallisce soprattutto sulle ragazze, e dopo i 25 anni il deficit di occupazione diventa femminile anche per la generazione giovane (sez. 3.1 e 3.1-bis). Le coorti si perdono all’uscita dal percorso formativo (sez. 3.3). Il pendolarismo ha lo stesso segno: le ragazze escono dal comune per studiare più dei coetanei (+2,6 punti), le donne escono per lavorare 12,1 punti meno degli uomini (sez. 5.2). La platea si restringe (sez. 6)</w:t>
            </w:r>
          </w:p>
        </w:tc>
      </w:tr>
      <w:tr>
        <w:tc>
          <w:tcPr/>
          <w:p>
            <w:pPr>
              <w:pStyle w:val="Compact"/>
            </w:pPr>
            <w:r>
              <w:rPr>
                <w:b/>
                <w:bCs/>
              </w:rPr>
              <w:t xml:space="preserve">Intervento</w:t>
            </w:r>
          </w:p>
        </w:tc>
        <w:tc>
          <w:tcPr/>
          <w:p>
            <w:pPr>
              <w:pStyle w:val="Compact"/>
            </w:pPr>
            <w:r>
              <w:rPr>
                <w:b/>
                <w:bCs/>
              </w:rPr>
              <w:t xml:space="preserve">Ponte 19</w:t>
            </w:r>
            <w:r>
              <w:t xml:space="preserve">: servizio comunale di transizione e riattivazione, con outreach attivo (non a domanda spontanea) e due finestre di ingaggio</w:t>
            </w:r>
          </w:p>
        </w:tc>
      </w:tr>
      <w:tr>
        <w:tc>
          <w:tcPr/>
          <w:p>
            <w:pPr>
              <w:pStyle w:val="Compact"/>
            </w:pPr>
            <w:r>
              <w:rPr>
                <w:b/>
                <w:bCs/>
              </w:rPr>
              <w:t xml:space="preserve">Target</w:t>
            </w:r>
          </w:p>
        </w:tc>
        <w:tc>
          <w:tcPr/>
          <w:p>
            <w:pPr>
              <w:pStyle w:val="Compact"/>
            </w:pPr>
            <w:r>
              <w:t xml:space="preserve">Finestra A: 18-20enni all’uscita dalla scuola o entro 30 giorni dall’interruzione. Finestra B: 22-25enni fuori da lavoro e studio. Le finestre sono i momenti dell’outreach, non requisiti d’accesso: chi ha 21 anni entra su segnalazione o richiesta. Quota di genere ≥50% F sui presi in carico. Capacità pilota: 200 persone l’anno, pari a ~18% dei 1.121 inattivi non studenti 15-24 (platea indicativa: il censimento non dà la fascia 18-25)</w:t>
            </w:r>
          </w:p>
        </w:tc>
      </w:tr>
      <w:tr>
        <w:tc>
          <w:tcPr/>
          <w:p>
            <w:pPr>
              <w:pStyle w:val="Compact"/>
            </w:pPr>
            <w:r>
              <w:rPr>
                <w:b/>
                <w:bCs/>
              </w:rPr>
              <w:t xml:space="preserve">KPI</w:t>
            </w:r>
          </w:p>
        </w:tc>
        <w:tc>
          <w:tcPr/>
          <w:p>
            <w:pPr>
              <w:pStyle w:val="Compact"/>
            </w:pPr>
            <w:r>
              <w:t xml:space="preserve">In</w:t>
            </w:r>
            <w:r>
              <w:t xml:space="preserve"> </w:t>
            </w:r>
            <w:r>
              <w:rPr>
                <w:b/>
                <w:bCs/>
              </w:rPr>
              <w:t xml:space="preserve">tasso</w:t>
            </w:r>
            <w:r>
              <w:t xml:space="preserve">, con finestra di lettura dichiarata (sez. 7.4)</w:t>
            </w:r>
          </w:p>
        </w:tc>
      </w:tr>
    </w:tbl>
    <w:p>
      <w:pPr>
        <w:pStyle w:val="BodyText"/>
      </w:pPr>
      <w:r>
        <w:t xml:space="preserve">Il servizio parte da 18 anni perché fino ai 18 vale il diritto-dovere all’istruzione e alla</w:t>
      </w:r>
      <w:r>
        <w:t xml:space="preserve"> </w:t>
      </w:r>
      <w:r>
        <w:t xml:space="preserve">formazione. Si ferma a 25 perché le finestre devono intercettare le uscite prima che si</w:t>
      </w:r>
      <w:r>
        <w:t xml:space="preserve"> </w:t>
      </w:r>
      <w:r>
        <w:t xml:space="preserve">compiano: nel triennio la coorte femminile si riduce fra i 25 e i 28 anni, e a cinque anni</w:t>
      </w:r>
      <w:r>
        <w:t xml:space="preserve"> </w:t>
      </w:r>
      <w:r>
        <w:t xml:space="preserve">entrambi i generi perdono nel passaggio da 20-24 a 25-29 (sezione 3.3). Fra le due</w:t>
      </w:r>
      <w:r>
        <w:t xml:space="preserve"> </w:t>
      </w:r>
      <w:r>
        <w:t xml:space="preserve">finestre resta il 21. A quell’età nessuno dei due generi perde residenti netti (sezione</w:t>
      </w:r>
      <w:r>
        <w:t xml:space="preserve"> </w:t>
      </w:r>
      <w:r>
        <w:t xml:space="preserve">3.3), quindi il servizio non ha un canale di ricerca dedicato; chi ha 21 anni ed è fuori da</w:t>
      </w:r>
      <w:r>
        <w:t xml:space="preserve"> </w:t>
      </w:r>
      <w:r>
        <w:t xml:space="preserve">lavoro e studio è comunque preso in carico, e si conta a parte fra gli indicatori di</w:t>
      </w:r>
      <w:r>
        <w:t xml:space="preserve"> </w:t>
      </w:r>
      <w:r>
        <w:t xml:space="preserve">processo. I 26-34enni del bando restano fuori dal target per una ragione di misura:</w:t>
      </w:r>
      <w:r>
        <w:t xml:space="preserve"> </w:t>
      </w:r>
      <w:r>
        <w:t xml:space="preserve">nessuna tavola comunale permette di seguirne la condizione professionale, perché la classe</w:t>
      </w:r>
      <w:r>
        <w:t xml:space="preserve"> </w:t>
      </w:r>
      <w:r>
        <w:t xml:space="preserve">25-49 non è scomponibile. Il deficit femminile più grande, però, sta sopra i 25 anni</w:t>
      </w:r>
      <w:r>
        <w:t xml:space="preserve"> </w:t>
      </w:r>
      <w:r>
        <w:t xml:space="preserve">(sezione 3.1-bis). Estendere il modulo di genere ai 26-34 è quindi un’opzione dichiarata,</w:t>
      </w:r>
      <w:r>
        <w:t xml:space="preserve"> </w:t>
      </w:r>
      <w:r>
        <w:t xml:space="preserve">ancora da decidere e misurabile solo sul dato di servizio.</w:t>
      </w:r>
    </w:p>
    <w:bookmarkStart w:id="96" w:name="perché-non-è-un-intervento-sui-trasporti"/>
    <w:p>
      <w:pPr>
        <w:pStyle w:val="Heading2"/>
      </w:pPr>
      <w:r>
        <w:t xml:space="preserve">7.0 Perché non è un intervento sui trasporti</w:t>
      </w:r>
    </w:p>
    <w:p>
      <w:pPr>
        <w:pStyle w:val="FirstParagraph"/>
      </w:pPr>
      <w:r>
        <w:t xml:space="preserve">Chi legge la sezione 5 si pone subito una domanda: se il mezzo collettivo verso Palermo</w:t>
      </w:r>
      <w:r>
        <w:t xml:space="preserve"> </w:t>
      </w:r>
      <w:r>
        <w:t xml:space="preserve">pesa tanto per le donne, perché non intervenire lì? Perché</w:t>
      </w:r>
      <w:r>
        <w:t xml:space="preserve"> </w:t>
      </w:r>
      <w:r>
        <w:rPr>
          <w:b/>
          <w:bCs/>
        </w:rPr>
        <w:t xml:space="preserve">i dati non lo sostengono</w:t>
      </w:r>
      <w:r>
        <w:t xml:space="preserve">, per due</w:t>
      </w:r>
      <w:r>
        <w:t xml:space="preserve"> </w:t>
      </w:r>
      <w:r>
        <w:t xml:space="preserve">ragioni indipendenti. La prima: il treno di Bagheria è già al 98° percentile siciliano per</w:t>
      </w:r>
      <w:r>
        <w:t xml:space="preserve"> </w:t>
      </w:r>
      <w:r>
        <w:t xml:space="preserve">uso (sezione 5.4), quindi non c’è un’infrastruttura sottoutilizzata da attivare. La</w:t>
      </w:r>
      <w:r>
        <w:t xml:space="preserve"> </w:t>
      </w:r>
      <w:r>
        <w:t xml:space="preserve">seconda: sui 381 comuni non capoluogo una quota maggiore di mezzo collettivo</w:t>
      </w:r>
      <w:r>
        <w:t xml:space="preserve"> </w:t>
      </w:r>
      <w:r>
        <w:rPr>
          <w:b/>
          <w:bCs/>
        </w:rPr>
        <w:t xml:space="preserve">non</w:t>
      </w:r>
      <w:r>
        <w:t xml:space="preserve"> </w:t>
      </w:r>
      <w:r>
        <w:t xml:space="preserve">si</w:t>
      </w:r>
      <w:r>
        <w:t xml:space="preserve"> </w:t>
      </w:r>
      <w:r>
        <w:t xml:space="preserve">accompagna a un divario di genere più piccolo. L’associazione non trova sostegno</w:t>
      </w:r>
      <w:r>
        <w:t xml:space="preserve"> </w:t>
      </w:r>
      <w:r>
        <w:t xml:space="preserve">(p = 0,06), e la stima ha il segno opposto all’ipotesi.</w:t>
      </w:r>
    </w:p>
    <w:p>
      <w:pPr>
        <w:pStyle w:val="BodyText"/>
      </w:pPr>
      <w:r>
        <w:t xml:space="preserve">Resta un vincolo operativo che il servizio deve rispettare. Fra chi esce da Bagheria, il</w:t>
      </w:r>
      <w:r>
        <w:t xml:space="preserve"> </w:t>
      </w:r>
      <w:r>
        <w:t xml:space="preserve">mezzo collettivo porta il 34,7% delle donne e il 18,9% degli uomini; il mezzo privato a</w:t>
      </w:r>
      <w:r>
        <w:t xml:space="preserve"> </w:t>
      </w:r>
      <w:r>
        <w:t xml:space="preserve">motore, il 79,0% degli uomini.</w:t>
      </w:r>
      <w:r>
        <w:t xml:space="preserve"> </w:t>
      </w:r>
      <w:r>
        <w:rPr>
          <w:b/>
          <w:bCs/>
        </w:rPr>
        <w:t xml:space="preserve">Un servizio che dia per scontata l’auto seleziona per</w:t>
      </w:r>
      <w:r>
        <w:rPr>
          <w:b/>
          <w:bCs/>
        </w:rPr>
        <w:t xml:space="preserve"> </w:t>
      </w:r>
      <w:r>
        <w:rPr>
          <w:b/>
          <w:bCs/>
        </w:rPr>
        <w:t xml:space="preserve">genere</w:t>
      </w:r>
      <w:r>
        <w:t xml:space="preserve">, e</w:t>
      </w:r>
      <w:r>
        <w:t xml:space="preserve"> </w:t>
      </w:r>
      <w:r>
        <w:t xml:space="preserve">seleziona proprio contro la metà che la quota di genere vuole raggiungere (sezione 7.2).</w:t>
      </w:r>
      <w:r>
        <w:t xml:space="preserve"> </w:t>
      </w:r>
      <w:r>
        <w:t xml:space="preserve">Orari di convocazione, tirocini e sedi vanno quindi scelti fra ciò che è raggiungibile in</w:t>
      </w:r>
      <w:r>
        <w:t xml:space="preserve"> </w:t>
      </w:r>
      <w:r>
        <w:t xml:space="preserve">treno e in autobus, e la raggiungibilità va misurata, non assunta.</w:t>
      </w:r>
    </w:p>
    <w:bookmarkEnd w:id="96"/>
    <w:bookmarkStart w:id="97" w:name="perché-due-finestre"/>
    <w:p>
      <w:pPr>
        <w:pStyle w:val="Heading2"/>
      </w:pPr>
      <w:r>
        <w:t xml:space="preserve">7.1 Perché due finestre</w:t>
      </w:r>
    </w:p>
    <w:p>
      <w:pPr>
        <w:pStyle w:val="FirstParagraph"/>
      </w:pPr>
      <w:r>
        <w:t xml:space="preserve">Le uscite hanno due tempi (sezione 3.3). Il primo è la fine della scuola. Il secondo è la</w:t>
      </w:r>
      <w:r>
        <w:t xml:space="preserve"> </w:t>
      </w:r>
      <w:r>
        <w:t xml:space="preserve">fine del percorso formativo, fra i 20 e i 29 anni. Lì le coorti di entrambi i generi si</w:t>
      </w:r>
      <w:r>
        <w:t xml:space="preserve"> </w:t>
      </w:r>
      <w:r>
        <w:t xml:space="preserve">riducono 9-12 punti più che in Italia, e lì il deficit di occupazione diventa femminile</w:t>
      </w:r>
      <w:r>
        <w:t xml:space="preserve"> </w:t>
      </w:r>
      <w:r>
        <w:t xml:space="preserve">(sezione 3.1-bis). Una sola finestra 18-20 mancherebbe questo secondo passaggio. La</w:t>
      </w:r>
      <w:r>
        <w:t xml:space="preserve"> </w:t>
      </w:r>
      <w:r>
        <w:t xml:space="preserve">finestra B esiste per coprirlo, e la quota di genere (sezione 7.2) la orienta verso le</w:t>
      </w:r>
      <w:r>
        <w:t xml:space="preserve"> </w:t>
      </w:r>
      <w:r>
        <w:t xml:space="preserve">ragazze.</w:t>
      </w:r>
    </w:p>
    <w:bookmarkEnd w:id="97"/>
    <w:bookmarkStart w:id="98" w:name="perché-la-quota-di-genere"/>
    <w:p>
      <w:pPr>
        <w:pStyle w:val="Heading2"/>
      </w:pPr>
      <w:r>
        <w:t xml:space="preserve">7.2 Perché la quota di genere</w:t>
      </w:r>
    </w:p>
    <w:p>
      <w:pPr>
        <w:pStyle w:val="FirstParagraph"/>
      </w:pPr>
      <w:r>
        <w:t xml:space="preserve">Il gruppo da raggiungere è femminile al 51% nelle dimensioni, ma radicalmente diverso per</w:t>
      </w:r>
      <w:r>
        <w:t xml:space="preserve"> </w:t>
      </w:r>
      <w:r>
        <w:t xml:space="preserve">genere nell’etichetta (sezione 3.2). Un servizio formalmente neutro, con i canali di</w:t>
      </w:r>
      <w:r>
        <w:t xml:space="preserve"> </w:t>
      </w:r>
      <w:r>
        <w:t xml:space="preserve">contatto standard, riprodurrebbe l’asimmetria che deve correggere. La quota obbliga a</w:t>
      </w:r>
      <w:r>
        <w:t xml:space="preserve"> </w:t>
      </w:r>
      <w:r>
        <w:t xml:space="preserve">costruire i due agganci, senza escludere nessuno.</w:t>
      </w:r>
    </w:p>
    <w:bookmarkEnd w:id="98"/>
    <w:bookmarkStart w:id="99" w:name="perché-loutreach-e-non-lo-sportello"/>
    <w:p>
      <w:pPr>
        <w:pStyle w:val="Heading2"/>
      </w:pPr>
      <w:r>
        <w:t xml:space="preserve">7.3 Perché l’outreach e non lo sportello</w:t>
      </w:r>
    </w:p>
    <w:p>
      <w:pPr>
        <w:pStyle w:val="FirstParagraph"/>
      </w:pPr>
      <w:r>
        <w:t xml:space="preserve">Sette giovani su dieci fuori da lavoro e studio non cercano lavoro. A definizione costante</w:t>
      </w:r>
      <w:r>
        <w:t xml:space="preserve"> </w:t>
      </w:r>
      <w:r>
        <w:t xml:space="preserve">(2021-2024) quel segmento è fermo, mentre chi cerca diminuisce (sezione 2.2). Un servizio a</w:t>
      </w:r>
      <w:r>
        <w:t xml:space="preserve"> </w:t>
      </w:r>
      <w:r>
        <w:t xml:space="preserve">domanda spontanea raggiunge per costruzione chi già cerca, cioè il segmento sbagliato. Per</w:t>
      </w:r>
      <w:r>
        <w:t xml:space="preserve"> </w:t>
      </w:r>
      <w:r>
        <w:t xml:space="preserve">le ragazze, inoltre, l’aggancio è l’</w:t>
      </w:r>
      <w:r>
        <w:rPr>
          <w:b/>
          <w:bCs/>
        </w:rPr>
        <w:t xml:space="preserve">attivazione</w:t>
      </w:r>
      <w:r>
        <w:t xml:space="preserve">, non la sola conciliazione: almeno l’89%</w:t>
      </w:r>
      <w:r>
        <w:t xml:space="preserve"> </w:t>
      </w:r>
      <w:r>
        <w:t xml:space="preserve">delle casalinghe non è sposata (sezione 3.2).</w:t>
      </w:r>
    </w:p>
    <w:bookmarkEnd w:id="99"/>
    <w:bookmarkStart w:id="103" w:name="i-kpi-e-le-loro-finestre-di-lettura"/>
    <w:p>
      <w:pPr>
        <w:pStyle w:val="Heading2"/>
      </w:pPr>
      <w:r>
        <w:t xml:space="preserve">7.4 I KPI e le loro finestre di lettura</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KPI primario</w:t>
            </w:r>
          </w:p>
        </w:tc>
        <w:tc>
          <w:tcPr/>
          <w:p>
            <w:pPr>
              <w:pStyle w:val="Compact"/>
              <w:jc w:val="right"/>
            </w:pPr>
            <w:r>
              <w:t xml:space="preserve">Da</w:t>
            </w:r>
          </w:p>
        </w:tc>
        <w:tc>
          <w:tcPr/>
          <w:p>
            <w:pPr>
              <w:pStyle w:val="Compact"/>
              <w:jc w:val="right"/>
            </w:pPr>
            <w:r>
              <w:t xml:space="preserve">A</w:t>
            </w:r>
          </w:p>
        </w:tc>
        <w:tc>
          <w:tcPr/>
          <w:p>
            <w:pPr>
              <w:pStyle w:val="Compact"/>
            </w:pPr>
            <w:r>
              <w:t xml:space="preserve">Lettura</w:t>
            </w:r>
          </w:p>
        </w:tc>
      </w:tr>
      <w:tr>
        <w:tc>
          <w:tcPr/>
          <w:p>
            <w:pPr>
              <w:pStyle w:val="Compact"/>
            </w:pPr>
            <w:r>
              <w:t xml:space="preserve">Tasso di occupazione F 15-24</w:t>
            </w:r>
          </w:p>
        </w:tc>
        <w:tc>
          <w:tcPr/>
          <w:p>
            <w:pPr>
              <w:pStyle w:val="Compact"/>
              <w:jc w:val="right"/>
            </w:pPr>
            <w:r>
              <w:t xml:space="preserve">8,2%</w:t>
            </w:r>
          </w:p>
        </w:tc>
        <w:tc>
          <w:tcPr/>
          <w:p>
            <w:pPr>
              <w:pStyle w:val="Compact"/>
              <w:jc w:val="right"/>
            </w:pPr>
            <w:r>
              <w:t xml:space="preserve">9,6% (Palermo)</w:t>
            </w:r>
          </w:p>
        </w:tc>
        <w:tc>
          <w:tcPr/>
          <w:p>
            <w:pPr>
              <w:pStyle w:val="Compact"/>
            </w:pPr>
            <w:r>
              <w:rPr>
                <w:b/>
                <w:bCs/>
              </w:rPr>
              <w:t xml:space="preserve">triennio pooled</w:t>
            </w:r>
            <w:r>
              <w:t xml:space="preserve">, come direzione (potenza 41%)</w:t>
            </w:r>
          </w:p>
        </w:tc>
      </w:tr>
      <w:tr>
        <w:tc>
          <w:tcPr/>
          <w:p>
            <w:pPr>
              <w:pStyle w:val="Compact"/>
            </w:pPr>
            <w:r>
              <w:t xml:space="preserve">Quota casalinghe F 15-24</w:t>
            </w:r>
          </w:p>
        </w:tc>
        <w:tc>
          <w:tcPr/>
          <w:p>
            <w:pPr>
              <w:pStyle w:val="Compact"/>
              <w:jc w:val="right"/>
            </w:pPr>
            <w:r>
              <w:t xml:space="preserve">13,4%</w:t>
            </w:r>
          </w:p>
        </w:tc>
        <w:tc>
          <w:tcPr/>
          <w:p>
            <w:pPr>
              <w:pStyle w:val="Compact"/>
              <w:jc w:val="right"/>
            </w:pPr>
            <w:r>
              <w:t xml:space="preserve">11,3% (Palermo)</w:t>
            </w:r>
          </w:p>
        </w:tc>
        <w:tc>
          <w:tcPr/>
          <w:p>
            <w:pPr>
              <w:pStyle w:val="Compact"/>
            </w:pPr>
            <w:r>
              <w:t xml:space="preserve">biennio (potenza 82%)</w:t>
            </w:r>
          </w:p>
        </w:tc>
      </w:tr>
    </w:tbl>
    <w:p>
      <w:pPr>
        <w:pStyle w:val="BodyText"/>
      </w:pPr>
      <w:r>
        <w:rPr>
          <w:b/>
          <w:bCs/>
        </w:rPr>
        <w:t xml:space="preserve">I KPI di popolazione dicono la direzione, non provano l’effetto.</w:t>
      </w:r>
      <w:r>
        <w:t xml:space="preserve"> </w:t>
      </w:r>
      <w:r>
        <w:t xml:space="preserve">La potenza è stata</w:t>
      </w:r>
      <w:r>
        <w:t xml:space="preserve"> </w:t>
      </w:r>
      <w:r>
        <w:t xml:space="preserve">misurata con due metri. Il modello binomiale tratta ogni annata come un campione</w:t>
      </w:r>
      <w:r>
        <w:t xml:space="preserve"> </w:t>
      </w:r>
      <w:r>
        <w:t xml:space="preserve">indipendente e promette che un triennio basti: 46% su un anno, 90% sul triennio. Le annate</w:t>
      </w:r>
      <w:r>
        <w:t xml:space="preserve"> </w:t>
      </w:r>
      <w:r>
        <w:t xml:space="preserve">però contano le stesse persone, e per questo serve un secondo metro: la variabilità che il</w:t>
      </w:r>
      <w:r>
        <w:t xml:space="preserve"> </w:t>
      </w:r>
      <w:r>
        <w:t xml:space="preserve">tasso mostra senza alcun intervento. Misurata nei 33 comuni siciliani di taglia simile a</w:t>
      </w:r>
      <w:r>
        <w:t xml:space="preserve"> </w:t>
      </w:r>
      <w:r>
        <w:t xml:space="preserve">Bagheria, dice altro: per +1,4 punti di occupazione la potenza è del 50% su un anno, del</w:t>
      </w:r>
      <w:r>
        <w:t xml:space="preserve"> </w:t>
      </w:r>
      <w:r>
        <w:t xml:space="preserve">59% sul biennio e del 41% sul triennio. Il triennio, nei dati disponibili, attraversa la</w:t>
      </w:r>
      <w:r>
        <w:t xml:space="preserve"> </w:t>
      </w:r>
      <w:r>
        <w:t xml:space="preserve">rottura di misura del 2021, quindi quel 41% è probabilmente pessimistico: le letture future</w:t>
      </w:r>
      <w:r>
        <w:t xml:space="preserve"> </w:t>
      </w:r>
      <w:r>
        <w:t xml:space="preserve">staranno tutte dopo la rottura. Resta la finestra dichiarata perché su questo KPI si legge</w:t>
      </w:r>
      <w:r>
        <w:t xml:space="preserve"> </w:t>
      </w:r>
      <w:r>
        <w:t xml:space="preserve">solo la direzione, e il triennio è quella in cui il rumore di conteggio pesa meno. Sulle</w:t>
      </w:r>
      <w:r>
        <w:t xml:space="preserve"> </w:t>
      </w:r>
      <w:r>
        <w:t xml:space="preserve">casalinghe (−2,1 punti) il biennio arriva all’82%.</w:t>
      </w:r>
    </w:p>
    <w:p>
      <w:pPr>
        <w:pStyle w:val="BodyText"/>
      </w:pPr>
      <w:r>
        <w:t xml:space="preserve">La differenza fra i due metri sta nella struttura della variabilità. Da un anno all’altro</w:t>
      </w:r>
      <w:r>
        <w:t xml:space="preserve"> </w:t>
      </w:r>
      <w:r>
        <w:t xml:space="preserve">il tasso di occupazione di un comune oscilla attorno alla propria tendenza meno di un campione (0,36 volte</w:t>
      </w:r>
      <w:r>
        <w:t xml:space="preserve"> </w:t>
      </w:r>
      <w:r>
        <w:t xml:space="preserve">la varianza binomiale). I comuni però divergono fra loro in modo persistente, e accorpare</w:t>
      </w:r>
      <w:r>
        <w:t xml:space="preserve"> </w:t>
      </w:r>
      <w:r>
        <w:t xml:space="preserve">più anni non elimina quella divergenza.</w:t>
      </w:r>
    </w:p>
    <w:p>
      <w:pPr>
        <w:pStyle w:val="BodyText"/>
      </w:pPr>
      <w:r>
        <w:t xml:space="preserve">Le finestre di lettura sono dichiarate prima dell’avvio, per non sceglierle a posteriori.</w:t>
      </w:r>
      <w:r>
        <w:t xml:space="preserve"> </w:t>
      </w:r>
      <w:r>
        <w:t xml:space="preserve">La lettura annuale non è ammessa: l’anno singolo spetta agli indicatori di processo, cioè</w:t>
      </w:r>
      <w:r>
        <w:t xml:space="preserve"> </w:t>
      </w:r>
      <w:r>
        <w:t xml:space="preserve">contatti entro 30 giorni, piani entro 15, utenza per età singola e genere confrontata con</w:t>
      </w:r>
      <w:r>
        <w:t xml:space="preserve"> </w:t>
      </w:r>
      <w:r>
        <w:t xml:space="preserve">la platea residente. Oggi nessuno li rileva; li produce il servizio. →</w:t>
      </w:r>
      <w:r>
        <w:t xml:space="preserve"> </w:t>
      </w:r>
      <w:r>
        <w:rPr>
          <w:rStyle w:val="VerbatimChar"/>
        </w:rPr>
        <w:t xml:space="preserve">genere_mde.csv</w:t>
      </w:r>
      <w:r>
        <w:t xml:space="preserve"> </w:t>
      </w:r>
      <w:r>
        <w:t xml:space="preserve">(fig09b)</w:t>
      </w:r>
    </w:p>
    <w:p>
      <w:pPr>
        <w:pStyle w:val="BodyText"/>
      </w:pPr>
      <w:r>
        <w:drawing>
          <wp:inline>
            <wp:extent cx="6108700" cy="3871286"/>
            <wp:effectExtent b="0" l="0" r="0" t="0"/>
            <wp:docPr descr="" title="" id="101" name="Picture"/>
            <a:graphic>
              <a:graphicData uri="http://schemas.openxmlformats.org/drawingml/2006/picture">
                <pic:pic>
                  <pic:nvPicPr>
                    <pic:cNvPr descr="/home/kiycoh/Documents/dev/datapolis-2026-hackathon/.docx-build/fig09b_potenza.png" id="102" name="Picture"/>
                    <pic:cNvPicPr>
                      <a:picLocks noChangeArrowheads="1" noChangeAspect="1"/>
                    </pic:cNvPicPr>
                  </pic:nvPicPr>
                  <pic:blipFill>
                    <a:blip r:embed="rId100"/>
                    <a:stretch>
                      <a:fillRect/>
                    </a:stretch>
                  </pic:blipFill>
                  <pic:spPr bwMode="auto">
                    <a:xfrm>
                      <a:off x="0" y="0"/>
                      <a:ext cx="6108700" cy="3871286"/>
                    </a:xfrm>
                    <a:prstGeom prst="rect">
                      <a:avLst/>
                    </a:prstGeom>
                    <a:noFill/>
                    <a:ln w="9525">
                      <a:noFill/>
                      <a:headEnd/>
                      <a:tailEnd/>
                    </a:ln>
                  </pic:spPr>
                </pic:pic>
              </a:graphicData>
            </a:graphic>
          </wp:inline>
        </w:drawing>
      </w:r>
    </w:p>
    <w:p>
      <w:pPr>
        <w:pStyle w:val="Didascalia"/>
      </w:pPr>
      <w:r>
        <w:rPr>
          <w:b/>
          <w:bCs/>
        </w:rPr>
        <w:t xml:space="preserve">Figura 21. Come si legge:</w:t>
      </w:r>
      <w:r>
        <w:t xml:space="preserve"> </w:t>
      </w:r>
      <w:r>
        <w:t xml:space="preserve">ogni riga è una finestra di lettura: «anni pooled» è l’ampiezza di ciascuno dei due lati del confronto, quindi tre anni sono un triennio contro un triennio. Il pallino vuoto è la soglia binomiale (potenza 80%, alfa 5% bilaterale, trasformazione arcoseno); il pallino pieno è 2,8 volte la deviazione standard delle variazioni dei comuni simili, al netto della variazione mediana del gruppo. Il tratto grigio unisce i due metri della stessa finestra. La riga tratteggiata verticale è il delta che il KPI promette (l’allineamento a Palermo di fig09). Il colore è la conclusione sul metro osservato: blu quando la soglia sta a sinistra del tratteggio, grigio quando lo supera. Accanto a ogni riga la potenza sul delta promesso, osservata e fra parentesi binomiale. Comuni simili: fra metà e il doppio delle ragazze 15-24 di Bagheria nel 2024, Bagheria esclusa. Il metro osservato contiene anche le divergenze reali fra comuni e non contiene la variabilità propria di Palermo. Il triennio che i dati permettono (2018, 2019 e 2021 contro 2022-2024) attraversa la rottura di misura del 2021; il biennio 2021-2022 contro 2023-2024 no. Un pallino grigio non significa che l’intervento non funzioni, ma che quella lettura non basterebbe a dimostrarlo.</w:t>
      </w:r>
    </w:p>
    <w:p>
      <w:pPr>
        <w:pStyle w:val="Didascalia"/>
      </w:pPr>
      <w:r>
        <w:rPr>
          <w:b/>
          <w:bCs/>
        </w:rPr>
        <w:t xml:space="preserve">Fonte:</w:t>
      </w:r>
      <w:r>
        <w:t xml:space="preserve"> </w:t>
      </w:r>
      <w:r>
        <w:t xml:space="preserve">ISTAT, Censimento permanente della popolazione, tavola della condizione professionale, classe 15-24 anni, 390 comuni siciliani, 2018-2024 (manca il 2020). Numerosità di base di Bagheria: 2.882 ragazze di 15-24 anni nel 2024. Elaborazione: notebooks/genere.ipynb (data/processed/genere_mde.csv e genere_base_persone.csv).</w:t>
      </w:r>
    </w:p>
    <w:p>
      <w:pPr>
        <w:pStyle w:val="Didascalia"/>
      </w:pPr>
      <w:r>
        <w:rPr>
          <w:i/>
          <w:iCs/>
        </w:rPr>
        <w:t xml:space="preserve">Figura</w:t>
      </w:r>
      <w:r>
        <w:t xml:space="preserve"> </w:t>
      </w:r>
      <w:r>
        <w:rPr>
          <w:rStyle w:val="VerbatimChar"/>
        </w:rPr>
        <w:t xml:space="preserve">fig09b_potenza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viz/fig09b_potenza.R</w:t>
      </w:r>
      <w:r>
        <w:rPr>
          <w:i/>
          <w:iCs/>
        </w:rPr>
        <w:t xml:space="preserve">.</w:t>
      </w:r>
    </w:p>
    <w:p>
      <w:pPr>
        <w:pStyle w:val="BodyText"/>
      </w:pPr>
      <w:r>
        <w:t xml:space="preserve">Il KPI deve portarsi dietro due precisazioni.</w:t>
      </w:r>
    </w:p>
    <w:p>
      <w:pPr>
        <w:pStyle w:val="BodyText"/>
      </w:pPr>
      <w:r>
        <w:t xml:space="preserve">La prima riguarda il controfattuale. Il tasso femminile di Bagheria sale già da solo (+0,65</w:t>
      </w:r>
      <w:r>
        <w:t xml:space="preserve"> </w:t>
      </w:r>
      <w:r>
        <w:t xml:space="preserve">punti l’anno dal 2018) e, al ritmo attuale, toccherebbe il 9,6% in un paio d’anni. Il</w:t>
      </w:r>
      <w:r>
        <w:t xml:space="preserve"> </w:t>
      </w:r>
      <w:r>
        <w:t xml:space="preserve">successo quindi non è raggiungere quel livello, ma</w:t>
      </w:r>
      <w:r>
        <w:t xml:space="preserve"> </w:t>
      </w:r>
      <w:r>
        <w:rPr>
          <w:b/>
          <w:bCs/>
        </w:rPr>
        <w:t xml:space="preserve">chiudere lo scarto da Palermo</w:t>
      </w:r>
      <w:r>
        <w:t xml:space="preserve"> </w:t>
      </w:r>
      <w:r>
        <w:t xml:space="preserve">(oggi</w:t>
      </w:r>
      <w:r>
        <w:t xml:space="preserve"> </w:t>
      </w:r>
      <w:r>
        <w:t xml:space="preserve">−1,4 punti), dove il tasso sale anch’esso. Il KPI si legge come differenza nelle differenze</w:t>
      </w:r>
      <w:r>
        <w:t xml:space="preserve"> </w:t>
      </w:r>
      <w:r>
        <w:t xml:space="preserve">rispetto al controfattuale, non come soglia.</w:t>
      </w:r>
    </w:p>
    <w:p>
      <w:pPr>
        <w:pStyle w:val="BodyText"/>
      </w:pPr>
      <w:r>
        <w:t xml:space="preserve">La seconda riguarda la scala: 40 occupate in più su una platea di 2.882 non si ottengono con</w:t>
      </w:r>
      <w:r>
        <w:t xml:space="preserve"> </w:t>
      </w:r>
      <w:r>
        <w:t xml:space="preserve">100 prese in carico l’anno, perché servirebbe un effetto netto irrealistico. Il tasso</w:t>
      </w:r>
      <w:r>
        <w:t xml:space="preserve"> </w:t>
      </w:r>
      <w:r>
        <w:t xml:space="preserve">comunale è quindi l’orizzonte di convergenza e il contesto della valutazione. L’effetto del</w:t>
      </w:r>
      <w:r>
        <w:t xml:space="preserve"> </w:t>
      </w:r>
      <w:r>
        <w:t xml:space="preserve">servizio si misura invece sui partecipanti, confrontandoli con chi entra più tardi (si veda</w:t>
      </w:r>
      <w:r>
        <w:t xml:space="preserve"> </w:t>
      </w:r>
      <w:r>
        <w:t xml:space="preserve">più avanti). I dati comunali, infine, escono con circa due anni di ritardo: un triennio</w:t>
      </w:r>
      <w:r>
        <w:t xml:space="preserve"> </w:t>
      </w:r>
      <w:r>
        <w:t xml:space="preserve">pooled si legge quattro o cinque anni dopo l’avvio.</w:t>
      </w:r>
    </w:p>
    <w:p>
      <w:pPr>
        <w:pStyle w:val="BodyText"/>
      </w:pPr>
      <w:r>
        <w:t xml:space="preserve">Se la comunicazione pubblica richiede un equivalente in teste, si scrive: «+40 occupate</w:t>
      </w:r>
      <w:r>
        <w:t xml:space="preserve"> </w:t>
      </w:r>
      <w:r>
        <w:t xml:space="preserve">sulla platea 2024; il target si riparametra ogni anno come tasso-obiettivo × platea</w:t>
      </w:r>
      <w:r>
        <w:t xml:space="preserve"> </w:t>
      </w:r>
      <w:r>
        <w:t xml:space="preserve">dell’anno». La formula si pubblica insieme al numero (sezione 6).</w:t>
      </w:r>
    </w:p>
    <w:p>
      <w:pPr>
        <w:pStyle w:val="BodyText"/>
      </w:pPr>
      <w:r>
        <w:t xml:space="preserve">La valutazione ha due livelli.</w:t>
      </w:r>
    </w:p>
    <w:p>
      <w:pPr>
        <w:pStyle w:val="BodyText"/>
      </w:pPr>
      <w:r>
        <w:rPr>
          <w:b/>
          <w:bCs/>
        </w:rPr>
        <w:t xml:space="preserve">Sui presi in carico</w:t>
      </w:r>
      <w:r>
        <w:t xml:space="preserve"> </w:t>
      </w:r>
      <w:r>
        <w:t xml:space="preserve">si usa un rollout scaglionato: a parità di priorità l’ordine di</w:t>
      </w:r>
      <w:r>
        <w:t xml:space="preserve"> </w:t>
      </w:r>
      <w:r>
        <w:t xml:space="preserve">avvio è casuale, e chi comincia più tardi fa da confronto. Perché il confronto esista</w:t>
      </w:r>
      <w:r>
        <w:t xml:space="preserve"> </w:t>
      </w:r>
      <w:r>
        <w:t xml:space="preserve">servono due coorti da 100, con ingresso al mese 0 e al mese 6. Il primo contatto entro 30</w:t>
      </w:r>
      <w:r>
        <w:t xml:space="preserve"> </w:t>
      </w:r>
      <w:r>
        <w:t xml:space="preserve">giorni vale per tutti: chi è assegnato alla seconda coorte riceve il colloquio e</w:t>
      </w:r>
      <w:r>
        <w:t xml:space="preserve"> </w:t>
      </w:r>
      <w:r>
        <w:t xml:space="preserve">l’indirizzamento alle misure esistenti, e comincia il percorso al mese 6. Il confronto</w:t>
      </w:r>
      <w:r>
        <w:t xml:space="preserve"> </w:t>
      </w:r>
      <w:r>
        <w:t xml:space="preserve">esiste quindi sull’esito a sei mesi, non su quello a dodici. Con 100</w:t>
      </w:r>
      <w:r>
        <w:t xml:space="preserve"> </w:t>
      </w:r>
      <w:r>
        <w:t xml:space="preserve">persone per coorte il confronto vede effetti di 18-20 punti o più (17,8 se l’esito senza</w:t>
      </w:r>
      <w:r>
        <w:t xml:space="preserve"> </w:t>
      </w:r>
      <w:r>
        <w:t xml:space="preserve">servizio è del 20%, 19,7 se è del 40%); con adesioni dimezzate la soglia sale a 26-28 punti.</w:t>
      </w:r>
      <w:r>
        <w:t xml:space="preserve"> </w:t>
      </w:r>
      <w:r>
        <w:t xml:space="preserve">Se le domande non superano i posti, il sorteggio non c’è e la valutazione diventa</w:t>
      </w:r>
      <w:r>
        <w:t xml:space="preserve"> </w:t>
      </w:r>
      <w:r>
        <w:t xml:space="preserve">descrittiva.</w:t>
      </w:r>
    </w:p>
    <w:p>
      <w:pPr>
        <w:pStyle w:val="BodyText"/>
      </w:pPr>
      <w:r>
        <w:t xml:space="preserve">Le rassegne sui programmi attivi per il lavoro (Card, Kluve e Weber,</w:t>
      </w:r>
      <w:r>
        <w:t xml:space="preserve"> </w:t>
      </w:r>
      <w:r>
        <w:rPr>
          <w:i/>
          <w:iCs/>
        </w:rPr>
        <w:t xml:space="preserve">Journal of the</w:t>
      </w:r>
      <w:r>
        <w:rPr>
          <w:i/>
          <w:iCs/>
        </w:rPr>
        <w:t xml:space="preserve"> </w:t>
      </w:r>
      <w:r>
        <w:rPr>
          <w:i/>
          <w:iCs/>
        </w:rPr>
        <w:t xml:space="preserve">European Economic Association</w:t>
      </w:r>
      <w:r>
        <w:t xml:space="preserve">, 2018) trovano effetti medi vicini a zero nel breve periodo.</w:t>
      </w:r>
      <w:r>
        <w:t xml:space="preserve"> </w:t>
      </w:r>
      <w:r>
        <w:t xml:space="preserve">Gli effetti diventano più positivi due-tre anni dopo la fine del programma, e sono più</w:t>
      </w:r>
      <w:r>
        <w:t xml:space="preserve"> </w:t>
      </w:r>
      <w:r>
        <w:t xml:space="preserve">grandi per le donne. A sei mesi, quindi, un confronto non significativo è l’esito atteso</w:t>
      </w:r>
      <w:r>
        <w:t xml:space="preserve"> </w:t>
      </w:r>
      <w:r>
        <w:t xml:space="preserve">anche per un servizio che funziona.</w:t>
      </w:r>
      <w:r>
        <w:t xml:space="preserve"> </w:t>
      </w:r>
      <w:r>
        <w:t xml:space="preserve">→</w:t>
      </w:r>
      <w:r>
        <w:t xml:space="preserve"> </w:t>
      </w:r>
      <w:r>
        <w:rPr>
          <w:rStyle w:val="VerbatimChar"/>
        </w:rPr>
        <w:t xml:space="preserve">genere_potenza_pilota.csv</w:t>
      </w:r>
    </w:p>
    <w:p>
      <w:pPr>
        <w:pStyle w:val="BodyText"/>
      </w:pPr>
      <w:r>
        <w:rPr>
          <w:b/>
          <w:bCs/>
        </w:rPr>
        <w:t xml:space="preserve">Sui KPI di popolazione</w:t>
      </w:r>
      <w:r>
        <w:t xml:space="preserve"> </w:t>
      </w:r>
      <w:r>
        <w:t xml:space="preserve">il confronto è con un controfattuale</w:t>
      </w:r>
      <w:r>
        <w:t xml:space="preserve"> </w:t>
      </w:r>
      <w:r>
        <w:rPr>
          <w:b/>
          <w:bCs/>
        </w:rPr>
        <w:t xml:space="preserve">dichiarato in anticipo:</w:t>
      </w:r>
      <w:r>
        <w:rPr>
          <w:b/>
          <w:bCs/>
        </w:rPr>
        <w:t xml:space="preserve"> </w:t>
      </w:r>
      <w:r>
        <w:rPr>
          <w:b/>
          <w:bCs/>
        </w:rPr>
        <w:t xml:space="preserve">Palermo</w:t>
      </w:r>
      <w:r>
        <w:t xml:space="preserve">. Il prerequisito è stato controllato. La pendenza del tasso femminile di Bagheria</w:t>
      </w:r>
      <w:r>
        <w:t xml:space="preserve"> </w:t>
      </w:r>
      <w:r>
        <w:t xml:space="preserve">nel 2018-2024 (+0,65 punti/anno) non si distingue da quelle di Palermo e dell’Italia (p =</w:t>
      </w:r>
      <w:r>
        <w:t xml:space="preserve"> </w:t>
      </w:r>
      <w:r>
        <w:t xml:space="preserve">0,29 / 0,33; la Sicilia è al margine, p = 0,054). Con sei annate il test ha poca potenza, quindi non prova tendenze parallele:</w:t>
      </w:r>
      <w:r>
        <w:t xml:space="preserve"> </w:t>
      </w:r>
      <w:r>
        <w:t xml:space="preserve">dice solo che i dati non le smentiscono.</w:t>
      </w:r>
    </w:p>
    <w:p>
      <w:pPr>
        <w:pStyle w:val="BodyText"/>
      </w:pPr>
      <w:r>
        <w:t xml:space="preserve">Il test, inoltre, tratta ogni annata come un campione indipendente. Senza quel modello, la</w:t>
      </w:r>
      <w:r>
        <w:t xml:space="preserve"> </w:t>
      </w:r>
      <w:r>
        <w:t xml:space="preserve">distanza fra la pendenza di Bagheria e quella di Palermo (−0,09 punti l’anno) è più piccola</w:t>
      </w:r>
      <w:r>
        <w:t xml:space="preserve"> </w:t>
      </w:r>
      <w:r>
        <w:t xml:space="preserve">di quella del 67% dei comuni di taglia simile. Il confronto è indulgente, perché include le</w:t>
      </w:r>
      <w:r>
        <w:t xml:space="preserve"> </w:t>
      </w:r>
      <w:r>
        <w:t xml:space="preserve">divergenze reali fra comuni. Resta un limite: con un solo comune di confronto, uno shock</w:t>
      </w:r>
      <w:r>
        <w:t xml:space="preserve"> </w:t>
      </w:r>
      <w:r>
        <w:t xml:space="preserve">proprio di Bagheria o di Palermo non si separa dall’effetto. Il confronto si fa quindi anche</w:t>
      </w:r>
      <w:r>
        <w:t xml:space="preserve"> </w:t>
      </w:r>
      <w:r>
        <w:t xml:space="preserve">con un controllo sintetico costruito sui 33 comuni di taglia simile, con test placebo sugli</w:t>
      </w:r>
      <w:r>
        <w:t xml:space="preserve"> </w:t>
      </w:r>
      <w:r>
        <w:t xml:space="preserve">stessi comuni; Palermo resta il riferimento dichiarato. →</w:t>
      </w:r>
      <w:r>
        <w:t xml:space="preserve"> </w:t>
      </w:r>
      <w:r>
        <w:rPr>
          <w:rStyle w:val="VerbatimChar"/>
        </w:rPr>
        <w:t xml:space="preserve">genere_pretrend.csv</w:t>
      </w:r>
      <w:r>
        <w:t xml:space="preserve">,</w:t>
      </w:r>
      <w:r>
        <w:t xml:space="preserve"> </w:t>
      </w:r>
      <w:r>
        <w:rPr>
          <w:rStyle w:val="VerbatimChar"/>
        </w:rPr>
        <w:t xml:space="preserve">genere_pretrend_390.csv</w:t>
      </w:r>
    </w:p>
    <w:p>
      <w:pPr>
        <w:pStyle w:val="BodyText"/>
      </w:pPr>
      <w:r>
        <w:t xml:space="preserve">Il costo della dotazione minima, in ordine di grandezza, è fra 205.924 e 256.105 euro l’anno,</w:t>
      </w:r>
      <w:r>
        <w:t xml:space="preserve"> </w:t>
      </w:r>
      <w:r>
        <w:t xml:space="preserve">cioè fra 1.030 e 1.281 euro per posto, esperienze retribuite escluse. Parametri e voci</w:t>
      </w:r>
      <w:r>
        <w:t xml:space="preserve"> </w:t>
      </w:r>
      <w:r>
        <w:t xml:space="preserve">escluse sono dettagliati nella policy, §9-bis. →</w:t>
      </w:r>
      <w:r>
        <w:t xml:space="preserve"> </w:t>
      </w:r>
      <w:r>
        <w:rPr>
          <w:rStyle w:val="VerbatimChar"/>
        </w:rPr>
        <w:t xml:space="preserve">genere_costo_pilota.csv</w:t>
      </w:r>
    </w:p>
    <w:bookmarkEnd w:id="103"/>
    <w:bookmarkStart w:id="104" w:name="il-dato-che-il-servizio-produce"/>
    <w:p>
      <w:pPr>
        <w:pStyle w:val="Heading2"/>
      </w:pPr>
      <w:r>
        <w:t xml:space="preserve">7.5 Il dato che il servizio produce</w:t>
      </w:r>
    </w:p>
    <w:p>
      <w:pPr>
        <w:pStyle w:val="FirstParagraph"/>
      </w:pPr>
      <w:r>
        <w:t xml:space="preserve">Ogni presa in carico genera un record pseudonimizzato: titolo e indirizzo di studio → data</w:t>
      </w:r>
      <w:r>
        <w:t xml:space="preserve"> </w:t>
      </w:r>
      <w:r>
        <w:t xml:space="preserve">di uscita → condizione → genere ed età → barriera dichiarata → azione → esito a 3/6/12</w:t>
      </w:r>
      <w:r>
        <w:t xml:space="preserve"> </w:t>
      </w:r>
      <w:r>
        <w:t xml:space="preserve">mesi. È l’unico modo per misurare a Bagheria la relazione individuale fra titolo e</w:t>
      </w:r>
      <w:r>
        <w:t xml:space="preserve"> </w:t>
      </w:r>
      <w:r>
        <w:t xml:space="preserve">condizione lavorativa (sezione 4). La proposta, quindi, non si limita a consumare dati:</w:t>
      </w:r>
      <w:r>
        <w:t xml:space="preserve"> </w:t>
      </w:r>
      <w:r>
        <w:rPr>
          <w:b/>
          <w:bCs/>
        </w:rPr>
        <w:t xml:space="preserve">ne</w:t>
      </w:r>
      <w:r>
        <w:rPr>
          <w:b/>
          <w:bCs/>
        </w:rPr>
        <w:t xml:space="preserve"> </w:t>
      </w:r>
      <w:r>
        <w:rPr>
          <w:b/>
          <w:bCs/>
        </w:rPr>
        <w:t xml:space="preserve">produce dove le statistiche pubbliche finiscono</w:t>
      </w:r>
      <w:r>
        <w:t xml:space="preserve">. L’impegno di accountability è una</w:t>
      </w:r>
      <w:r>
        <w:t xml:space="preserve"> </w:t>
      </w:r>
      <w:r>
        <w:t xml:space="preserve">dashboard trimestrale aggregata.</w:t>
      </w:r>
    </w:p>
    <w:bookmarkEnd w:id="104"/>
    <w:bookmarkStart w:id="105" w:name="rotta-f-il-modulo-di-genere"/>
    <w:p>
      <w:pPr>
        <w:pStyle w:val="Heading2"/>
      </w:pPr>
      <w:r>
        <w:t xml:space="preserve">7.6 Rotta F: il modulo di genere</w:t>
      </w:r>
    </w:p>
    <w:p>
      <w:pPr>
        <w:pStyle w:val="FirstParagraph"/>
      </w:pPr>
      <w:r>
        <w:t xml:space="preserve">La quota di genere (sezione 7.2) impedisce al servizio di riprodurre l’asimmetria che deve</w:t>
      </w:r>
      <w:r>
        <w:t xml:space="preserve"> </w:t>
      </w:r>
      <w:r>
        <w:t xml:space="preserve">correggere, ma</w:t>
      </w:r>
      <w:r>
        <w:t xml:space="preserve"> </w:t>
      </w:r>
      <w:r>
        <w:rPr>
          <w:b/>
          <w:bCs/>
        </w:rPr>
        <w:t xml:space="preserve">non dice come correggerla</w:t>
      </w:r>
      <w:r>
        <w:t xml:space="preserve">. Lo dice</w:t>
      </w:r>
      <w:r>
        <w:t xml:space="preserve"> </w:t>
      </w:r>
      <w:r>
        <w:rPr>
          <w:rStyle w:val="VerbatimChar"/>
        </w:rPr>
        <w:t xml:space="preserve">dist/POLICY_PONTE_19.pdf</w:t>
      </w:r>
      <w:r>
        <w:t xml:space="preserve"> </w:t>
      </w:r>
      <w:r>
        <w:t xml:space="preserve">§4-bis, la parte di Ponte 19 che risponde al focus principale del bando. Qui se ne riassume</w:t>
      </w:r>
      <w:r>
        <w:t xml:space="preserve"> </w:t>
      </w:r>
      <w:r>
        <w:t xml:space="preserve">l’ossatura: una relazione che mette il genere al centro non può rimandare altrove l’unico</w:t>
      </w:r>
      <w:r>
        <w:t xml:space="preserve"> </w:t>
      </w:r>
      <w:r>
        <w:t xml:space="preserve">pezzo di intervento costruito su di esso.</w:t>
      </w:r>
    </w:p>
    <w:p>
      <w:pPr>
        <w:pStyle w:val="BodyText"/>
      </w:pPr>
      <w:r>
        <w:t xml:space="preserve">Il meccanismo sta in una riga:</w:t>
      </w:r>
      <w:r>
        <w:t xml:space="preserve"> </w:t>
      </w:r>
      <w:r>
        <w:rPr>
          <w:b/>
          <w:bCs/>
        </w:rPr>
        <w:t xml:space="preserve">le ragazze di Bagheria si spostano per studiare e si</w:t>
      </w:r>
      <w:r>
        <w:rPr>
          <w:b/>
          <w:bCs/>
        </w:rPr>
        <w:t xml:space="preserve"> </w:t>
      </w:r>
      <w:r>
        <w:rPr>
          <w:b/>
          <w:bCs/>
        </w:rPr>
        <w:t xml:space="preserve">fermano per lavorare</w:t>
      </w:r>
      <w:r>
        <w:t xml:space="preserve">. Le sezioni 3 e 5 mostrano rotti tre anelli della catena: il</w:t>
      </w:r>
      <w:r>
        <w:t xml:space="preserve"> </w:t>
      </w:r>
      <w:r>
        <w:t xml:space="preserve">contatto, la barriera e la domanda. Il modulo apre una componente su ciascuno.</w:t>
      </w:r>
    </w:p>
    <w:p>
      <w:pPr>
        <w:pStyle w:val="BodyText"/>
      </w:pPr>
      <w:r>
        <w:rPr>
          <w:b/>
          <w:bCs/>
        </w:rPr>
        <w:t xml:space="preserve">F1. Contatto: l’etichetta come canale, non come elenco.</w:t>
      </w:r>
      <w:r>
        <w:t xml:space="preserve"> </w:t>
      </w:r>
      <w:r>
        <w:t xml:space="preserve">Le 387 casalinghe</w:t>
      </w:r>
      <w:r>
        <w:t xml:space="preserve"> </w:t>
      </w:r>
      <w:r>
        <w:rPr>
          <w:b/>
          <w:bCs/>
        </w:rPr>
        <w:t xml:space="preserve">non sono</w:t>
      </w:r>
      <w:r>
        <w:rPr>
          <w:b/>
          <w:bCs/>
        </w:rPr>
        <w:t xml:space="preserve"> </w:t>
      </w:r>
      <w:r>
        <w:rPr>
          <w:b/>
          <w:bCs/>
        </w:rPr>
        <w:t xml:space="preserve">identificabili</w:t>
      </w:r>
      <w:r>
        <w:t xml:space="preserve">: il censimento è aggregato, e nessuna lista nominativa esiste né va</w:t>
      </w:r>
      <w:r>
        <w:t xml:space="preserve"> </w:t>
      </w:r>
      <w:r>
        <w:t xml:space="preserve">costruita. L’etichetta dice dove cercare, non chi. Il contatto passa quindi dai luoghi dove</w:t>
      </w:r>
      <w:r>
        <w:t xml:space="preserve"> </w:t>
      </w:r>
      <w:r>
        <w:t xml:space="preserve">quella popolazione è già visibile: le sedi secondarie cittadine, i servizi sociali, i</w:t>
      </w:r>
      <w:r>
        <w:t xml:space="preserve"> </w:t>
      </w:r>
      <w:r>
        <w:t xml:space="preserve">consultori, le associazioni. È la traccia femminile delle due tracce di contatto. Per le</w:t>
      </w:r>
      <w:r>
        <w:t xml:space="preserve"> </w:t>
      </w:r>
      <w:r>
        <w:t xml:space="preserve">ragazze esiste già un’etichetta censuaria da cui aprire il colloquio; per i ragazzi</w:t>
      </w:r>
      <w:r>
        <w:t xml:space="preserve"> </w:t>
      </w:r>
      <w:r>
        <w:t xml:space="preserve">un’etichetta così non c’è (sezione 3.2). Che cosa ci sia dietro l’etichetta lo chiede il</w:t>
      </w:r>
      <w:r>
        <w:t xml:space="preserve"> </w:t>
      </w:r>
      <w:r>
        <w:t xml:space="preserve">colloquio, perché il censimento non lo osserva.</w:t>
      </w:r>
    </w:p>
    <w:p>
      <w:pPr>
        <w:pStyle w:val="BodyText"/>
      </w:pPr>
      <w:r>
        <w:rPr>
          <w:b/>
          <w:bCs/>
        </w:rPr>
        <w:t xml:space="preserve">F2. Barriera: non il collegamento, ma l’orario e il mezzo dati per scontati.</w:t>
      </w:r>
      <w:r>
        <w:t xml:space="preserve"> </w:t>
      </w:r>
      <w:r>
        <w:t xml:space="preserve">È la</w:t>
      </w:r>
      <w:r>
        <w:t xml:space="preserve"> </w:t>
      </w:r>
      <w:r>
        <w:t xml:space="preserve">componente controintuitiva: qui la proposta rinuncia alla soluzione che tutti si aspettano.</w:t>
      </w:r>
      <w:r>
        <w:t xml:space="preserve"> </w:t>
      </w:r>
      <w:r>
        <w:t xml:space="preserve">L’intervento infrastrutturale non è sostenuto dai dati (sezione 7.0), quindi F2 non si</w:t>
      </w:r>
      <w:r>
        <w:t xml:space="preserve"> </w:t>
      </w:r>
      <w:r>
        <w:t xml:space="preserve">appoggia all’offerta di trasporto e non finanzia trasporto. Quello che resta di genere è il</w:t>
      </w:r>
      <w:r>
        <w:t xml:space="preserve"> </w:t>
      </w:r>
      <w:r>
        <w:t xml:space="preserve">canale: fra chi esce dal comune le donne usano il treno quasi il doppio degli uomini (31,5%</w:t>
      </w:r>
      <w:r>
        <w:t xml:space="preserve"> </w:t>
      </w:r>
      <w:r>
        <w:t xml:space="preserve">contro 16,4%, sezione 5.4). Un servizio che dia per scontata l’auto seleziona per genere, e</w:t>
      </w:r>
      <w:r>
        <w:t xml:space="preserve"> </w:t>
      </w:r>
      <w:r>
        <w:t xml:space="preserve">lo fa in silenzio. Ne discende una sola regola operativa: nessuna opportunità entra nel</w:t>
      </w:r>
      <w:r>
        <w:t xml:space="preserve"> </w:t>
      </w:r>
      <w:r>
        <w:t xml:space="preserve">piano di transizione senza</w:t>
      </w:r>
      <w:r>
        <w:t xml:space="preserve"> </w:t>
      </w:r>
      <w:r>
        <w:rPr>
          <w:b/>
          <w:bCs/>
        </w:rPr>
        <w:t xml:space="preserve">verifica di raggiungibilità col mezzo collettivo negli orari</w:t>
      </w:r>
      <w:r>
        <w:rPr>
          <w:b/>
          <w:bCs/>
        </w:rPr>
        <w:t xml:space="preserve"> </w:t>
      </w:r>
      <w:r>
        <w:rPr>
          <w:b/>
          <w:bCs/>
        </w:rPr>
        <w:t xml:space="preserve">reali della posizione</w:t>
      </w:r>
      <w:r>
        <w:t xml:space="preserve">. Costa istruttoria, non budget.</w:t>
      </w:r>
    </w:p>
    <w:p>
      <w:pPr>
        <w:pStyle w:val="BodyText"/>
      </w:pPr>
      <w:r>
        <w:rPr>
          <w:b/>
          <w:bCs/>
        </w:rPr>
        <w:t xml:space="preserve">F3. Domanda: la leva che il Comune ha già in mano.</w:t>
      </w:r>
      <w:r>
        <w:t xml:space="preserve"> </w:t>
      </w:r>
      <w:r>
        <w:t xml:space="preserve">La componente introduce criteri</w:t>
      </w:r>
      <w:r>
        <w:t xml:space="preserve"> </w:t>
      </w:r>
      <w:r>
        <w:rPr>
          <w:b/>
          <w:bCs/>
        </w:rPr>
        <w:t xml:space="preserve">premiali</w:t>
      </w:r>
      <w:r>
        <w:t xml:space="preserve"> </w:t>
      </w:r>
      <w:r>
        <w:t xml:space="preserve">di pari opportunità nelle gare e nelle concessioni comunali, per l’assunzione</w:t>
      </w:r>
      <w:r>
        <w:t xml:space="preserve"> </w:t>
      </w:r>
      <w:r>
        <w:t xml:space="preserve">di donne e di under 36. Il modello è l’art. 47 del DL 77/2021 (appalti PNRR); per le gare</w:t>
      </w:r>
      <w:r>
        <w:t xml:space="preserve"> </w:t>
      </w:r>
      <w:r>
        <w:t xml:space="preserve">ordinarie la base sta nelle clausole sociali del Codice dei contratti pubblici (D.Lgs.</w:t>
      </w:r>
      <w:r>
        <w:t xml:space="preserve"> </w:t>
      </w:r>
      <w:r>
        <w:t xml:space="preserve">36/2023), da verificare con l’ufficio gare. Si tratta di premialità, non di riserva né di</w:t>
      </w:r>
      <w:r>
        <w:t xml:space="preserve"> </w:t>
      </w:r>
      <w:r>
        <w:t xml:space="preserve">requisito di residenza: il radicamento locale dell’esito si misura a valle, non si impone in</w:t>
      </w:r>
      <w:r>
        <w:t xml:space="preserve"> </w:t>
      </w:r>
      <w:r>
        <w:t xml:space="preserve">gara. La verifica dell’esito a 6 e 12 mesi si concentra sulle</w:t>
      </w:r>
      <w:r>
        <w:t xml:space="preserve"> </w:t>
      </w:r>
      <w:r>
        <w:rPr>
          <w:b/>
          <w:bCs/>
        </w:rPr>
        <w:t xml:space="preserve">donne 22-25</w:t>
      </w:r>
      <w:r>
        <w:t xml:space="preserve">. È l’unica</w:t>
      </w:r>
      <w:r>
        <w:t xml:space="preserve"> </w:t>
      </w:r>
      <w:r>
        <w:t xml:space="preserve">delle tre componenti che non richiede una struttura nuova: riorienta su un target</w:t>
      </w:r>
      <w:r>
        <w:t xml:space="preserve"> </w:t>
      </w:r>
      <w:r>
        <w:t xml:space="preserve">dichiarato uno strumento amministrativo esistente. Cautela: il volume è piccolo per</w:t>
      </w:r>
      <w:r>
        <w:t xml:space="preserve"> </w:t>
      </w:r>
      <w:r>
        <w:t xml:space="preserve">costruzione, e F3 rende la domanda</w:t>
      </w:r>
      <w:r>
        <w:t xml:space="preserve"> </w:t>
      </w:r>
      <w:r>
        <w:rPr>
          <w:b/>
          <w:bCs/>
        </w:rPr>
        <w:t xml:space="preserve">verificabile</w:t>
      </w:r>
      <w:r>
        <w:t xml:space="preserve">, non la crea (sezioni 2.4 e 3.1).</w:t>
      </w:r>
    </w:p>
    <w:p>
      <w:pPr>
        <w:pStyle w:val="BodyText"/>
      </w:pPr>
      <w:r>
        <w:rPr>
          <w:b/>
          <w:bCs/>
        </w:rPr>
        <w:t xml:space="preserve">Target.</w:t>
      </w:r>
      <w:r>
        <w:t xml:space="preserve"> </w:t>
      </w:r>
      <w:r>
        <w:t xml:space="preserve">La platea sono le</w:t>
      </w:r>
      <w:r>
        <w:t xml:space="preserve"> </w:t>
      </w:r>
      <w:r>
        <w:rPr>
          <w:b/>
          <w:bCs/>
        </w:rPr>
        <w:t xml:space="preserve">573</w:t>
      </w:r>
      <w:r>
        <w:t xml:space="preserve"> </w:t>
      </w:r>
      <w:r>
        <w:t xml:space="preserve">ragazze 15-24 inattive e non studenti (sezione 3.2).</w:t>
      </w:r>
      <w:r>
        <w:t xml:space="preserve"> </w:t>
      </w:r>
      <w:r>
        <w:t xml:space="preserve">La presa in carico pilota è la metà dei 200 previsti, secondo la quota di genere (sezione</w:t>
      </w:r>
      <w:r>
        <w:t xml:space="preserve"> </w:t>
      </w:r>
      <w:r>
        <w:t xml:space="preserve">7). Si concentra sulla finestra prioritaria</w:t>
      </w:r>
      <w:r>
        <w:t xml:space="preserve"> </w:t>
      </w:r>
      <w:r>
        <w:rPr>
          <w:b/>
          <w:bCs/>
        </w:rPr>
        <w:t xml:space="preserve">22-25</w:t>
      </w:r>
      <w:r>
        <w:t xml:space="preserve">, cioè l’uscita dal percorso formativo,</w:t>
      </w:r>
      <w:r>
        <w:t xml:space="preserve"> </w:t>
      </w:r>
      <w:r>
        <w:t xml:space="preserve">dove il vantaggio educativo dovrebbe convertirsi in lavoro (sezione 3.3). L’estensione ai</w:t>
      </w:r>
      <w:r>
        <w:t xml:space="preserve"> </w:t>
      </w:r>
      <w:r>
        <w:t xml:space="preserve">26-34 è un’opzione da decidere (sezioni 3.1-bis e 7).</w:t>
      </w:r>
    </w:p>
    <w:p>
      <w:pPr>
        <w:pStyle w:val="BodyText"/>
      </w:pPr>
      <w:r>
        <w:rPr>
          <w:b/>
          <w:bCs/>
        </w:rPr>
        <w:t xml:space="preserve">KPI.</w:t>
      </w:r>
      <w:r>
        <w:t xml:space="preserve"> </w:t>
      </w:r>
      <w:r>
        <w:t xml:space="preserve">Il KPI primario del modulo è la</w:t>
      </w:r>
      <w:r>
        <w:t xml:space="preserve"> </w:t>
      </w:r>
      <w:r>
        <w:rPr>
          <w:b/>
          <w:bCs/>
        </w:rPr>
        <w:t xml:space="preserve">quota di casalinghe 15-24</w:t>
      </w:r>
      <w:r>
        <w:t xml:space="preserve"> </w:t>
      </w:r>
      <w:r>
        <w:t xml:space="preserve">(13,4% verso l’11,3%</w:t>
      </w:r>
      <w:r>
        <w:t xml:space="preserve"> </w:t>
      </w:r>
      <w:r>
        <w:t xml:space="preserve">di Palermo), non il tasso di occupazione. La ragione è la finestra di lettura, non una</w:t>
      </w:r>
      <w:r>
        <w:t xml:space="preserve"> </w:t>
      </w:r>
      <w:r>
        <w:t xml:space="preserve">preferenza. Contro la variabilità dei comuni di taglia simile, è l’unico dei due che supera</w:t>
      </w:r>
      <w:r>
        <w:t xml:space="preserve"> </w:t>
      </w:r>
      <w:r>
        <w:t xml:space="preserve">l’80% di potenza su una finestra che non attraversa la rottura del 2021: il biennio. È</w:t>
      </w:r>
      <w:r>
        <w:t xml:space="preserve"> </w:t>
      </w:r>
      <w:r>
        <w:t xml:space="preserve">quindi il primo a restituire un verdetto, con il ritardo di circa due anni dei dati</w:t>
      </w:r>
      <w:r>
        <w:t xml:space="preserve"> </w:t>
      </w:r>
      <w:r>
        <w:t xml:space="preserve">comunali.</w:t>
      </w:r>
    </w:p>
    <w:p>
      <w:pPr>
        <w:pStyle w:val="BodyText"/>
      </w:pPr>
      <w:r>
        <w:t xml:space="preserve">L’indicatore ha però due limiti. È una stima di modello (sezione 3.2): si legge solo dentro</w:t>
      </w:r>
      <w:r>
        <w:t xml:space="preserve"> </w:t>
      </w:r>
      <w:r>
        <w:t xml:space="preserve">la definizione 2021+ e sempre accanto al tasso di occupazione, che è un conteggio. Inoltre</w:t>
      </w:r>
      <w:r>
        <w:t xml:space="preserve"> </w:t>
      </w:r>
      <w:r>
        <w:t xml:space="preserve">si può muovere anche senza lavoro: fra le covariate del modello c’è la frequenza di un corso</w:t>
      </w:r>
      <w:r>
        <w:t xml:space="preserve"> </w:t>
      </w:r>
      <w:r>
        <w:t xml:space="preserve">di studio risultante dai registri, quindi un’iscrizione registrata sposta una ragazza fuori</w:t>
      </w:r>
      <w:r>
        <w:t xml:space="preserve"> </w:t>
      </w:r>
      <w:r>
        <w:t xml:space="preserve">da «casalinga». L’occupazione femminile resta l’esito che dà senso al primo indicatore, e si</w:t>
      </w:r>
      <w:r>
        <w:t xml:space="preserve"> </w:t>
      </w:r>
      <w:r>
        <w:t xml:space="preserve">legge sul triennio pooled, come direzione (sezione 7.4).</w:t>
      </w:r>
    </w:p>
    <w:p>
      <w:pPr>
        <w:pStyle w:val="BodyText"/>
      </w:pPr>
      <w:r>
        <w:rPr>
          <w:b/>
          <w:bCs/>
        </w:rPr>
        <w:t xml:space="preserve">Cosa il modulo non promette</w:t>
      </w:r>
      <w:r>
        <w:t xml:space="preserve">, con lo stesso metro della sezione 9:</w:t>
      </w:r>
    </w:p>
    <w:p>
      <w:pPr>
        <w:pStyle w:val="Compact"/>
        <w:numPr>
          <w:ilvl w:val="0"/>
          <w:numId w:val="1011"/>
        </w:numPr>
      </w:pPr>
      <w:r>
        <w:t xml:space="preserve">non identifica le 387 casalinghe;</w:t>
      </w:r>
    </w:p>
    <w:p>
      <w:pPr>
        <w:pStyle w:val="Compact"/>
        <w:numPr>
          <w:ilvl w:val="0"/>
          <w:numId w:val="1011"/>
        </w:numPr>
      </w:pPr>
      <w:r>
        <w:t xml:space="preserve">non attribuisce la condizione di casalinga a una scelta né a un vincolo familiare</w:t>
      </w:r>
      <w:r>
        <w:t xml:space="preserve"> </w:t>
      </w:r>
      <w:r>
        <w:t xml:space="preserve">osservato: lo stato civile esclude il matrimonio precoce come canale, ma non osserva</w:t>
      </w:r>
      <w:r>
        <w:t xml:space="preserve"> </w:t>
      </w:r>
      <w:r>
        <w:t xml:space="preserve">convivenze né maternità;</w:t>
      </w:r>
    </w:p>
    <w:p>
      <w:pPr>
        <w:pStyle w:val="Compact"/>
        <w:numPr>
          <w:ilvl w:val="0"/>
          <w:numId w:val="1011"/>
        </w:numPr>
      </w:pPr>
      <w:r>
        <w:t xml:space="preserve">non propone interventi sul trasporto;</w:t>
      </w:r>
    </w:p>
    <w:p>
      <w:pPr>
        <w:pStyle w:val="Compact"/>
        <w:numPr>
          <w:ilvl w:val="0"/>
          <w:numId w:val="1011"/>
        </w:numPr>
      </w:pPr>
      <w:r>
        <w:t xml:space="preserve">non sostiene alcuna tesi di segregazione per indirizzo di studio, perché l’anagrafe MIUR</w:t>
      </w:r>
      <w:r>
        <w:t xml:space="preserve"> </w:t>
      </w:r>
      <w:r>
        <w:t xml:space="preserve">dà le sedi e non gli iscritti per genere e indirizzo.</w:t>
      </w:r>
    </w:p>
    <w:p>
      <w:pPr>
        <w:pStyle w:val="FirstParagraph"/>
      </w:pPr>
      <w:r>
        <w:t xml:space="preserve">Quel dato non esiste. Senza di esso, «gli indirizzi femminili non convertono» resterebbe</w:t>
      </w:r>
      <w:r>
        <w:t xml:space="preserve"> </w:t>
      </w:r>
      <w:r>
        <w:t xml:space="preserve">un’ipotesi travestita da evidenza.</w:t>
      </w:r>
    </w:p>
    <w:p>
      <w:r>
        <w:pict>
          <v:rect style="width:0;height:1.5pt" o:hralign="center" o:hrstd="t" o:hr="t"/>
        </w:pict>
      </w:r>
    </w:p>
    <w:bookmarkEnd w:id="105"/>
    <w:bookmarkEnd w:id="106"/>
    <w:bookmarkStart w:id="107" w:name="le-figure"/>
    <w:p>
      <w:pPr>
        <w:pStyle w:val="Heading1"/>
      </w:pPr>
      <w:r>
        <w:t xml:space="preserve">8. Le figure</w:t>
      </w:r>
    </w:p>
    <w:p>
      <w:pPr>
        <w:pStyle w:val="FirstParagraph"/>
      </w:pPr>
      <w:r>
        <w:t xml:space="preserve">Il bando chiede 2-3 visualizzazioni avanzate. La terna consegnata copre la voce obbligatoria</w:t>
      </w:r>
      <w:r>
        <w:t xml:space="preserve"> </w:t>
      </w:r>
      <w:r>
        <w:t xml:space="preserve">(profilo e benchmarking), il focus esplorativo scelto (il genere) e l’obiettivo del bando</w:t>
      </w:r>
      <w:r>
        <w:t xml:space="preserve"> </w:t>
      </w:r>
      <w:r>
        <w:t xml:space="preserve">(la fuga di talenti):</w:t>
      </w:r>
    </w:p>
    <w:p>
      <w:pPr>
        <w:pStyle w:val="Compact"/>
        <w:numPr>
          <w:ilvl w:val="0"/>
          <w:numId w:val="1012"/>
        </w:numPr>
      </w:pPr>
      <w:r>
        <w:rPr>
          <w:rStyle w:val="VerbatimChar"/>
          <w:b/>
          <w:bCs/>
        </w:rPr>
        <w:t xml:space="preserve">fig05_forbice</w:t>
      </w:r>
      <w:r>
        <w:t xml:space="preserve">: il paradosso in un’immagine. Mostra il quadrante «più istruite, meno</w:t>
      </w:r>
      <w:r>
        <w:t xml:space="preserve"> </w:t>
      </w:r>
      <w:r>
        <w:t xml:space="preserve">occupate» sulla stessa fascia 15-24; la forbice nel tempo sta in</w:t>
      </w:r>
      <w:r>
        <w:t xml:space="preserve"> </w:t>
      </w:r>
      <w:r>
        <w:rPr>
          <w:rStyle w:val="VerbatimChar"/>
        </w:rPr>
        <w:t xml:space="preserve">fig05b</w:t>
      </w:r>
      <w:r>
        <w:t xml:space="preserve">.</w:t>
      </w:r>
    </w:p>
    <w:p>
      <w:pPr>
        <w:pStyle w:val="Compact"/>
        <w:numPr>
          <w:ilvl w:val="0"/>
          <w:numId w:val="1012"/>
        </w:numPr>
      </w:pPr>
      <w:r>
        <w:rPr>
          <w:rStyle w:val="VerbatimChar"/>
          <w:b/>
          <w:bCs/>
        </w:rPr>
        <w:t xml:space="preserve">fig07_ritenzione_eta</w:t>
      </w:r>
      <w:r>
        <w:t xml:space="preserve">: il</w:t>
      </w:r>
      <w:r>
        <w:t xml:space="preserve"> </w:t>
      </w:r>
      <w:r>
        <w:rPr>
          <w:i/>
          <w:iCs/>
        </w:rPr>
        <w:t xml:space="preserve">quando</w:t>
      </w:r>
      <w:r>
        <w:t xml:space="preserve"> </w:t>
      </w:r>
      <w:r>
        <w:t xml:space="preserve">della fuga. È il profilo di ritenzione per età</w:t>
      </w:r>
      <w:r>
        <w:t xml:space="preserve"> </w:t>
      </w:r>
      <w:r>
        <w:t xml:space="preserve">singola, con la finestra 22-25. La differenza di genere è del triennio 2021-2024; su</w:t>
      </w:r>
      <w:r>
        <w:t xml:space="preserve"> </w:t>
      </w:r>
      <w:r>
        <w:t xml:space="preserve">cinque anni la perdita riguarda entrambi i generi (sezione 3.3). La scala decennale sta in</w:t>
      </w:r>
      <w:r>
        <w:t xml:space="preserve"> </w:t>
      </w:r>
      <w:r>
        <w:rPr>
          <w:rStyle w:val="VerbatimChar"/>
        </w:rPr>
        <w:t xml:space="preserve">fig07b</w:t>
      </w:r>
      <w:r>
        <w:t xml:space="preserve">.</w:t>
      </w:r>
    </w:p>
    <w:p>
      <w:pPr>
        <w:pStyle w:val="Compact"/>
        <w:numPr>
          <w:ilvl w:val="0"/>
          <w:numId w:val="1012"/>
        </w:numPr>
      </w:pPr>
      <w:r>
        <w:rPr>
          <w:rStyle w:val="VerbatimChar"/>
          <w:b/>
          <w:bCs/>
        </w:rPr>
        <w:t xml:space="preserve">fig04_mappa_sicilia</w:t>
      </w:r>
      <w:r>
        <w:t xml:space="preserve">: la scala. Unisce la coropleta dei 390 comuni e l’istogramma</w:t>
      </w:r>
      <w:r>
        <w:t xml:space="preserve"> </w:t>
      </w:r>
      <w:r>
        <w:t xml:space="preserve">delle due distribuzioni: «nel 2024 Bagheria arriva dove stava la mediana siciliana nel</w:t>
      </w:r>
      <w:r>
        <w:t xml:space="preserve"> </w:t>
      </w:r>
      <w:r>
        <w:t xml:space="preserve">2011». La persistenza della graduatoria (rho di Spearman) sta in</w:t>
      </w:r>
      <w:r>
        <w:t xml:space="preserve"> </w:t>
      </w:r>
      <w:r>
        <w:rPr>
          <w:rStyle w:val="VerbatimChar"/>
        </w:rPr>
        <w:t xml:space="preserve">fig04b</w:t>
      </w:r>
      <w:r>
        <w:t xml:space="preserve">.</w:t>
      </w:r>
    </w:p>
    <w:p>
      <w:pPr>
        <w:pStyle w:val="FirstParagraph"/>
      </w:pPr>
      <w:r>
        <w:t xml:space="preserve">Il criterio di scelta è dichiarato perché sia contestabile. La</w:t>
      </w:r>
      <w:r>
        <w:t xml:space="preserve"> </w:t>
      </w:r>
      <w:r>
        <w:rPr>
          <w:rStyle w:val="VerbatimChar"/>
        </w:rPr>
        <w:t xml:space="preserve">fig04</w:t>
      </w:r>
      <w:r>
        <w:t xml:space="preserve"> </w:t>
      </w:r>
      <w:r>
        <w:t xml:space="preserve">mette Bagheria fra</w:t>
      </w:r>
      <w:r>
        <w:t xml:space="preserve"> </w:t>
      </w:r>
      <w:r>
        <w:t xml:space="preserve">390 comuni invece di trattarla come un caso isolato. La</w:t>
      </w:r>
      <w:r>
        <w:t xml:space="preserve"> </w:t>
      </w:r>
      <w:r>
        <w:rPr>
          <w:rStyle w:val="VerbatimChar"/>
        </w:rPr>
        <w:t xml:space="preserve">fig05</w:t>
      </w:r>
      <w:r>
        <w:t xml:space="preserve"> </w:t>
      </w:r>
      <w:r>
        <w:t xml:space="preserve">porta il focus scelto al suo</w:t>
      </w:r>
      <w:r>
        <w:t xml:space="preserve"> </w:t>
      </w:r>
      <w:r>
        <w:t xml:space="preserve">punto più netto. La</w:t>
      </w:r>
      <w:r>
        <w:t xml:space="preserve"> </w:t>
      </w:r>
      <w:r>
        <w:rPr>
          <w:rStyle w:val="VerbatimChar"/>
        </w:rPr>
        <w:t xml:space="preserve">fig07</w:t>
      </w:r>
      <w:r>
        <w:t xml:space="preserve"> </w:t>
      </w:r>
      <w:r>
        <w:t xml:space="preserve">è la figura che dice, età per età,</w:t>
      </w:r>
      <w:r>
        <w:t xml:space="preserve"> </w:t>
      </w:r>
      <w:r>
        <w:rPr>
          <w:b/>
          <w:bCs/>
        </w:rPr>
        <w:t xml:space="preserve">quando</w:t>
      </w:r>
      <w:r>
        <w:t xml:space="preserve"> </w:t>
      </w:r>
      <w:r>
        <w:t xml:space="preserve">si parte, ed è la</w:t>
      </w:r>
      <w:r>
        <w:t xml:space="preserve"> </w:t>
      </w:r>
      <w:r>
        <w:t xml:space="preserve">ragione per cui Ponte 19 ha due finestre.</w:t>
      </w:r>
    </w:p>
    <w:p>
      <w:pPr>
        <w:pStyle w:val="BodyText"/>
      </w:pPr>
      <w:r>
        <w:t xml:space="preserve">Tre figure fanno da supporto.</w:t>
      </w:r>
      <w:r>
        <w:t xml:space="preserve"> </w:t>
      </w:r>
      <w:r>
        <w:rPr>
          <w:rStyle w:val="VerbatimChar"/>
          <w:b/>
          <w:bCs/>
        </w:rPr>
        <w:t xml:space="preserve">fig09_kpi_finestra</w:t>
      </w:r>
      <w:r>
        <w:t xml:space="preserve"> </w:t>
      </w:r>
      <w:r>
        <w:t xml:space="preserve">traduce il KPI in persone e lo mette</w:t>
      </w:r>
      <w:r>
        <w:t xml:space="preserve"> </w:t>
      </w:r>
      <w:r>
        <w:t xml:space="preserve">di fronte al restringimento della platea (sezione 6).</w:t>
      </w:r>
      <w:r>
        <w:t xml:space="preserve"> </w:t>
      </w:r>
      <w:r>
        <w:rPr>
          <w:rStyle w:val="VerbatimChar"/>
          <w:b/>
          <w:bCs/>
        </w:rPr>
        <w:t xml:space="preserve">fig09b_potenza</w:t>
      </w:r>
      <w:r>
        <w:t xml:space="preserve"> </w:t>
      </w:r>
      <w:r>
        <w:t xml:space="preserve">dichiara quanto</w:t>
      </w:r>
      <w:r>
        <w:t xml:space="preserve"> </w:t>
      </w:r>
      <w:r>
        <w:t xml:space="preserve">il tasso comunale può dire sull’intervento, con due metri di potenza affiancati (sezione</w:t>
      </w:r>
      <w:r>
        <w:t xml:space="preserve"> </w:t>
      </w:r>
      <w:r>
        <w:t xml:space="preserve">7.4).</w:t>
      </w:r>
      <w:r>
        <w:t xml:space="preserve"> </w:t>
      </w:r>
      <w:r>
        <w:rPr>
          <w:rStyle w:val="VerbatimChar"/>
          <w:b/>
          <w:bCs/>
        </w:rPr>
        <w:t xml:space="preserve">fig13b_occupazione_eta_genere</w:t>
      </w:r>
      <w:r>
        <w:t xml:space="preserve"> </w:t>
      </w:r>
      <w:r>
        <w:t xml:space="preserve">mostra, per classe d’età e genere, il deficit</w:t>
      </w:r>
      <w:r>
        <w:t xml:space="preserve"> </w:t>
      </w:r>
      <w:r>
        <w:t xml:space="preserve">femminile che si apre dopo i 25 anni (sezione 3.1-bis).</w:t>
      </w:r>
    </w:p>
    <w:p>
      <w:pPr>
        <w:pStyle w:val="BodyText"/>
      </w:pPr>
      <w:r>
        <w:t xml:space="preserve">Il terzo focus del bando ha una serie propria, aggiunta con il thread mobilità:</w:t>
      </w:r>
    </w:p>
    <w:p>
      <w:pPr>
        <w:pStyle w:val="Compact"/>
        <w:numPr>
          <w:ilvl w:val="0"/>
          <w:numId w:val="1013"/>
        </w:numPr>
      </w:pPr>
      <w:r>
        <w:rPr>
          <w:rStyle w:val="VerbatimChar"/>
          <w:b/>
          <w:bCs/>
        </w:rPr>
        <w:t xml:space="preserve">mob_fig01_verso_palermo</w:t>
      </w:r>
      <w:r>
        <w:t xml:space="preserve">: la carta a flussi. Mostra dove vanno i pendolari di</w:t>
      </w:r>
      <w:r>
        <w:t xml:space="preserve"> </w:t>
      </w:r>
      <w:r>
        <w:t xml:space="preserve">Bagheria, per studio e per lavoro, con il nome del comune di arrivo. È la risposta</w:t>
      </w:r>
      <w:r>
        <w:t xml:space="preserve"> </w:t>
      </w:r>
      <w:r>
        <w:t xml:space="preserve">letterale alla domanda del bando, ed è la</w:t>
      </w:r>
      <w:r>
        <w:t xml:space="preserve"> </w:t>
      </w:r>
      <w:r>
        <w:rPr>
          <w:b/>
          <w:bCs/>
        </w:rPr>
        <w:t xml:space="preserve">prima riserva</w:t>
      </w:r>
      <w:r>
        <w:t xml:space="preserve"> </w:t>
      </w:r>
      <w:r>
        <w:t xml:space="preserve">della terna. Resta fuori per</w:t>
      </w:r>
      <w:r>
        <w:t xml:space="preserve"> </w:t>
      </w:r>
      <w:r>
        <w:t xml:space="preserve">due ragioni:</w:t>
      </w:r>
      <w:r>
        <w:t xml:space="preserve"> </w:t>
      </w:r>
      <w:r>
        <w:rPr>
          <w:rStyle w:val="VerbatimChar"/>
        </w:rPr>
        <w:t xml:space="preserve">fig04</w:t>
      </w:r>
      <w:r>
        <w:t xml:space="preserve"> </w:t>
      </w:r>
      <w:r>
        <w:t xml:space="preserve">è già una carta, e togliere</w:t>
      </w:r>
      <w:r>
        <w:t xml:space="preserve"> </w:t>
      </w:r>
      <w:r>
        <w:rPr>
          <w:rStyle w:val="VerbatimChar"/>
        </w:rPr>
        <w:t xml:space="preserve">fig07</w:t>
      </w:r>
      <w:r>
        <w:t xml:space="preserve"> </w:t>
      </w:r>
      <w:r>
        <w:t xml:space="preserve">lascerebbe la finestra d’età</w:t>
      </w:r>
      <w:r>
        <w:t xml:space="preserve"> </w:t>
      </w:r>
      <w:r>
        <w:t xml:space="preserve">della proposta senza la figura che la giustifica.</w:t>
      </w:r>
    </w:p>
    <w:p>
      <w:pPr>
        <w:pStyle w:val="Compact"/>
        <w:numPr>
          <w:ilvl w:val="0"/>
          <w:numId w:val="1013"/>
        </w:numPr>
      </w:pPr>
      <w:r>
        <w:rPr>
          <w:rStyle w:val="VerbatimChar"/>
          <w:b/>
          <w:bCs/>
        </w:rPr>
        <w:t xml:space="preserve">mob_fig02_ribaltamento</w:t>
      </w:r>
      <w:r>
        <w:t xml:space="preserve">: il risultato del thread. Le due misure sono unite da una</w:t>
      </w:r>
      <w:r>
        <w:t xml:space="preserve"> </w:t>
      </w:r>
      <w:r>
        <w:t xml:space="preserve">linea la cui pendenza è il risultato; accanto, la distribuzione dei 390 comuni.</w:t>
      </w:r>
    </w:p>
    <w:p>
      <w:pPr>
        <w:pStyle w:val="Compact"/>
        <w:numPr>
          <w:ilvl w:val="0"/>
          <w:numId w:val="1013"/>
        </w:numPr>
      </w:pPr>
      <w:r>
        <w:rPr>
          <w:rStyle w:val="VerbatimChar"/>
          <w:b/>
          <w:bCs/>
        </w:rPr>
        <w:t xml:space="preserve">mob_fig03_treno_genere</w:t>
      </w:r>
      <w:r>
        <w:t xml:space="preserve">: mezzo e orario per genere, più il pannello che impedisce di</w:t>
      </w:r>
      <w:r>
        <w:t xml:space="preserve"> </w:t>
      </w:r>
      <w:r>
        <w:t xml:space="preserve">leggere la figura come «serve più treno».</w:t>
      </w:r>
    </w:p>
    <w:p>
      <w:pPr>
        <w:pStyle w:val="Compact"/>
        <w:numPr>
          <w:ilvl w:val="0"/>
          <w:numId w:val="1013"/>
        </w:numPr>
      </w:pPr>
      <w:r>
        <w:rPr>
          <w:rStyle w:val="VerbatimChar"/>
          <w:b/>
          <w:bCs/>
        </w:rPr>
        <w:t xml:space="preserve">mob_fig04_taglia_distanza</w:t>
      </w:r>
      <w:r>
        <w:t xml:space="preserve">: la figura che toglie di mezzo un’affermazione invece di</w:t>
      </w:r>
      <w:r>
        <w:t xml:space="preserve"> </w:t>
      </w:r>
      <w:r>
        <w:t xml:space="preserve">aggiungerne una. Il basso percentile della mobilità fuori comune era un effetto di</w:t>
      </w:r>
      <w:r>
        <w:t xml:space="preserve"> </w:t>
      </w:r>
      <w:r>
        <w:t xml:space="preserve">taglia e distanza.</w:t>
      </w:r>
    </w:p>
    <w:p>
      <w:pPr>
        <w:pStyle w:val="FirstParagraph"/>
      </w:pPr>
      <w:r>
        <w:rPr>
          <w:rStyle w:val="VerbatimChar"/>
          <w:b/>
          <w:bCs/>
        </w:rPr>
        <w:t xml:space="preserve">fig12_pendolarismo</w:t>
      </w:r>
      <w:r>
        <w:t xml:space="preserve"> </w:t>
      </w:r>
      <w:r>
        <w:t xml:space="preserve">resta come lettura sul censimento permanente 2018-2019: è la</w:t>
      </w:r>
      <w:r>
        <w:t xml:space="preserve"> </w:t>
      </w:r>
      <w:r>
        <w:t xml:space="preserve">replica indipendente della sezione 5.2. Le altre figure stanno nei notebook come apparato.</w:t>
      </w:r>
    </w:p>
    <w:p>
      <w:pPr>
        <w:pStyle w:val="BodyText"/>
      </w:pPr>
      <w:r>
        <w:t xml:space="preserve">Tutte le figure hanno un titolo che enuncia il risultato, la fascia d’età dichiarata, fonte</w:t>
      </w:r>
      <w:r>
        <w:t xml:space="preserve"> </w:t>
      </w:r>
      <w:r>
        <w:t xml:space="preserve">e cautele in didascalia e una palette colorblind-safe. Sono esportate in PNG a 300 dpi e in</w:t>
      </w:r>
      <w:r>
        <w:t xml:space="preserve"> </w:t>
      </w:r>
      <w:r>
        <w:t xml:space="preserve">SVG in</w:t>
      </w:r>
      <w:r>
        <w:t xml:space="preserve"> </w:t>
      </w:r>
      <w:r>
        <w:rPr>
          <w:rStyle w:val="VerbatimChar"/>
        </w:rPr>
        <w:t xml:space="preserve">figures/</w:t>
      </w:r>
      <w:r>
        <w:t xml:space="preserve">.</w:t>
      </w:r>
    </w:p>
    <w:p>
      <w:r>
        <w:pict>
          <v:rect style="width:0;height:1.5pt" o:hralign="center" o:hrstd="t" o:hr="t"/>
        </w:pict>
      </w:r>
    </w:p>
    <w:bookmarkEnd w:id="107"/>
    <w:bookmarkStart w:id="108" w:name="cosa-questa-relazione-non-afferma"/>
    <w:p>
      <w:pPr>
        <w:pStyle w:val="Heading1"/>
      </w:pPr>
      <w:r>
        <w:t xml:space="preserve">9. Cosa questa relazione non afferma</w:t>
      </w:r>
    </w:p>
    <w:p>
      <w:pPr>
        <w:pStyle w:val="Compact"/>
        <w:numPr>
          <w:ilvl w:val="0"/>
          <w:numId w:val="1014"/>
        </w:numPr>
      </w:pPr>
      <w:r>
        <w:rPr>
          <w:b/>
          <w:bCs/>
        </w:rPr>
        <w:t xml:space="preserve">Il NEET 15-34 comunale non esiste</w:t>
      </w:r>
      <w:r>
        <w:t xml:space="preserve"> </w:t>
      </w:r>
      <w:r>
        <w:t xml:space="preserve">nei dati pubblici. Le due misure usate, il NEET</w:t>
      </w:r>
      <w:r>
        <w:t xml:space="preserve"> </w:t>
      </w:r>
      <w:r>
        <w:t xml:space="preserve">15-29 al 2011 e la quota «fuori da lavoro e studio» 15-24 dal 2018, sono etichettate e</w:t>
      </w:r>
      <w:r>
        <w:t xml:space="preserve"> </w:t>
      </w:r>
      <w:r>
        <w:t xml:space="preserve">mai fuse.</w:t>
      </w:r>
    </w:p>
    <w:p>
      <w:pPr>
        <w:pStyle w:val="Compact"/>
        <w:numPr>
          <w:ilvl w:val="0"/>
          <w:numId w:val="1014"/>
        </w:numPr>
      </w:pPr>
      <w:r>
        <w:rPr>
          <w:b/>
          <w:bCs/>
        </w:rPr>
        <w:t xml:space="preserve">Nessun tasso di occupazione per titolo di studio a Bagheria</w:t>
      </w:r>
      <w:r>
        <w:t xml:space="preserve">: l’incrocio individuale</w:t>
      </w:r>
      <w:r>
        <w:t xml:space="preserve"> </w:t>
      </w:r>
      <w:r>
        <w:t xml:space="preserve">non è pubblicato (sezione 4), quindi ogni affermazione del tipo «i diplomati di</w:t>
      </w:r>
      <w:r>
        <w:t xml:space="preserve"> </w:t>
      </w:r>
      <w:r>
        <w:t xml:space="preserve">Bagheria…» sarebbe inventata.</w:t>
      </w:r>
    </w:p>
    <w:p>
      <w:pPr>
        <w:pStyle w:val="Compact"/>
        <w:numPr>
          <w:ilvl w:val="0"/>
          <w:numId w:val="1014"/>
        </w:numPr>
      </w:pPr>
      <w:r>
        <w:rPr>
          <w:b/>
          <w:bCs/>
        </w:rPr>
        <w:t xml:space="preserve">Nessuna età sul pendolarismo</w:t>
      </w:r>
      <w:r>
        <w:t xml:space="preserve">: la matrice ISTAT dà la destinazione (sezione 5), ma né</w:t>
      </w:r>
      <w:r>
        <w:t xml:space="preserve"> </w:t>
      </w:r>
      <w:r>
        <w:t xml:space="preserve">la matrice né il censimento permanente hanno la dimensione età. Il pendolarismo del</w:t>
      </w:r>
      <w:r>
        <w:t xml:space="preserve"> </w:t>
      </w:r>
      <w:r>
        <w:t xml:space="preserve">target 15-34 non è quindi isolabile. Il motivo dello spostamento è un’informazione d’età</w:t>
      </w:r>
      <w:r>
        <w:t xml:space="preserve"> </w:t>
      </w:r>
      <w:r>
        <w:t xml:space="preserve">parziale, e viene usata come tale. La ritenzione di coorte resta un saldo netto senza</w:t>
      </w:r>
      <w:r>
        <w:t xml:space="preserve"> </w:t>
      </w:r>
      <w:r>
        <w:t xml:space="preserve">destinazioni, e le due misure non si sommano.</w:t>
      </w:r>
    </w:p>
    <w:p>
      <w:pPr>
        <w:pStyle w:val="Compact"/>
        <w:numPr>
          <w:ilvl w:val="0"/>
          <w:numId w:val="1014"/>
        </w:numPr>
      </w:pPr>
      <w:r>
        <w:rPr>
          <w:b/>
          <w:bCs/>
        </w:rPr>
        <w:t xml:space="preserve">Nessuna stima causale</w:t>
      </w:r>
      <w:r>
        <w:t xml:space="preserve">: i confronti territoriali ed ecologici orientano la diagnosi, e</w:t>
      </w:r>
      <w:r>
        <w:t xml:space="preserve"> </w:t>
      </w:r>
      <w:r>
        <w:t xml:space="preserve">il disegno di valutazione (sezione 7.4) serve a produrre l’evidenza che oggi manca.</w:t>
      </w:r>
      <w:r>
        <w:t xml:space="preserve"> </w:t>
      </w:r>
      <w:r>
        <w:t xml:space="preserve">L’inattività non è attribuita a una singola causa non osservata.</w:t>
      </w:r>
    </w:p>
    <w:p>
      <w:pPr>
        <w:pStyle w:val="Compact"/>
        <w:numPr>
          <w:ilvl w:val="0"/>
          <w:numId w:val="1014"/>
        </w:numPr>
      </w:pPr>
      <w:r>
        <w:rPr>
          <w:b/>
          <w:bCs/>
        </w:rPr>
        <w:t xml:space="preserve">Nessuna interpolazione</w:t>
      </w:r>
      <w:r>
        <w:t xml:space="preserve">: il 2020 mancante resta mancante, e la rottura di misura</w:t>
      </w:r>
      <w:r>
        <w:t xml:space="preserve"> </w:t>
      </w:r>
      <w:r>
        <w:t xml:space="preserve">2019→2021 è dichiarata ogni volta che si cita la serie delle componenti.</w:t>
      </w:r>
    </w:p>
    <w:p>
      <w:pPr>
        <w:pStyle w:val="Compact"/>
        <w:numPr>
          <w:ilvl w:val="0"/>
          <w:numId w:val="1014"/>
        </w:numPr>
      </w:pPr>
      <w:r>
        <w:rPr>
          <w:b/>
          <w:bCs/>
        </w:rPr>
        <w:t xml:space="preserve">La finestra 22-25 è pooled</w:t>
      </w:r>
      <w:r>
        <w:t xml:space="preserve">: sull’anno singolo oscilla, e per questo non si usa come</w:t>
      </w:r>
      <w:r>
        <w:t xml:space="preserve"> </w:t>
      </w:r>
      <w:r>
        <w:t xml:space="preserve">lettura annuale.</w:t>
      </w:r>
    </w:p>
    <w:p>
      <w:pPr>
        <w:pStyle w:val="Compact"/>
        <w:numPr>
          <w:ilvl w:val="0"/>
          <w:numId w:val="1014"/>
        </w:numPr>
      </w:pPr>
      <w:r>
        <w:rPr>
          <w:b/>
          <w:bCs/>
        </w:rPr>
        <w:t xml:space="preserve">Nessuna associazione fra uso del mezzo collettivo e divario di genere</w:t>
      </w:r>
      <w:r>
        <w:t xml:space="preserve">: è stata</w:t>
      </w:r>
      <w:r>
        <w:t xml:space="preserve"> </w:t>
      </w:r>
      <w:r>
        <w:t xml:space="preserve">testata sui 381 comuni non capoluogo e</w:t>
      </w:r>
      <w:r>
        <w:t xml:space="preserve"> </w:t>
      </w:r>
      <w:r>
        <w:rPr>
          <w:b/>
          <w:bCs/>
        </w:rPr>
        <w:t xml:space="preserve">non è stata trovata</w:t>
      </w:r>
      <w:r>
        <w:t xml:space="preserve"> </w:t>
      </w:r>
      <w:r>
        <w:t xml:space="preserve">(sezione 5.4). È un</w:t>
      </w:r>
      <w:r>
        <w:t xml:space="preserve"> </w:t>
      </w:r>
      <w:r>
        <w:t xml:space="preserve">risultato ecologico: non esclude un effetto sulla singola persona, ma nessuna parte della</w:t>
      </w:r>
      <w:r>
        <w:t xml:space="preserve"> </w:t>
      </w:r>
      <w:r>
        <w:t xml:space="preserve">proposta si appoggia all’offerta di trasporto.</w:t>
      </w:r>
    </w:p>
    <w:p>
      <w:pPr>
        <w:pStyle w:val="Compact"/>
        <w:numPr>
          <w:ilvl w:val="0"/>
          <w:numId w:val="1014"/>
        </w:numPr>
      </w:pPr>
      <w:r>
        <w:rPr>
          <w:b/>
          <w:bCs/>
        </w:rPr>
        <w:t xml:space="preserve">Nessun primato sui titoli</w:t>
      </w:r>
      <w:r>
        <w:t xml:space="preserve">: Bagheria non produce più istruzione dei territori di</w:t>
      </w:r>
      <w:r>
        <w:t xml:space="preserve"> </w:t>
      </w:r>
      <w:r>
        <w:t xml:space="preserve">confronto. Sta davanti a Palermo e alla Sicilia solo sulla competenza di base del 2011</w:t>
      </w:r>
      <w:r>
        <w:t xml:space="preserve"> </w:t>
      </w:r>
      <w:r>
        <w:t xml:space="preserve">(</w:t>
      </w:r>
      <w:r>
        <w:rPr>
          <w:rStyle w:val="VerbatimChar"/>
        </w:rPr>
        <w:t xml:space="preserve">I8</w:t>
      </w:r>
      <w:r>
        <w:t xml:space="preserve">), comunque dietro l’Italia, ed è ultima del</w:t>
      </w:r>
      <w:r>
        <w:t xml:space="preserve"> </w:t>
      </w:r>
      <w:r>
        <w:t xml:space="preserve">panel su diploma o laurea (</w:t>
      </w:r>
      <w:r>
        <w:rPr>
          <w:rStyle w:val="VerbatimChar"/>
        </w:rPr>
        <w:t xml:space="preserve">I6</w:t>
      </w:r>
      <w:r>
        <w:t xml:space="preserve">) e su titolo universitario (</w:t>
      </w:r>
      <w:r>
        <w:rPr>
          <w:rStyle w:val="VerbatimChar"/>
        </w:rPr>
        <w:t xml:space="preserve">I7</w:t>
      </w:r>
      <w:r>
        <w:t xml:space="preserve">). Ciò che si afferma è</w:t>
      </w:r>
      <w:r>
        <w:t xml:space="preserve"> </w:t>
      </w:r>
      <w:r>
        <w:t xml:space="preserve">la mancata conversione, non un surplus di titoli da convertire (sezione 4).</w:t>
      </w:r>
    </w:p>
    <w:p>
      <w:pPr>
        <w:pStyle w:val="Compact"/>
        <w:numPr>
          <w:ilvl w:val="0"/>
          <w:numId w:val="1014"/>
        </w:numPr>
      </w:pPr>
      <w:r>
        <w:rPr>
          <w:b/>
          <w:bCs/>
        </w:rPr>
        <w:t xml:space="preserve">Nessuna misura diretta dell’emigrazione, né per titolo di studio</w:t>
      </w:r>
      <w:r>
        <w:t xml:space="preserve">: la ritenzione di</w:t>
      </w:r>
      <w:r>
        <w:t xml:space="preserve"> </w:t>
      </w:r>
      <w:r>
        <w:t xml:space="preserve">coorte è un saldo netto fra partenze e arrivi, senza destinazione e senza titolo. Sul</w:t>
      </w:r>
      <w:r>
        <w:t xml:space="preserve"> </w:t>
      </w:r>
      <w:r>
        <w:t xml:space="preserve">totale dei 15-34, a parità di coorti, Bagheria perde quanto la Sicilia. La «fuga di</w:t>
      </w:r>
      <w:r>
        <w:t xml:space="preserve"> </w:t>
      </w:r>
      <w:r>
        <w:t xml:space="preserve">talenti» che questa relazione documenta è quindi una perdita all’uscita dal percorso</w:t>
      </w:r>
      <w:r>
        <w:t xml:space="preserve"> </w:t>
      </w:r>
      <w:r>
        <w:t xml:space="preserve">formativo, per entrambi i generi, non un’emorragia complessiva (sezioni 3.3 e 6). Il dato</w:t>
      </w:r>
      <w:r>
        <w:t xml:space="preserve"> </w:t>
      </w:r>
      <w:r>
        <w:t xml:space="preserve">diretto esiste alla fonte, ma non è pubblicato per il comune. I trasferimenti di</w:t>
      </w:r>
      <w:r>
        <w:t xml:space="preserve"> </w:t>
      </w:r>
      <w:r>
        <w:t xml:space="preserve">residenza sono rilevati comune per comune; ISTAT ne pubblica età e titolo di studio solo</w:t>
      </w:r>
      <w:r>
        <w:t xml:space="preserve"> </w:t>
      </w:r>
      <w:r>
        <w:t xml:space="preserve">fino alla provincia, e per Bagheria solo i totali per sesso, verso un altro comune o</w:t>
      </w:r>
      <w:r>
        <w:t xml:space="preserve"> </w:t>
      </w:r>
      <w:r>
        <w:t xml:space="preserve">verso l’estero. I dati elementari, anonimi, si possono chiedere a ISTAT.</w:t>
      </w:r>
    </w:p>
    <w:p>
      <w:pPr>
        <w:pStyle w:val="Compact"/>
        <w:numPr>
          <w:ilvl w:val="0"/>
          <w:numId w:val="1014"/>
        </w:numPr>
      </w:pPr>
      <w:r>
        <w:rPr>
          <w:b/>
          <w:bCs/>
        </w:rPr>
        <w:t xml:space="preserve">Le condizioni non professionali sono stime, non conteggi</w:t>
      </w:r>
      <w:r>
        <w:t xml:space="preserve">: dal 2021 casalinghe,</w:t>
      </w:r>
      <w:r>
        <w:t xml:space="preserve"> </w:t>
      </w:r>
      <w:r>
        <w:t xml:space="preserve">studenti, chi cerca lavoro e la platea degli inattivi non studenti sono somme di</w:t>
      </w:r>
      <w:r>
        <w:t xml:space="preserve"> </w:t>
      </w:r>
      <w:r>
        <w:t xml:space="preserve">probabilità di un modello ISTAT, di cui non è pubblicato l’errore (sezione 3.2). Si</w:t>
      </w:r>
      <w:r>
        <w:t xml:space="preserve"> </w:t>
      </w:r>
      <w:r>
        <w:t xml:space="preserve">leggono solo dal 2021, e sempre accanto al tasso di occupazione, che è un conteggio.</w:t>
      </w:r>
    </w:p>
    <w:p>
      <w:pPr>
        <w:pStyle w:val="Compact"/>
        <w:numPr>
          <w:ilvl w:val="0"/>
          <w:numId w:val="1014"/>
        </w:numPr>
      </w:pPr>
      <w:r>
        <w:rPr>
          <w:b/>
          <w:bCs/>
        </w:rPr>
        <w:t xml:space="preserve">Il tasso comunale non prova l’effetto del servizio</w:t>
      </w:r>
      <w:r>
        <w:t xml:space="preserve">: contro la variabilità dei comuni</w:t>
      </w:r>
      <w:r>
        <w:t xml:space="preserve"> </w:t>
      </w:r>
      <w:r>
        <w:t xml:space="preserve">di taglia simile, nessuna finestra di lettura arriva all’80% di potenza sul tasso di</w:t>
      </w:r>
      <w:r>
        <w:t xml:space="preserve"> </w:t>
      </w:r>
      <w:r>
        <w:t xml:space="preserve">occupazione femminile (sezione 7.4). L’effetto si misura sui partecipanti, e nel primo</w:t>
      </w:r>
      <w:r>
        <w:t xml:space="preserve"> </w:t>
      </w:r>
      <w:r>
        <w:t xml:space="preserve">anno il pilota vede solo effetti grandi.</w:t>
      </w:r>
    </w:p>
    <w:p>
      <w:pPr>
        <w:pStyle w:val="Compact"/>
        <w:numPr>
          <w:ilvl w:val="0"/>
          <w:numId w:val="1014"/>
        </w:numPr>
      </w:pPr>
      <w:r>
        <w:rPr>
          <w:b/>
          <w:bCs/>
        </w:rPr>
        <w:t xml:space="preserve">Il 25-49 non è una misura dei giovani</w:t>
      </w:r>
      <w:r>
        <w:t xml:space="preserve">: serve solo a testare che cosa succede dopo la</w:t>
      </w:r>
      <w:r>
        <w:t xml:space="preserve"> </w:t>
      </w:r>
      <w:r>
        <w:t xml:space="preserve">fascia target (sezione 3.1-bis). Il 26-34 resta non isolabile, e il test sulle</w:t>
      </w:r>
      <w:r>
        <w:t xml:space="preserve"> </w:t>
      </w:r>
      <w:r>
        <w:t xml:space="preserve">generazioni non separa l’età dalla coorte.</w:t>
      </w:r>
    </w:p>
    <w:p>
      <w:r>
        <w:pict>
          <v:rect style="width:0;height:1.5pt" o:hralign="center" o:hrstd="t" o:hr="t"/>
        </w:pict>
      </w:r>
    </w:p>
    <w:bookmarkEnd w:id="108"/>
    <w:bookmarkStart w:id="109" w:name="appendice-a---mappa-dei-file"/>
    <w:p>
      <w:pPr>
        <w:pStyle w:val="Heading1"/>
      </w:pPr>
      <w:r>
        <w:t xml:space="preserve">Appendice A - Mappa dei file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Deliverable</w:t>
            </w:r>
          </w:p>
        </w:tc>
        <w:tc>
          <w:tcPr/>
          <w:p>
            <w:pPr>
              <w:pStyle w:val="Compact"/>
            </w:pPr>
            <w:r>
              <w:t xml:space="preserve">File</w:t>
            </w:r>
          </w:p>
        </w:tc>
      </w:tr>
      <w:tr>
        <w:tc>
          <w:tcPr/>
          <w:p>
            <w:pPr>
              <w:pStyle w:val="Compact"/>
            </w:pPr>
            <w:r>
              <w:t xml:space="preserve">Notebook condiviso (definizioni, popolazione, condizione 15-24)</w:t>
            </w:r>
          </w:p>
        </w:tc>
        <w:tc>
          <w:tcPr/>
          <w:p>
            <w:pPr>
              <w:pStyle w:val="Compact"/>
            </w:pPr>
            <w:r>
              <w:rPr>
                <w:rStyle w:val="VerbatimChar"/>
              </w:rPr>
              <w:t xml:space="preserve">notebooks/analisi.ipynb</w:t>
            </w:r>
          </w:p>
        </w:tc>
      </w:tr>
      <w:tr>
        <w:tc>
          <w:tcPr/>
          <w:p>
            <w:pPr>
              <w:pStyle w:val="Compact"/>
            </w:pPr>
            <w:r>
              <w:t xml:space="preserve">Thread genere (focus principale)</w:t>
            </w:r>
          </w:p>
        </w:tc>
        <w:tc>
          <w:tcPr/>
          <w:p>
            <w:pPr>
              <w:pStyle w:val="Compact"/>
            </w:pPr>
            <w:r>
              <w:rPr>
                <w:rStyle w:val="VerbatimChar"/>
              </w:rPr>
              <w:t xml:space="preserve">notebooks/genere.ipynb</w:t>
            </w:r>
          </w:p>
        </w:tc>
      </w:tr>
      <w:tr>
        <w:tc>
          <w:tcPr/>
          <w:p>
            <w:pPr>
              <w:pStyle w:val="Compact"/>
            </w:pPr>
            <w:r>
              <w:t xml:space="preserve">Thread educazione (transizione istruzione→lavoro)</w:t>
            </w:r>
          </w:p>
        </w:tc>
        <w:tc>
          <w:tcPr/>
          <w:p>
            <w:pPr>
              <w:pStyle w:val="Compact"/>
            </w:pPr>
            <w:r>
              <w:rPr>
                <w:rStyle w:val="VerbatimChar"/>
              </w:rPr>
              <w:t xml:space="preserve">notebooks/educazione.ipynb</w:t>
            </w:r>
          </w:p>
        </w:tc>
      </w:tr>
      <w:tr>
        <w:tc>
          <w:tcPr/>
          <w:p>
            <w:pPr>
              <w:pStyle w:val="Compact"/>
            </w:pPr>
            <w:r>
              <w:t xml:space="preserve">Thread mobilità (pendolarismo verso Palermo)</w:t>
            </w:r>
          </w:p>
        </w:tc>
        <w:tc>
          <w:tcPr/>
          <w:p>
            <w:pPr>
              <w:pStyle w:val="Compact"/>
            </w:pPr>
            <w:r>
              <w:rPr>
                <w:rStyle w:val="VerbatimChar"/>
              </w:rPr>
              <w:t xml:space="preserve">notebooks/mobilita.ipynb</w:t>
            </w:r>
          </w:p>
        </w:tc>
      </w:tr>
      <w:tr>
        <w:tc>
          <w:tcPr/>
          <w:p>
            <w:pPr>
              <w:pStyle w:val="Compact"/>
            </w:pPr>
            <w:r>
              <w:t xml:space="preserve">Policy proposal unificata</w:t>
            </w:r>
          </w:p>
        </w:tc>
        <w:tc>
          <w:tcPr/>
          <w:p>
            <w:pPr>
              <w:pStyle w:val="Compact"/>
            </w:pPr>
            <w:r>
              <w:rPr>
                <w:rStyle w:val="VerbatimChar"/>
              </w:rPr>
              <w:t xml:space="preserve">dist/POLICY_PONTE_19.pdf</w:t>
            </w:r>
          </w:p>
        </w:tc>
      </w:tr>
      <w:tr>
        <w:tc>
          <w:tcPr/>
          <w:p>
            <w:pPr>
              <w:pStyle w:val="Compact"/>
            </w:pPr>
            <w:r>
              <w:t xml:space="preserve">Documento di lavoro: tesi, scelta delle figure, limiti</w:t>
            </w:r>
          </w:p>
        </w:tc>
        <w:tc>
          <w:tcPr/>
          <w:p>
            <w:pPr>
              <w:pStyle w:val="Compact"/>
            </w:pPr>
            <w:r>
              <w:rPr>
                <w:rStyle w:val="VerbatimChar"/>
              </w:rPr>
              <w:t xml:space="preserve">docs/team/SCELTE_ANALITICHE.md</w:t>
            </w:r>
          </w:p>
        </w:tc>
      </w:tr>
      <w:tr>
        <w:tc>
          <w:tcPr/>
          <w:p>
            <w:pPr>
              <w:pStyle w:val="Compact"/>
            </w:pPr>
            <w:r>
              <w:t xml:space="preserve">Provenance delle fonti (URL, date, query, trappole)</w:t>
            </w:r>
          </w:p>
        </w:tc>
        <w:tc>
          <w:tcPr/>
          <w:p>
            <w:pPr>
              <w:pStyle w:val="Compact"/>
            </w:pPr>
            <w:r>
              <w:rPr>
                <w:rStyle w:val="VerbatimChar"/>
              </w:rPr>
              <w:t xml:space="preserve">docs/sources.md</w:t>
            </w:r>
          </w:p>
        </w:tc>
      </w:tr>
      <w:tr>
        <w:tc>
          <w:tcPr/>
          <w:p>
            <w:pPr>
              <w:pStyle w:val="Compact"/>
            </w:pPr>
            <w:r>
              <w:t xml:space="preserve">Figure (PNG 300dpi + SVG)</w:t>
            </w:r>
          </w:p>
        </w:tc>
        <w:tc>
          <w:tcPr/>
          <w:p>
            <w:pPr>
              <w:pStyle w:val="Compact"/>
            </w:pPr>
            <w:r>
              <w:rPr>
                <w:rStyle w:val="VerbatimChar"/>
              </w:rPr>
              <w:t xml:space="preserve">figures/</w:t>
            </w:r>
          </w:p>
        </w:tc>
      </w:tr>
      <w:tr>
        <w:tc>
          <w:tcPr/>
          <w:p>
            <w:pPr>
              <w:pStyle w:val="Compact"/>
            </w:pPr>
            <w:r>
              <w:t xml:space="preserve">Interfaccia dati Python→R</w:t>
            </w:r>
          </w:p>
        </w:tc>
        <w:tc>
          <w:tcPr/>
          <w:p>
            <w:pPr>
              <w:pStyle w:val="Compact"/>
            </w:pPr>
            <w:r>
              <w:rPr>
                <w:rStyle w:val="VerbatimChar"/>
              </w:rPr>
              <w:t xml:space="preserve">data/processed/</w:t>
            </w:r>
          </w:p>
        </w:tc>
      </w:tr>
    </w:tbl>
    <w:p>
      <w:pPr>
        <w:pStyle w:val="BodyText"/>
      </w:pPr>
      <w:r>
        <w:t xml:space="preserve">Stato delle verifiche al 2026-09-24. Il sensore</w:t>
      </w:r>
      <w:r>
        <w:t xml:space="preserve"> </w:t>
      </w:r>
      <w:r>
        <w:rPr>
          <w:rStyle w:val="VerbatimChar"/>
        </w:rPr>
        <w:t xml:space="preserve">nbconvert</w:t>
      </w:r>
      <w:r>
        <w:t xml:space="preserve"> </w:t>
      </w:r>
      <w:r>
        <w:t xml:space="preserve">è</w:t>
      </w:r>
      <w:r>
        <w:t xml:space="preserve"> </w:t>
      </w:r>
      <w:r>
        <w:rPr>
          <w:b/>
          <w:bCs/>
        </w:rPr>
        <w:t xml:space="preserve">verde sui quattro notebook</w:t>
      </w:r>
      <w:r>
        <w:t xml:space="preserve"> </w:t>
      </w:r>
      <w:r>
        <w:t xml:space="preserve">e</w:t>
      </w:r>
      <w:r>
        <w:t xml:space="preserve"> </w:t>
      </w:r>
      <w:r>
        <w:rPr>
          <w:rStyle w:val="VerbatimChar"/>
        </w:rPr>
        <w:t xml:space="preserve">pipeline.verifica</w:t>
      </w:r>
      <w:r>
        <w:t xml:space="preserve"> </w:t>
      </w:r>
      <w:r>
        <w:t xml:space="preserve">dà</w:t>
      </w:r>
      <w:r>
        <w:t xml:space="preserve"> </w:t>
      </w:r>
      <w:r>
        <w:rPr>
          <w:b/>
          <w:bCs/>
        </w:rPr>
        <w:t xml:space="preserve">1005/1005 PASS</w:t>
      </w:r>
      <w:r>
        <w:t xml:space="preserve">. La matrice del pendolarismo ricostruisce</w:t>
      </w:r>
      <w:r>
        <w:t xml:space="preserve"> </w:t>
      </w:r>
      <w:r>
        <w:rPr>
          <w:b/>
          <w:bCs/>
        </w:rPr>
        <w:t xml:space="preserve">sette</w:t>
      </w:r>
      <w:r>
        <w:rPr>
          <w:b/>
          <w:bCs/>
        </w:rPr>
        <w:t xml:space="preserve"> </w:t>
      </w:r>
      <w:r>
        <w:rPr>
          <w:b/>
          <w:bCs/>
        </w:rPr>
        <w:t xml:space="preserve">su sette</w:t>
      </w:r>
      <w:r>
        <w:t xml:space="preserve"> </w:t>
      </w:r>
      <w:r>
        <w:t xml:space="preserve">gli indicatori</w:t>
      </w:r>
      <w:r>
        <w:t xml:space="preserve"> </w:t>
      </w:r>
      <w:r>
        <w:rPr>
          <w:rStyle w:val="VerbatimChar"/>
        </w:rPr>
        <w:t xml:space="preserve">M</w:t>
      </w:r>
      <w:r>
        <w:t xml:space="preserve"> </w:t>
      </w:r>
      <w:r>
        <w:t xml:space="preserve">pubblicati da 8milaCensus e i due totali nazionali dichiarati</w:t>
      </w:r>
      <w:r>
        <w:t xml:space="preserve"> </w:t>
      </w:r>
      <w:r>
        <w:t xml:space="preserve">da ISTAT. Nessun numero di questa relazione è scritto a mano: ogni cifra ha accanto il file</w:t>
      </w:r>
      <w:r>
        <w:t xml:space="preserve"> </w:t>
      </w:r>
      <w:r>
        <w:t xml:space="preserve">o la cella che la rigenera.</w:t>
      </w:r>
    </w:p>
    <w:p>
      <w:r>
        <w:pict>
          <v:rect style="width:0;height:1.5pt" o:hralign="center" o:hrstd="t" o:hr="t"/>
        </w:pict>
      </w:r>
    </w:p>
    <w:bookmarkEnd w:id="109"/>
    <w:bookmarkStart w:id="161" w:name="X93fddf8f73a22c6a4248ed97e82077cd0df0a23"/>
    <w:p>
      <w:pPr>
        <w:pStyle w:val="Heading1"/>
      </w:pPr>
      <w:r>
        <w:t xml:space="preserve">Appendice B - Atlante completo delle figure</w:t>
      </w:r>
    </w:p>
    <w:p>
      <w:pPr>
        <w:pStyle w:val="FirstParagraph"/>
      </w:pPr>
      <w:r>
        <w:t xml:space="preserve">Le figure che il testo non incorpora, nell’ordine dei tre thread. Non sono materiale di scarto: sono i controlli, le repliche e le scomposizioni su cui poggiano le affermazioni delle sezioni precedenti, e compaiono qui perché una relazione che chiede di essere verificata deve portarsi dietro anche ciò che non ha messo in prima pagina.</w:t>
      </w:r>
    </w:p>
    <w:p>
      <w:pPr>
        <w:pStyle w:val="BodyText"/>
      </w:pPr>
      <w:r>
        <w:drawing>
          <wp:inline>
            <wp:extent cx="6108700" cy="3010574"/>
            <wp:effectExtent b="0" l="0" r="0" t="0"/>
            <wp:docPr descr="" title="" id="111" name="Picture"/>
            <a:graphic>
              <a:graphicData uri="http://schemas.openxmlformats.org/drawingml/2006/picture">
                <pic:pic>
                  <pic:nvPicPr>
                    <pic:cNvPr descr="/home/kiycoh/Documents/dev/datapolis-2026-hackathon/.docx-build/fig02b_casalinghe_territori.png" id="112" name="Picture"/>
                    <pic:cNvPicPr>
                      <a:picLocks noChangeArrowheads="1" noChangeAspect="1"/>
                    </pic:cNvPicPr>
                  </pic:nvPicPr>
                  <pic:blipFill>
                    <a:blip r:embed="rId110"/>
                    <a:stretch>
                      <a:fillRect/>
                    </a:stretch>
                  </pic:blipFill>
                  <pic:spPr bwMode="auto">
                    <a:xfrm>
                      <a:off x="0" y="0"/>
                      <a:ext cx="6108700" cy="3010574"/>
                    </a:xfrm>
                    <a:prstGeom prst="rect">
                      <a:avLst/>
                    </a:prstGeom>
                    <a:noFill/>
                    <a:ln w="9525">
                      <a:noFill/>
                      <a:headEnd/>
                      <a:tailEnd/>
                    </a:ln>
                  </pic:spPr>
                </pic:pic>
              </a:graphicData>
            </a:graphic>
          </wp:inline>
        </w:drawing>
      </w:r>
    </w:p>
    <w:p>
      <w:pPr>
        <w:pStyle w:val="Didascalia"/>
      </w:pPr>
      <w:r>
        <w:rPr>
          <w:b/>
          <w:bCs/>
        </w:rPr>
        <w:t xml:space="preserve">Figura 22. Come si legge:</w:t>
      </w:r>
      <w:r>
        <w:t xml:space="preserve"> </w:t>
      </w:r>
      <w:r>
        <w:t xml:space="preserve">ogni riga è un territorio e la lunghezza del segmento è la quota, ripetuta in cifre a destra del pallino. L’ordine delle righe è geografico e non per valore, dal comune al paese: la discesa da Bagheria all’Italia è il finding, non l’effetto dell’ordinamento. I colori sono quelli che i territori portano in tutta la cartella (Bagheria in vermiglio, il vicinato in verde acqua, Palermo in viola, la Sicilia in ambra, l’Italia in grigio) e non codificano nessuna variabile in più. Vicinato = i cinque comuni più vicini per distanza fra i centroidi, con i conteggi sommati prima della quota: è la quota del blocco, non la media delle cinque quote. Una sola annata, quindi la figura è una fotografia e non una tendenza: la serie completa sta in genere_composizione_stato_dettaglio.csv, e si legge solo dal 2021, perché il 2018-2019 viene da un altro metodo. La quota è una stima di modello (i conteggi comunali non sono interi): le differenze piccole fra territori vicini vanno lette con cautela.</w:t>
      </w:r>
    </w:p>
    <w:p>
      <w:pPr>
        <w:pStyle w:val="Didascalia"/>
      </w:pPr>
      <w:r>
        <w:rPr>
          <w:b/>
          <w:bCs/>
        </w:rPr>
        <w:t xml:space="preserve">Fonte:</w:t>
      </w:r>
      <w:r>
        <w:t xml:space="preserve"> </w:t>
      </w:r>
      <w:r>
        <w:t xml:space="preserve">ISTAT, Censimento permanente della popolazione, tavola della condizione professionale, classe 15-24 anni, 2024. Elaborazione: notebooks/genere.ipynb (data/processed/genere_composizione_stato_dettaglio.csv, genere_composizione_stato_dettaglio_vicini.csv per il vicinato aggregato, genere_casalinghe.csv per il conteggio e genere_platea.csv per i denominatori; genere_interi_condizione.csv per la natura di stima).</w:t>
      </w:r>
    </w:p>
    <w:p>
      <w:pPr>
        <w:pStyle w:val="Didascalia"/>
      </w:pPr>
      <w:r>
        <w:rPr>
          <w:i/>
          <w:iCs/>
        </w:rPr>
        <w:t xml:space="preserve">Figura</w:t>
      </w:r>
      <w:r>
        <w:t xml:space="preserve"> </w:t>
      </w:r>
      <w:r>
        <w:rPr>
          <w:rStyle w:val="VerbatimChar"/>
        </w:rPr>
        <w:t xml:space="preserve">fig02b_casalinghe_territori</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viz/fig02b_casalinghe_territori.R</w:t>
      </w:r>
      <w:r>
        <w:rPr>
          <w:i/>
          <w:iCs/>
        </w:rPr>
        <w:t xml:space="preserve">.</w:t>
      </w:r>
    </w:p>
    <w:p>
      <w:pPr>
        <w:pStyle w:val="BodyText"/>
      </w:pPr>
      <w:r>
        <w:drawing>
          <wp:inline>
            <wp:extent cx="6108700" cy="4322454"/>
            <wp:effectExtent b="0" l="0" r="0" t="0"/>
            <wp:docPr descr="" title="" id="114" name="Picture"/>
            <a:graphic>
              <a:graphicData uri="http://schemas.openxmlformats.org/drawingml/2006/picture">
                <pic:pic>
                  <pic:nvPicPr>
                    <pic:cNvPr descr="/home/kiycoh/Documents/dev/datapolis-2026-hackathon/.docx-build/fig02c_composizione_territori.png" id="115" name="Picture"/>
                    <pic:cNvPicPr>
                      <a:picLocks noChangeArrowheads="1" noChangeAspect="1"/>
                    </pic:cNvPicPr>
                  </pic:nvPicPr>
                  <pic:blipFill>
                    <a:blip r:embed="rId113"/>
                    <a:stretch>
                      <a:fillRect/>
                    </a:stretch>
                  </pic:blipFill>
                  <pic:spPr bwMode="auto">
                    <a:xfrm>
                      <a:off x="0" y="0"/>
                      <a:ext cx="6108700" cy="4322454"/>
                    </a:xfrm>
                    <a:prstGeom prst="rect">
                      <a:avLst/>
                    </a:prstGeom>
                    <a:noFill/>
                    <a:ln w="9525">
                      <a:noFill/>
                      <a:headEnd/>
                      <a:tailEnd/>
                    </a:ln>
                  </pic:spPr>
                </pic:pic>
              </a:graphicData>
            </a:graphic>
          </wp:inline>
        </w:drawing>
      </w:r>
    </w:p>
    <w:p>
      <w:pPr>
        <w:pStyle w:val="Didascalia"/>
      </w:pPr>
      <w:r>
        <w:rPr>
          <w:b/>
          <w:bCs/>
        </w:rPr>
        <w:t xml:space="preserve">Figura 23. Come si legge:</w:t>
      </w:r>
      <w:r>
        <w:t xml:space="preserve"> </w:t>
      </w:r>
      <w:r>
        <w:t xml:space="preserve">in una barra impilata solo i segmenti ancorati a un bordo sono confrontabili fra righe, perché gli altri partono da un offset diverso in ogni riga. Per questo l’ordine delle categorie non è narrativo: «occupati» sta al bordo sinistro e «casalinghe/i» al destro, e sono le due voci del confronto fra territori; le altre quattro si leggono dentro un territorio, non fra territori. L’ordine delle righe è geografico e non per valore, dal comune al paese. La graffa in cima aggrega i quattro stati oltre «studenti»: è la convenzione di questo repo («fuori da lavoro e istruzione» = tutti meno occupati e studenti), non il NEET ISTAT 15-29, che a scala comunale esiste solo al 2011. Il totale che la graffa aggrega viene da genere_fuori_lavoro_istruzione.csv, perché sommare qui le quote già arrotondate darebbe un decimo in più; per lo stesso motivo la barra normalizza per allineare i bordi, mentre l’etichetta resta il numero pubblicato. L’etichetta compare solo sui segmenti che la reggono (quota di almeno 4,5%): sotto quella soglia il testo è più largo del segmento e sconfinerebbe su quelli accanto. Vicinato = i cinque comuni più vicini per distanza fra i centroidi, con i conteggi sommati prima delle quote: sono le quote del blocco, non la media delle cinque quote.</w:t>
      </w:r>
    </w:p>
    <w:p>
      <w:pPr>
        <w:pStyle w:val="Didascalia"/>
      </w:pPr>
      <w:r>
        <w:rPr>
          <w:b/>
          <w:bCs/>
        </w:rPr>
        <w:t xml:space="preserve">Fonte:</w:t>
      </w:r>
      <w:r>
        <w:t xml:space="preserve"> </w:t>
      </w:r>
      <w:r>
        <w:t xml:space="preserve">ISTAT, Censimento permanente della popolazione, tavola della condizione professionale, classe 15-24 anni, 2024. Elaborazione: notebooks/genere.ipynb (data/processed/genere_composizione_stato_dettaglio.csv, genere_composizione_stato_dettaglio_vicini.csv per il vicinato aggregato e genere_platea.csv per i denominatori).</w:t>
      </w:r>
    </w:p>
    <w:p>
      <w:pPr>
        <w:pStyle w:val="Didascalia"/>
      </w:pPr>
      <w:r>
        <w:rPr>
          <w:i/>
          <w:iCs/>
        </w:rPr>
        <w:t xml:space="preserve">Figura</w:t>
      </w:r>
      <w:r>
        <w:t xml:space="preserve"> </w:t>
      </w:r>
      <w:r>
        <w:rPr>
          <w:rStyle w:val="VerbatimChar"/>
        </w:rPr>
        <w:t xml:space="preserve">fig02c_composizione_territori</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viz/fig02c_composizione_territori.R</w:t>
      </w:r>
      <w:r>
        <w:rPr>
          <w:i/>
          <w:iCs/>
        </w:rPr>
        <w:t xml:space="preserve">.</w:t>
      </w:r>
    </w:p>
    <w:p>
      <w:pPr>
        <w:pStyle w:val="BodyText"/>
      </w:pPr>
      <w:r>
        <w:drawing>
          <wp:inline>
            <wp:extent cx="6108700" cy="5492903"/>
            <wp:effectExtent b="0" l="0" r="0" t="0"/>
            <wp:docPr descr="" title="" id="117" name="Picture"/>
            <a:graphic>
              <a:graphicData uri="http://schemas.openxmlformats.org/drawingml/2006/picture">
                <pic:pic>
                  <pic:nvPicPr>
                    <pic:cNvPr descr="/home/kiycoh/Documents/dev/datapolis-2026-hackathon/.docx-build/fig04b_persistenza.png" id="118" name="Picture"/>
                    <pic:cNvPicPr>
                      <a:picLocks noChangeArrowheads="1" noChangeAspect="1"/>
                    </pic:cNvPicPr>
                  </pic:nvPicPr>
                  <pic:blipFill>
                    <a:blip r:embed="rId116"/>
                    <a:stretch>
                      <a:fillRect/>
                    </a:stretch>
                  </pic:blipFill>
                  <pic:spPr bwMode="auto">
                    <a:xfrm>
                      <a:off x="0" y="0"/>
                      <a:ext cx="6108700" cy="5492903"/>
                    </a:xfrm>
                    <a:prstGeom prst="rect">
                      <a:avLst/>
                    </a:prstGeom>
                    <a:noFill/>
                    <a:ln w="9525">
                      <a:noFill/>
                      <a:headEnd/>
                      <a:tailEnd/>
                    </a:ln>
                  </pic:spPr>
                </pic:pic>
              </a:graphicData>
            </a:graphic>
          </wp:inline>
        </w:drawing>
      </w:r>
    </w:p>
    <w:p>
      <w:pPr>
        <w:pStyle w:val="Didascalia"/>
      </w:pPr>
      <w:r>
        <w:rPr>
          <w:b/>
          <w:bCs/>
        </w:rPr>
        <w:t xml:space="preserve">Figura 24. Come si legge:</w:t>
      </w:r>
      <w:r>
        <w:t xml:space="preserve"> </w:t>
      </w:r>
      <w:r>
        <w:t xml:space="preserve">ogni punto grigio è un comune. La retta tratteggiata è la diagonale, cioè «stessa posizione nelle due annate»: sopra la diagonale stanno i comuni risaliti in graduatoria, sotto quelli scesi, e più un punto è lontano dalla retta più si è mosso. Il quadrato grigio in basso a sinistra è il quintile più basso in entrambe le annate: 74% di chi ci stava nel 2011 ci sta ancora nel 2024. Bagheria è il punto vermiglio, i 5 comuni vicini sono in verde acqua, e stanno tutti dentro il quadrato: il richiamo di Bagheria esce a destra perché un’etichetta dentro il mucchio coprirebbe altri comuni. Gli assi non sono forzati a un quadrato: il rapporto lo danno le dimensioni della figura, e la diagonale resta comunque disegnata come retta di riferimento. Gli assi portano percentili e non punti percentuali di proposito, perché le due rilevazioni hanno disegni diversi (universale a questionario la prima, campionaria sui registri la seconda): il livello ne risente, il rango dentro l’anno molto meno, e i due valori di rho lo mostrano (0,848 fra 2011 e 2024, 0,919 dentro la sola rilevazione permanente). Misiliscemi, istituito nel 2021 per distacco da Trapani, è l’unica esclusione dai 390 comuni disegnati.</w:t>
      </w:r>
    </w:p>
    <w:p>
      <w:pPr>
        <w:pStyle w:val="Didascalia"/>
      </w:pPr>
      <w:r>
        <w:rPr>
          <w:b/>
          <w:bCs/>
        </w:rPr>
        <w:t xml:space="preserve">Fonte:</w:t>
      </w:r>
      <w:r>
        <w:t xml:space="preserve"> </w:t>
      </w:r>
      <w:r>
        <w:t xml:space="preserve">ISTAT, 8milaCensus, indicatore L11 (censimento 2011) e Censimento permanente della popolazione (2024), tasso di occupazione femminile sulla popolazione di 15 anni e più. Fascia e anni sono diversi dalle serie 15-24 del thread: è contesto di lungo periodo, non un termine di paragone. Elaborazione: notebooks/genere.ipynb (data/processed/genere_mappa_2011_2024.csv e genere_distribuzione_390.csv).</w:t>
      </w:r>
    </w:p>
    <w:p>
      <w:pPr>
        <w:pStyle w:val="Didascalia"/>
      </w:pPr>
      <w:r>
        <w:rPr>
          <w:i/>
          <w:iCs/>
        </w:rPr>
        <w:t xml:space="preserve">Figura</w:t>
      </w:r>
      <w:r>
        <w:t xml:space="preserve"> </w:t>
      </w:r>
      <w:r>
        <w:rPr>
          <w:rStyle w:val="VerbatimChar"/>
        </w:rPr>
        <w:t xml:space="preserve">fig04b_persistenza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viz/fig04b_persistenza.R</w:t>
      </w:r>
      <w:r>
        <w:rPr>
          <w:i/>
          <w:iCs/>
        </w:rPr>
        <w:t xml:space="preserve">.</w:t>
      </w:r>
    </w:p>
    <w:p>
      <w:pPr>
        <w:pStyle w:val="BodyText"/>
      </w:pPr>
      <w:r>
        <w:drawing>
          <wp:inline>
            <wp:extent cx="6108700" cy="4976364"/>
            <wp:effectExtent b="0" l="0" r="0" t="0"/>
            <wp:docPr descr="" title="" id="120" name="Picture"/>
            <a:graphic>
              <a:graphicData uri="http://schemas.openxmlformats.org/drawingml/2006/picture">
                <pic:pic>
                  <pic:nvPicPr>
                    <pic:cNvPr descr="/home/kiycoh/Documents/dev/datapolis-2026-hackathon/.docx-build/fig04c_graduatoria_390.png" id="121" name="Picture"/>
                    <pic:cNvPicPr>
                      <a:picLocks noChangeArrowheads="1" noChangeAspect="1"/>
                    </pic:cNvPicPr>
                  </pic:nvPicPr>
                  <pic:blipFill>
                    <a:blip r:embed="rId119"/>
                    <a:stretch>
                      <a:fillRect/>
                    </a:stretch>
                  </pic:blipFill>
                  <pic:spPr bwMode="auto">
                    <a:xfrm>
                      <a:off x="0" y="0"/>
                      <a:ext cx="6108700" cy="4976364"/>
                    </a:xfrm>
                    <a:prstGeom prst="rect">
                      <a:avLst/>
                    </a:prstGeom>
                    <a:noFill/>
                    <a:ln w="9525">
                      <a:noFill/>
                      <a:headEnd/>
                      <a:tailEnd/>
                    </a:ln>
                  </pic:spPr>
                </pic:pic>
              </a:graphicData>
            </a:graphic>
          </wp:inline>
        </w:drawing>
      </w:r>
    </w:p>
    <w:p>
      <w:pPr>
        <w:pStyle w:val="Didascalia"/>
      </w:pPr>
      <w:r>
        <w:rPr>
          <w:b/>
          <w:bCs/>
        </w:rPr>
        <w:t xml:space="preserve">Figura 25. Come si legge:</w:t>
      </w:r>
      <w:r>
        <w:t xml:space="preserve"> </w:t>
      </w:r>
      <w:r>
        <w:t xml:space="preserve">le righe sono ordinate per valore ma spaziate in modo uniforme, quindi la distanza verticale fra due righe non misura niente: fra due righe adiacenti possono starci decine di comuni, e il rango stampato a destra è l’unica misura della distanza. Le righe punteggiate di rottura dicono quanti comuni stanno dentro ciascun salto. La linea guida colorata parte da 12% e non da zero, e non è una barra: serve solo a portare l’occhio dal nome al punto, e la sua lunghezza non è una quantità. Il diametro del punto è il numero di residenti femmine di 15 anni e più, su scala logaritmica che copre tre ordini di grandezza: è un ordine di grandezza, non una quantità leggibile a occhio, e serve a ricordare che nei comuni piccoli poche persone spostano molti punti percentuali. La riga tratteggiata verticale è la mediana regionale. Il colore dice il ruolo e non il valore: Bagheria in vermiglio e in maiuscolo, i cinque comuni vicini in verde acqua, Palermo in viola, i comuni delle due code in grigio scuro. La fascia è quella di lungo periodo (15 anni e più, l’indicatore L11 del codebook 8milaCensus), diversa dalle serie 15-24 del thread: la figura è contesto, non un termine di paragone.</w:t>
      </w:r>
    </w:p>
    <w:p>
      <w:pPr>
        <w:pStyle w:val="Didascalia"/>
      </w:pPr>
      <w:r>
        <w:rPr>
          <w:b/>
          <w:bCs/>
        </w:rPr>
        <w:t xml:space="preserve">Fonte:</w:t>
      </w:r>
      <w:r>
        <w:t xml:space="preserve"> </w:t>
      </w:r>
      <w:r>
        <w:t xml:space="preserve">ISTAT, Censimento permanente della popolazione, tavola della condizione professionale, popolazione di 15 anni e più, anno 2024. I 390 comuni sono presi ai confini del 2011, gli stessi di fig04 e fig04b, con Misiliscemi come unica esclusione. Elaborazione: notebooks/genere.ipynb (data/processed/genere_mappa_2011_2024.csv per tasso, rango e platea femminile, genere_distribuzione_390.csv per la mediana).</w:t>
      </w:r>
    </w:p>
    <w:p>
      <w:pPr>
        <w:pStyle w:val="Didascalia"/>
      </w:pPr>
      <w:r>
        <w:rPr>
          <w:i/>
          <w:iCs/>
        </w:rPr>
        <w:t xml:space="preserve">Figura</w:t>
      </w:r>
      <w:r>
        <w:t xml:space="preserve"> </w:t>
      </w:r>
      <w:r>
        <w:rPr>
          <w:rStyle w:val="VerbatimChar"/>
        </w:rPr>
        <w:t xml:space="preserve">fig04c_graduatoria_390</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viz/fig04c_graduatoria_390.R</w:t>
      </w:r>
      <w:r>
        <w:rPr>
          <w:i/>
          <w:iCs/>
        </w:rPr>
        <w:t xml:space="preserve">.</w:t>
      </w:r>
    </w:p>
    <w:p>
      <w:pPr>
        <w:pStyle w:val="BodyText"/>
      </w:pPr>
      <w:r>
        <w:drawing>
          <wp:inline>
            <wp:extent cx="6108700" cy="4110547"/>
            <wp:effectExtent b="0" l="0" r="0" t="0"/>
            <wp:docPr descr="" title="" id="123" name="Picture"/>
            <a:graphic>
              <a:graphicData uri="http://schemas.openxmlformats.org/drawingml/2006/picture">
                <pic:pic>
                  <pic:nvPicPr>
                    <pic:cNvPr descr="/home/kiycoh/Documents/dev/datapolis-2026-hackathon/.docx-build/fig05b_forbice_serie.png" id="124" name="Picture"/>
                    <pic:cNvPicPr>
                      <a:picLocks noChangeArrowheads="1" noChangeAspect="1"/>
                    </pic:cNvPicPr>
                  </pic:nvPicPr>
                  <pic:blipFill>
                    <a:blip r:embed="rId122"/>
                    <a:stretch>
                      <a:fillRect/>
                    </a:stretch>
                  </pic:blipFill>
                  <pic:spPr bwMode="auto">
                    <a:xfrm>
                      <a:off x="0" y="0"/>
                      <a:ext cx="6108700" cy="4110547"/>
                    </a:xfrm>
                    <a:prstGeom prst="rect">
                      <a:avLst/>
                    </a:prstGeom>
                    <a:noFill/>
                    <a:ln w="9525">
                      <a:noFill/>
                      <a:headEnd/>
                      <a:tailEnd/>
                    </a:ln>
                  </pic:spPr>
                </pic:pic>
              </a:graphicData>
            </a:graphic>
          </wp:inline>
        </w:drawing>
      </w:r>
    </w:p>
    <w:p>
      <w:pPr>
        <w:pStyle w:val="Didascalia"/>
      </w:pPr>
      <w:r>
        <w:rPr>
          <w:b/>
          <w:bCs/>
        </w:rPr>
        <w:t xml:space="preserve">Figura 26. Come si legge:</w:t>
      </w:r>
      <w:r>
        <w:t xml:space="preserve"> </w:t>
      </w:r>
      <w:r>
        <w:t xml:space="preserve">l’area vermiglio chiaro è il cuneo fra Bagheria e il vicinato, cioè quanto le due lame si sono aperte: la sua altezza è la distanza fra le due linee, non un intervallo di confidenza. Bagheria è in vermiglio a tratto pieno, il vicinato in verde acqua; Palermo, Sicilia e Italia restano in grigio perché sono contesto, e si identificano dall’etichetta a fine linea. La striscia grigia verticale fra il 2019 e il 2021 occupa l’annata mancante: il 2020 manca alla fonte su ogni classe che contenga i 15-24, in tutti i territori, e nessun valore è interpolato. La fascia 9-24 include bambini che non hanno ancora l’età del diploma, quindi il livello della quota non va letto come tasso di diplomati: a essere confrontabile fra territori e nel tempo è la differenza fra i generi, che è ciò che la figura disegna. Vicinato = i cinque comuni più vicini per distanza fra i centroidi, con i conteggi sommati prima della quota.</w:t>
      </w:r>
    </w:p>
    <w:p>
      <w:pPr>
        <w:pStyle w:val="Didascalia"/>
      </w:pPr>
      <w:r>
        <w:rPr>
          <w:b/>
          <w:bCs/>
        </w:rPr>
        <w:t xml:space="preserve">Fonte:</w:t>
      </w:r>
      <w:r>
        <w:t xml:space="preserve"> </w:t>
      </w:r>
      <w:r>
        <w:t xml:space="preserve">ISTAT, Censimento permanente della popolazione, tavola istruzione, fascia 9-24 anni, 2018-2024. Elaborazione: notebooks/genere.ipynb (data/processed/genere_forbice_serie.csv e genere_istruzione.csv per i denominatori).</w:t>
      </w:r>
    </w:p>
    <w:p>
      <w:pPr>
        <w:pStyle w:val="Didascalia"/>
      </w:pPr>
      <w:r>
        <w:rPr>
          <w:i/>
          <w:iCs/>
        </w:rPr>
        <w:t xml:space="preserve">Figura</w:t>
      </w:r>
      <w:r>
        <w:t xml:space="preserve"> </w:t>
      </w:r>
      <w:r>
        <w:rPr>
          <w:rStyle w:val="VerbatimChar"/>
        </w:rPr>
        <w:t xml:space="preserve">fig05b_forbice_serie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viz/fig05b_forbice_serie.R</w:t>
      </w:r>
      <w:r>
        <w:rPr>
          <w:i/>
          <w:iCs/>
        </w:rPr>
        <w:t xml:space="preserve">.</w:t>
      </w:r>
    </w:p>
    <w:p>
      <w:pPr>
        <w:pStyle w:val="BodyText"/>
      </w:pPr>
      <w:r>
        <w:drawing>
          <wp:inline>
            <wp:extent cx="6108700" cy="4222950"/>
            <wp:effectExtent b="0" l="0" r="0" t="0"/>
            <wp:docPr descr="" title="" id="126" name="Picture"/>
            <a:graphic>
              <a:graphicData uri="http://schemas.openxmlformats.org/drawingml/2006/picture">
                <pic:pic>
                  <pic:nvPicPr>
                    <pic:cNvPr descr="/home/kiycoh/Documents/dev/datapolis-2026-hackathon/.docx-build/fig06_quadrante.png" id="127" name="Picture"/>
                    <pic:cNvPicPr>
                      <a:picLocks noChangeArrowheads="1" noChangeAspect="1"/>
                    </pic:cNvPicPr>
                  </pic:nvPicPr>
                  <pic:blipFill>
                    <a:blip r:embed="rId125"/>
                    <a:stretch>
                      <a:fillRect/>
                    </a:stretch>
                  </pic:blipFill>
                  <pic:spPr bwMode="auto">
                    <a:xfrm>
                      <a:off x="0" y="0"/>
                      <a:ext cx="6108700" cy="4222950"/>
                    </a:xfrm>
                    <a:prstGeom prst="rect">
                      <a:avLst/>
                    </a:prstGeom>
                    <a:noFill/>
                    <a:ln w="9525">
                      <a:noFill/>
                      <a:headEnd/>
                      <a:tailEnd/>
                    </a:ln>
                  </pic:spPr>
                </pic:pic>
              </a:graphicData>
            </a:graphic>
          </wp:inline>
        </w:drawing>
      </w:r>
    </w:p>
    <w:p>
      <w:pPr>
        <w:pStyle w:val="Didascalia"/>
      </w:pPr>
      <w:r>
        <w:rPr>
          <w:b/>
          <w:bCs/>
        </w:rPr>
        <w:t xml:space="preserve">Figura 27. Come si legge:</w:t>
      </w:r>
      <w:r>
        <w:t xml:space="preserve"> </w:t>
      </w:r>
      <w:r>
        <w:t xml:space="preserve">il pallino rosa è il valore femminile, quello blu il maschile. La freccia grigia parte dal punto maschile e arriva a quello femminile: quanto va verso destra è il vantaggio educativo delle ragazze, quanto scende è il loro svantaggio occupazionale. Una freccia che punta in basso a destra significa quindi «più istruite e meno occupate», ed è il verso che tutti e quattro i territori condividono. Il nome accanto alla punta identifica il territorio: qui i colori dicono il genere, non il territorio. Le due fasce degli assi non coincidono ma vivono sulla stessa popolazione, perché nessuno consegue un titolo prima dei 15 anni: i diplomati 9-24 sono i diplomati 15-24. Sull’asse orizzontale la fascia 9-24 include però bambini che non hanno ancora l’età del titolo, quindi il livello della quota va letto come posizione relativa e non come tasso di diplomati; il confronto fra generi e fra territori resta valido. Una sola annata, quindi la figura è una fotografia e non una tendenza: la serie sta in fig05b.</w:t>
      </w:r>
    </w:p>
    <w:p>
      <w:pPr>
        <w:pStyle w:val="Didascalia"/>
      </w:pPr>
      <w:r>
        <w:rPr>
          <w:b/>
          <w:bCs/>
        </w:rPr>
        <w:t xml:space="preserve">Fonte:</w:t>
      </w:r>
      <w:r>
        <w:t xml:space="preserve"> </w:t>
      </w:r>
      <w:r>
        <w:t xml:space="preserve">ISTAT, Censimento permanente della popolazione, tavola istruzione (fascia 9-24 anni) e tavola della condizione professionale (classe 15-24 anni), anno 2024. Il contesto regionale, cioè dove cade Bagheria nella distribuzione dei 390 comuni siciliani per occupazione femminile, sta in fig06b, che usa fascia e anni diversi e non va letta in serie con questa. Elaborazione: notebooks/genere.ipynb (data/processed/genere_quadrante.csv, con genere_platea.csv e genere_istruzione.csv per i denominatori).</w:t>
      </w:r>
    </w:p>
    <w:p>
      <w:pPr>
        <w:pStyle w:val="Didascalia"/>
      </w:pPr>
      <w:r>
        <w:rPr>
          <w:i/>
          <w:iCs/>
        </w:rPr>
        <w:t xml:space="preserve">Figura</w:t>
      </w:r>
      <w:r>
        <w:t xml:space="preserve"> </w:t>
      </w:r>
      <w:r>
        <w:rPr>
          <w:rStyle w:val="VerbatimChar"/>
        </w:rPr>
        <w:t xml:space="preserve">fig06_quadrante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viz/fig06_quadrante.R</w:t>
      </w:r>
      <w:r>
        <w:rPr>
          <w:i/>
          <w:iCs/>
        </w:rPr>
        <w:t xml:space="preserve">.</w:t>
      </w:r>
    </w:p>
    <w:p>
      <w:pPr>
        <w:pStyle w:val="BodyText"/>
      </w:pPr>
      <w:r>
        <w:drawing>
          <wp:inline>
            <wp:extent cx="6108700" cy="4209700"/>
            <wp:effectExtent b="0" l="0" r="0" t="0"/>
            <wp:docPr descr="" title="" id="129" name="Picture"/>
            <a:graphic>
              <a:graphicData uri="http://schemas.openxmlformats.org/drawingml/2006/picture">
                <pic:pic>
                  <pic:nvPicPr>
                    <pic:cNvPr descr="/home/kiycoh/Documents/dev/datapolis-2026-hackathon/.docx-build/fig06b_creste_390.png" id="130" name="Picture"/>
                    <pic:cNvPicPr>
                      <a:picLocks noChangeArrowheads="1" noChangeAspect="1"/>
                    </pic:cNvPicPr>
                  </pic:nvPicPr>
                  <pic:blipFill>
                    <a:blip r:embed="rId128"/>
                    <a:stretch>
                      <a:fillRect/>
                    </a:stretch>
                  </pic:blipFill>
                  <pic:spPr bwMode="auto">
                    <a:xfrm>
                      <a:off x="0" y="0"/>
                      <a:ext cx="6108700" cy="4209700"/>
                    </a:xfrm>
                    <a:prstGeom prst="rect">
                      <a:avLst/>
                    </a:prstGeom>
                    <a:noFill/>
                    <a:ln w="9525">
                      <a:noFill/>
                      <a:headEnd/>
                      <a:tailEnd/>
                    </a:ln>
                  </pic:spPr>
                </pic:pic>
              </a:graphicData>
            </a:graphic>
          </wp:inline>
        </w:drawing>
      </w:r>
    </w:p>
    <w:p>
      <w:pPr>
        <w:pStyle w:val="Didascalia"/>
      </w:pPr>
      <w:r>
        <w:rPr>
          <w:b/>
          <w:bCs/>
        </w:rPr>
        <w:t xml:space="preserve">Figura 28. Come si legge:</w:t>
      </w:r>
      <w:r>
        <w:t xml:space="preserve"> </w:t>
      </w:r>
      <w:r>
        <w:t xml:space="preserve">ogni curva grigia è un’annata, etichettata sull’asse verticale, e le annate sono impilate dal 2018 in basso al 2024 in alto. Dentro ogni curva ci sono due gambi verticali: quello scuro è la mediana regionale, quello vermiglio è Bagheria, con il suo percentile scritto a fianco. La distanza fra i due gambi è il finding, e resta la stessa per tutte le annate. La linea punteggiata verticale è il valore di Bagheria nel 2024 e attraversa tutta la pila: serve a vedere che cade ancora a sinistra della mediana siciliana del 2018. Le etichette «Bagheria» e «mediana siciliana» compaiono una volta sola, sulla curva in cima: sotto, i gambi si riconoscono dal colore. Le curve sono stime di densità per nucleo con banda unica, scelta con la regola di Silverman sul pool delle annate, quindi le differenze di forma sono del dato e non del lisciamento; ogni curva ha area 1 e la scala verticale è comune, quindi anche le altezze si confrontano fra annate. Le annate disegnate sono 6 e non sette perché il 2020 manca alla fonte, e il 2011 di 8milaCensus resta fuori perché è un’altra rilevazione: il confronto fra le due epoche sta in fig04 e fig04b, dove lo stacco è dichiarato.</w:t>
      </w:r>
    </w:p>
    <w:p>
      <w:pPr>
        <w:pStyle w:val="Didascalia"/>
      </w:pPr>
      <w:r>
        <w:rPr>
          <w:b/>
          <w:bCs/>
        </w:rPr>
        <w:t xml:space="preserve">Fonte:</w:t>
      </w:r>
      <w:r>
        <w:t xml:space="preserve"> </w:t>
      </w:r>
      <w:r>
        <w:t xml:space="preserve">ISTAT, Censimento permanente della popolazione, tavola della condizione professionale, popolazione di 15 anni e più, 390 comuni siciliani, 2018-2024. Fascia e anni sono diversi dalle serie 15-24 del thread: è contesto regionale, non un termine di paragone. Elaborazione: notebooks/genere.ipynb (data/processed/genere_creste_390.csv e genere_distribuzione_390.csv).</w:t>
      </w:r>
    </w:p>
    <w:p>
      <w:pPr>
        <w:pStyle w:val="Didascalia"/>
      </w:pPr>
      <w:r>
        <w:rPr>
          <w:i/>
          <w:iCs/>
        </w:rPr>
        <w:t xml:space="preserve">Figura</w:t>
      </w:r>
      <w:r>
        <w:t xml:space="preserve"> </w:t>
      </w:r>
      <w:r>
        <w:rPr>
          <w:rStyle w:val="VerbatimChar"/>
        </w:rPr>
        <w:t xml:space="preserve">fig06b_creste_390</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viz/fig06b_creste_390.R</w:t>
      </w:r>
      <w:r>
        <w:rPr>
          <w:i/>
          <w:iCs/>
        </w:rPr>
        <w:t xml:space="preserve">.</w:t>
      </w:r>
    </w:p>
    <w:p>
      <w:pPr>
        <w:pStyle w:val="BodyText"/>
      </w:pPr>
      <w:r>
        <w:drawing>
          <wp:inline>
            <wp:extent cx="6108700" cy="3561750"/>
            <wp:effectExtent b="0" l="0" r="0" t="0"/>
            <wp:docPr descr="" title="" id="132" name="Picture"/>
            <a:graphic>
              <a:graphicData uri="http://schemas.openxmlformats.org/drawingml/2006/picture">
                <pic:pic>
                  <pic:nvPicPr>
                    <pic:cNvPr descr="/home/kiycoh/Documents/dev/datapolis-2026-hackathon/.docx-build/fig07b_decennio.png" id="133" name="Picture"/>
                    <pic:cNvPicPr>
                      <a:picLocks noChangeArrowheads="1" noChangeAspect="1"/>
                    </pic:cNvPicPr>
                  </pic:nvPicPr>
                  <pic:blipFill>
                    <a:blip r:embed="rId131"/>
                    <a:stretch>
                      <a:fillRect/>
                    </a:stretch>
                  </pic:blipFill>
                  <pic:spPr bwMode="auto">
                    <a:xfrm>
                      <a:off x="0" y="0"/>
                      <a:ext cx="6108700" cy="3561750"/>
                    </a:xfrm>
                    <a:prstGeom prst="rect">
                      <a:avLst/>
                    </a:prstGeom>
                    <a:noFill/>
                    <a:ln w="9525">
                      <a:noFill/>
                      <a:headEnd/>
                      <a:tailEnd/>
                    </a:ln>
                  </pic:spPr>
                </pic:pic>
              </a:graphicData>
            </a:graphic>
          </wp:inline>
        </w:drawing>
      </w:r>
    </w:p>
    <w:p>
      <w:pPr>
        <w:pStyle w:val="Didascalia"/>
      </w:pPr>
      <w:r>
        <w:rPr>
          <w:b/>
          <w:bCs/>
        </w:rPr>
        <w:t xml:space="preserve">Figura 29. Come si legge:</w:t>
      </w:r>
      <w:r>
        <w:t xml:space="preserve"> </w:t>
      </w:r>
      <w:r>
        <w:t xml:space="preserve">la riga tratteggiata orizzontale a 100% è la coorte che si conserva: sopra è cresciuta, sotto si è ridotta. Ogni pannello è un genere e ogni linea un territorio, fra i due decenni: la pendenza della linea è il finding, non il livello. Bagheria è in vermiglio a tratto pieno perché è il soggetto, i tre riferimenti sono a tratto sottile. I valori in cifre sono stampati solo su Bagheria: con quattro etichette per estremo il pannello diventerebbe illeggibile. Il decennio 2011-2021 ha una gamba per rilevazione, perché il 2011 è censimento decennale e il 2021 censimento permanente: la distorsione nota va nel verso prudente, perché il censimento 2011 contò meno dell’anagrafe e sta quindi al denominatore del decennio che crolla e al numeratore di quello che tiene, e il divario fra i due decenni è una stima per difetto. Il controllo dentro la sola rilevazione permanente, sulla coorte che a inizio periodo ha 20-24 anni seguita per cinque anni (2018-2023 e 2019-2024), dà per le femmine di Bagheria 92,8% e 93,3% contro 101,9% e 102,2% dell’Italia, e per i maschi 89,2% e 91,8% contro 101,5% e 103,2%: la perdita all’uscita dal percorso formativo regge anche senza mescolare le due rilevazioni, ed è di entrambi i generi. Il vicinato non compare perché le classi quinquennali sono state scaricate solo per i quattro territori di confronto. Palermo è il controfattuale dichiarato del disegno di valutazione (notebook, sezione «Trend paralleli»).</w:t>
      </w:r>
    </w:p>
    <w:p>
      <w:pPr>
        <w:pStyle w:val="Didascalia"/>
      </w:pPr>
      <w:r>
        <w:rPr>
          <w:b/>
          <w:bCs/>
        </w:rPr>
        <w:t xml:space="preserve">Fonte:</w:t>
      </w:r>
      <w:r>
        <w:t xml:space="preserve"> </w:t>
      </w:r>
      <w:r>
        <w:t xml:space="preserve">ISTAT, classi quinquennali dei censimenti 2001 e 2011 e del Censimento permanente 2021 (il dataflow DF_DCSS_POP_DEMCITMIG_TV_1 le serve tutte e tre). Tutti i periodi disponibili, compresi quelli non disegnati, stanno in data/processed/genere_ritenzione_decennale.csv. Elaborazione: notebooks/genere.ipynb (data/processed/genere_ritenzione_decennale.csv).</w:t>
      </w:r>
    </w:p>
    <w:p>
      <w:pPr>
        <w:pStyle w:val="Didascalia"/>
      </w:pPr>
      <w:r>
        <w:rPr>
          <w:i/>
          <w:iCs/>
        </w:rPr>
        <w:t xml:space="preserve">Figura</w:t>
      </w:r>
      <w:r>
        <w:t xml:space="preserve"> </w:t>
      </w:r>
      <w:r>
        <w:rPr>
          <w:rStyle w:val="VerbatimChar"/>
        </w:rPr>
        <w:t xml:space="preserve">fig07b_decennio</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viz/fig07b_decennio.R</w:t>
      </w:r>
      <w:r>
        <w:rPr>
          <w:i/>
          <w:iCs/>
        </w:rPr>
        <w:t xml:space="preserve">.</w:t>
      </w:r>
    </w:p>
    <w:p>
      <w:pPr>
        <w:pStyle w:val="BodyText"/>
      </w:pPr>
      <w:r>
        <w:drawing>
          <wp:inline>
            <wp:extent cx="6108700" cy="3940793"/>
            <wp:effectExtent b="0" l="0" r="0" t="0"/>
            <wp:docPr descr="" title="" id="135" name="Picture"/>
            <a:graphic>
              <a:graphicData uri="http://schemas.openxmlformats.org/drawingml/2006/picture">
                <pic:pic>
                  <pic:nvPicPr>
                    <pic:cNvPr descr="/home/kiycoh/Documents/dev/datapolis-2026-hackathon/.docx-build/fig11b_attainment_18_24.png" id="136" name="Picture"/>
                    <pic:cNvPicPr>
                      <a:picLocks noChangeArrowheads="1" noChangeAspect="1"/>
                    </pic:cNvPicPr>
                  </pic:nvPicPr>
                  <pic:blipFill>
                    <a:blip r:embed="rId134"/>
                    <a:stretch>
                      <a:fillRect/>
                    </a:stretch>
                  </pic:blipFill>
                  <pic:spPr bwMode="auto">
                    <a:xfrm>
                      <a:off x="0" y="0"/>
                      <a:ext cx="6108700" cy="3940793"/>
                    </a:xfrm>
                    <a:prstGeom prst="rect">
                      <a:avLst/>
                    </a:prstGeom>
                    <a:noFill/>
                    <a:ln w="9525">
                      <a:noFill/>
                      <a:headEnd/>
                      <a:tailEnd/>
                    </a:ln>
                  </pic:spPr>
                </pic:pic>
              </a:graphicData>
            </a:graphic>
          </wp:inline>
        </w:drawing>
      </w:r>
    </w:p>
    <w:p>
      <w:pPr>
        <w:pStyle w:val="Didascalia"/>
      </w:pPr>
      <w:r>
        <w:rPr>
          <w:b/>
          <w:bCs/>
        </w:rPr>
        <w:t xml:space="preserve">Figura 30. Come si legge:</w:t>
      </w:r>
      <w:r>
        <w:t xml:space="preserve"> </w:t>
      </w:r>
      <w:r>
        <w:t xml:space="preserve">ogni riga è un territorio e il segmento grigio unisce i due generi: la sua lunghezza è il divario. Il pallino rosa è il valore femminile, quello blu il maschile, e la cifra accanto a ciascuno è il suo valore, stampata all’esterno per non coprire il pallino. L’ordine delle righe è geografico, dal comune al paese, non per valore. Il valore è un limite superiore e non una stima puntuale, perché qualche qualifica professionale si consegue a 17 anni: la quota vera è al più quella disegnata. La fascia 18-24 è diversa sia dalla classe 15-24 su cui stanno le altre figure del thread sia dalla fascia 9-24 della serie storica di fig05b: le tre misure vanno lette una per volta. Quante delle diplomate lavorino da qui non si ricava, perché l’incrocio fra titolo di studio e condizione professionale non è pubblicato a livello comunale. Vicinato = i cinque comuni più vicini per distanza fra i centroidi: conteggi sommati e poi le quote, non media delle cinque quote.</w:t>
      </w:r>
    </w:p>
    <w:p>
      <w:pPr>
        <w:pStyle w:val="Didascalia"/>
      </w:pPr>
      <w:r>
        <w:rPr>
          <w:b/>
          <w:bCs/>
        </w:rPr>
        <w:t xml:space="preserve">Fonte:</w:t>
      </w:r>
      <w:r>
        <w:t xml:space="preserve"> </w:t>
      </w:r>
      <w:r>
        <w:t xml:space="preserve">ISTAT, Censimento permanente della popolazione, tavola istruzione, anno 2024. Elaborazione: notebooks/genere.ipynb (data/processed/genere_per_1000.csv).</w:t>
      </w:r>
    </w:p>
    <w:p>
      <w:pPr>
        <w:pStyle w:val="Didascalia"/>
      </w:pPr>
      <w:r>
        <w:rPr>
          <w:i/>
          <w:iCs/>
        </w:rPr>
        <w:t xml:space="preserve">Figura</w:t>
      </w:r>
      <w:r>
        <w:t xml:space="preserve"> </w:t>
      </w:r>
      <w:r>
        <w:rPr>
          <w:rStyle w:val="VerbatimChar"/>
        </w:rPr>
        <w:t xml:space="preserve">fig11b_attainment_18_24</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viz/fig11b_attainment_18_24.R</w:t>
      </w:r>
      <w:r>
        <w:rPr>
          <w:i/>
          <w:iCs/>
        </w:rPr>
        <w:t xml:space="preserve">.</w:t>
      </w:r>
    </w:p>
    <w:p>
      <w:pPr>
        <w:pStyle w:val="BodyText"/>
      </w:pPr>
      <w:r>
        <w:drawing>
          <wp:inline>
            <wp:extent cx="6108700" cy="3559760"/>
            <wp:effectExtent b="0" l="0" r="0" t="0"/>
            <wp:docPr descr="" title="" id="138" name="Picture"/>
            <a:graphic>
              <a:graphicData uri="http://schemas.openxmlformats.org/drawingml/2006/picture">
                <pic:pic>
                  <pic:nvPicPr>
                    <pic:cNvPr descr="/home/kiycoh/Documents/dev/datapolis-2026-hackathon/.docx-build/fig13_tasso_occupazione_eta.png" id="139" name="Picture"/>
                    <pic:cNvPicPr>
                      <a:picLocks noChangeArrowheads="1" noChangeAspect="1"/>
                    </pic:cNvPicPr>
                  </pic:nvPicPr>
                  <pic:blipFill>
                    <a:blip r:embed="rId137"/>
                    <a:stretch>
                      <a:fillRect/>
                    </a:stretch>
                  </pic:blipFill>
                  <pic:spPr bwMode="auto">
                    <a:xfrm>
                      <a:off x="0" y="0"/>
                      <a:ext cx="6108700" cy="3559760"/>
                    </a:xfrm>
                    <a:prstGeom prst="rect">
                      <a:avLst/>
                    </a:prstGeom>
                    <a:noFill/>
                    <a:ln w="9525">
                      <a:noFill/>
                      <a:headEnd/>
                      <a:tailEnd/>
                    </a:ln>
                  </pic:spPr>
                </pic:pic>
              </a:graphicData>
            </a:graphic>
          </wp:inline>
        </w:drawing>
      </w:r>
    </w:p>
    <w:p>
      <w:pPr>
        <w:pStyle w:val="Didascalia"/>
      </w:pPr>
      <w:r>
        <w:rPr>
          <w:b/>
          <w:bCs/>
        </w:rPr>
        <w:t xml:space="preserve">Figura 31. Come si legge:</w:t>
      </w:r>
      <w:r>
        <w:t xml:space="preserve"> </w:t>
      </w:r>
      <w:r>
        <w:t xml:space="preserve">ogni pannello è una classe d’età, e la cifra nella sua intestazione è il divario di Bagheria rispetto alla Sicilia in punti percentuali nell’ultima annata. L’area vermiglio chiaro dentro ogni pannello è il cuneo fra Bagheria e la Sicilia: la sua altezza è la distanza fra le due linee, non un intervallo di confidenza. Bagheria è in vermiglio a tratto pieno perché è il soggetto, i tre riferimenti sono a tratto sottile. La striscia grigia verticale fra il 2019 e il 2021 occupa l’annata mancante: il 2020 manca alla fonte (sulla classe 15-24 non esiste nessuna riga, sulle altre solo il denominatore) e nessun valore è interpolato. Sull’asse orizzontale sono etichettate solo la prima annata, il 2021 e l’ultima, perché con quattro pannelli affiancati sei etichette si sovrappongono; le posizioni restano quelle di tutte le annate. Le quattro classi sono le uniche pubblicate a livello comunale dal censimento permanente: la fascia 15-34 del bando non è ricostruibile da qui, e il totale 15+ resta fuori perché somma le quattro classi invece di affiancarsi a loro.</w:t>
      </w:r>
    </w:p>
    <w:p>
      <w:pPr>
        <w:pStyle w:val="Didascalia"/>
      </w:pPr>
      <w:r>
        <w:rPr>
          <w:b/>
          <w:bCs/>
        </w:rPr>
        <w:t xml:space="preserve">Fonte:</w:t>
      </w:r>
      <w:r>
        <w:t xml:space="preserve"> </w:t>
      </w:r>
      <w:r>
        <w:t xml:space="preserve">ISTAT, Censimento permanente della popolazione, tavola della condizione professionale, 2018-2024. Elaborazione: pipeline/build.py (data/processed/tasso_occupazione_eta.csv, che contiene anche il dettaglio per genere).</w:t>
      </w:r>
    </w:p>
    <w:p>
      <w:pPr>
        <w:pStyle w:val="Didascalia"/>
      </w:pPr>
      <w:r>
        <w:rPr>
          <w:i/>
          <w:iCs/>
        </w:rPr>
        <w:t xml:space="preserve">Figura</w:t>
      </w:r>
      <w:r>
        <w:t xml:space="preserve"> </w:t>
      </w:r>
      <w:r>
        <w:rPr>
          <w:rStyle w:val="VerbatimChar"/>
        </w:rPr>
        <w:t xml:space="preserve">fig13_tasso_occupazione_eta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viz/fig13_tasso_occupazione_eta.R</w:t>
      </w:r>
      <w:r>
        <w:rPr>
          <w:i/>
          <w:iCs/>
        </w:rPr>
        <w:t xml:space="preserve">.</w:t>
      </w:r>
    </w:p>
    <w:p>
      <w:pPr>
        <w:pStyle w:val="BodyText"/>
      </w:pPr>
      <w:r>
        <w:drawing>
          <wp:inline>
            <wp:extent cx="6108700" cy="3989558"/>
            <wp:effectExtent b="0" l="0" r="0" t="0"/>
            <wp:docPr descr="" title="" id="141" name="Picture"/>
            <a:graphic>
              <a:graphicData uri="http://schemas.openxmlformats.org/drawingml/2006/picture">
                <pic:pic>
                  <pic:nvPicPr>
                    <pic:cNvPr descr="/home/kiycoh/Documents/dev/datapolis-2026-hackathon/.docx-build/fig13b_occupazione_eta_genere.png" id="142" name="Picture"/>
                    <pic:cNvPicPr>
                      <a:picLocks noChangeArrowheads="1" noChangeAspect="1"/>
                    </pic:cNvPicPr>
                  </pic:nvPicPr>
                  <pic:blipFill>
                    <a:blip r:embed="rId140"/>
                    <a:stretch>
                      <a:fillRect/>
                    </a:stretch>
                  </pic:blipFill>
                  <pic:spPr bwMode="auto">
                    <a:xfrm>
                      <a:off x="0" y="0"/>
                      <a:ext cx="6108700" cy="3989558"/>
                    </a:xfrm>
                    <a:prstGeom prst="rect">
                      <a:avLst/>
                    </a:prstGeom>
                    <a:noFill/>
                    <a:ln w="9525">
                      <a:noFill/>
                      <a:headEnd/>
                      <a:tailEnd/>
                    </a:ln>
                  </pic:spPr>
                </pic:pic>
              </a:graphicData>
            </a:graphic>
          </wp:inline>
        </w:drawing>
      </w:r>
    </w:p>
    <w:p>
      <w:pPr>
        <w:pStyle w:val="Didascalia"/>
      </w:pPr>
      <w:r>
        <w:rPr>
          <w:b/>
          <w:bCs/>
        </w:rPr>
        <w:t xml:space="preserve">Figura 32. Come si legge:</w:t>
      </w:r>
      <w:r>
        <w:t xml:space="preserve"> </w:t>
      </w:r>
      <w:r>
        <w:t xml:space="preserve">ci sono due codifiche indipendenti e vanno lette insieme: il colore è il genere (rosa le femmine, blu i maschi) e il tratto è il territorio (pieno Bagheria, tratteggiato Sicilia). Il rosa e il blu qui non stanno per un territorio, ed è la ragione per cui nessun territorio li usa nelle altre figure. Ogni pannello è una classe d’età, e la cifra nella sua intestazione è il divario fra maschi e femmine a Bagheria in punti percentuali nell’ultima annata. Il divario è dichiarato su due scale perché dicono cose diverse: in punti percentuali nell’intestazione di ogni pannello, in rapporto fra i due tassi nel sottotitolo, e il rapporto è la misura che non dipende dal livello generale della classe. La striscia grigia verticale fra il 2019 e il 2021 occupa l’annata mancante: il 2020 manca alla fonte e nessun valore è interpolato. Sull’asse orizzontale sono etichettate solo la prima annata, il 2021 e l’ultima; le posizioni restano quelle di tutte le annate.</w:t>
      </w:r>
    </w:p>
    <w:p>
      <w:pPr>
        <w:pStyle w:val="Didascalia"/>
      </w:pPr>
      <w:r>
        <w:rPr>
          <w:b/>
          <w:bCs/>
        </w:rPr>
        <w:t xml:space="preserve">Fonte:</w:t>
      </w:r>
      <w:r>
        <w:t xml:space="preserve"> </w:t>
      </w:r>
      <w:r>
        <w:t xml:space="preserve">ISTAT, Censimento permanente della popolazione, tavola della condizione professionale, 2018-2024. Elaborazione: pipeline/build.py (data/processed/tasso_occupazione_eta.csv; fig13 è la stessa tavola a generi uniti) e notebooks/genere.ipynb (data/processed/genere_dopo_25_scarti.csv).</w:t>
      </w:r>
    </w:p>
    <w:p>
      <w:pPr>
        <w:pStyle w:val="Didascalia"/>
      </w:pPr>
      <w:r>
        <w:rPr>
          <w:i/>
          <w:iCs/>
        </w:rPr>
        <w:t xml:space="preserve">Figura</w:t>
      </w:r>
      <w:r>
        <w:t xml:space="preserve"> </w:t>
      </w:r>
      <w:r>
        <w:rPr>
          <w:rStyle w:val="VerbatimChar"/>
        </w:rPr>
        <w:t xml:space="preserve">fig13b_occupazione_eta_genere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viz/fig13b_occupazione_eta_genere.R</w:t>
      </w:r>
      <w:r>
        <w:rPr>
          <w:i/>
          <w:iCs/>
        </w:rPr>
        <w:t xml:space="preserve">.</w:t>
      </w:r>
    </w:p>
    <w:p>
      <w:pPr>
        <w:pStyle w:val="BodyText"/>
      </w:pPr>
      <w:r>
        <w:drawing>
          <wp:inline>
            <wp:extent cx="6108700" cy="4983753"/>
            <wp:effectExtent b="0" l="0" r="0" t="0"/>
            <wp:docPr descr="" title="" id="144" name="Picture"/>
            <a:graphic>
              <a:graphicData uri="http://schemas.openxmlformats.org/drawingml/2006/picture">
                <pic:pic>
                  <pic:nvPicPr>
                    <pic:cNvPr descr="/home/kiycoh/Documents/dev/datapolis-2026-hackathon/.docx-build/fig14_titoli_eta_genere.png" id="145" name="Picture"/>
                    <pic:cNvPicPr>
                      <a:picLocks noChangeArrowheads="1" noChangeAspect="1"/>
                    </pic:cNvPicPr>
                  </pic:nvPicPr>
                  <pic:blipFill>
                    <a:blip r:embed="rId143"/>
                    <a:stretch>
                      <a:fillRect/>
                    </a:stretch>
                  </pic:blipFill>
                  <pic:spPr bwMode="auto">
                    <a:xfrm>
                      <a:off x="0" y="0"/>
                      <a:ext cx="6108700" cy="4983753"/>
                    </a:xfrm>
                    <a:prstGeom prst="rect">
                      <a:avLst/>
                    </a:prstGeom>
                    <a:noFill/>
                    <a:ln w="9525">
                      <a:noFill/>
                      <a:headEnd/>
                      <a:tailEnd/>
                    </a:ln>
                  </pic:spPr>
                </pic:pic>
              </a:graphicData>
            </a:graphic>
          </wp:inline>
        </w:drawing>
      </w:r>
    </w:p>
    <w:p>
      <w:pPr>
        <w:pStyle w:val="Didascalia"/>
      </w:pPr>
      <w:r>
        <w:rPr>
          <w:b/>
          <w:bCs/>
        </w:rPr>
        <w:t xml:space="preserve">Figura 33. Come si legge:</w:t>
      </w:r>
      <w:r>
        <w:t xml:space="preserve"> </w:t>
      </w:r>
      <w:r>
        <w:t xml:space="preserve">ogni riga è una classe d’età (in alto) o un territorio (in basso), e il segmento grigio unisce i due generi: la sua lunghezza è il divario. Il pallino rosa è il valore femminile, quello blu il maschile; in alto la cifra accanto a ciascuno è il suo valore, in basso è stampata solo per Bagheria, la riga su fondo chiaro. In basso il trattino nero è il valore di maschi e femmine insieme, ripetuto nella colonna a destra; le righe sono in ordine di quel valore sul diploma, e lo stesso ordine vale nel riquadro del terziario, dove quindi non è per valore. Tutti e quattro i riquadri hanno la stessa scala. Le due misure sono annidate: «almeno il diploma» comprende chi ha anche un titolo terziario, quindi non si sommano. Sul 9-24 il terziario è quasi nullo per costruzione, perché a 20 anni una laurea non può ancora esserci. Vicinato = i cinque comuni più vicini per distanza fra i centroidi, conteggi sommati prima delle quote. Fra Bagheria, Santa Flavia e Casteldaccia ci sono pochi punti, e i comuni che precedono Bagheria hanno in media circa 3.500 residenti della classe: l’ordine fra loro non è un risultato.</w:t>
      </w:r>
    </w:p>
    <w:p>
      <w:pPr>
        <w:pStyle w:val="Didascalia"/>
      </w:pPr>
      <w:r>
        <w:rPr>
          <w:b/>
          <w:bCs/>
        </w:rPr>
        <w:t xml:space="preserve">Fonte:</w:t>
      </w:r>
      <w:r>
        <w:t xml:space="preserve"> </w:t>
      </w:r>
      <w:r>
        <w:t xml:space="preserve">ISTAT, Censimento permanente della popolazione, tavola istruzione per classe d’età e genere, anno 2024. Elaborazione: notebooks/genere.ipynb (data/processed/genere_titoli_eta.csv).</w:t>
      </w:r>
    </w:p>
    <w:p>
      <w:pPr>
        <w:pStyle w:val="Didascalia"/>
      </w:pPr>
      <w:r>
        <w:rPr>
          <w:i/>
          <w:iCs/>
        </w:rPr>
        <w:t xml:space="preserve">Figura</w:t>
      </w:r>
      <w:r>
        <w:t xml:space="preserve"> </w:t>
      </w:r>
      <w:r>
        <w:rPr>
          <w:rStyle w:val="VerbatimChar"/>
        </w:rPr>
        <w:t xml:space="preserve">fig14_titoli_eta_genere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viz/fig14_titoli_eta_genere.R</w:t>
      </w:r>
      <w:r>
        <w:rPr>
          <w:i/>
          <w:iCs/>
        </w:rPr>
        <w:t xml:space="preserve">.</w:t>
      </w:r>
    </w:p>
    <w:p>
      <w:pPr>
        <w:pStyle w:val="BodyText"/>
      </w:pPr>
      <w:r>
        <w:drawing>
          <wp:inline>
            <wp:extent cx="6108700" cy="3420734"/>
            <wp:effectExtent b="0" l="0" r="0" t="0"/>
            <wp:docPr descr="" title="" id="147" name="Picture"/>
            <a:graphic>
              <a:graphicData uri="http://schemas.openxmlformats.org/drawingml/2006/picture">
                <pic:pic>
                  <pic:nvPicPr>
                    <pic:cNvPr descr="/home/kiycoh/Documents/dev/datapolis-2026-hackathon/.docx-build/edu_fig05_forbice_25_49.png" id="148" name="Picture"/>
                    <pic:cNvPicPr>
                      <a:picLocks noChangeArrowheads="1" noChangeAspect="1"/>
                    </pic:cNvPicPr>
                  </pic:nvPicPr>
                  <pic:blipFill>
                    <a:blip r:embed="rId146"/>
                    <a:stretch>
                      <a:fillRect/>
                    </a:stretch>
                  </pic:blipFill>
                  <pic:spPr bwMode="auto">
                    <a:xfrm>
                      <a:off x="0" y="0"/>
                      <a:ext cx="6108700" cy="3420734"/>
                    </a:xfrm>
                    <a:prstGeom prst="rect">
                      <a:avLst/>
                    </a:prstGeom>
                    <a:noFill/>
                    <a:ln w="9525">
                      <a:noFill/>
                      <a:headEnd/>
                      <a:tailEnd/>
                    </a:ln>
                  </pic:spPr>
                </pic:pic>
              </a:graphicData>
            </a:graphic>
          </wp:inline>
        </w:drawing>
      </w:r>
    </w:p>
    <w:p>
      <w:pPr>
        <w:pStyle w:val="Didascalia"/>
      </w:pPr>
      <w:r>
        <w:rPr>
          <w:b/>
          <w:bCs/>
        </w:rPr>
        <w:t xml:space="preserve">Figura 34. Come si legge:</w:t>
      </w:r>
      <w:r>
        <w:t xml:space="preserve"> </w:t>
      </w:r>
      <w:r>
        <w:t xml:space="preserve">in ogni pannello le due linee sono Bagheria e la Sicilia sullo stesso asse degli anni, quindi la distanza verticale fra le due in un’annata è il divario di quell’annata. La linea tratteggiata orizzontale porta il livello di Bagheria nel 2024 indietro nel tempo fino all’annata in cui la Sicilia lo aveva già raggiunto: la sua lunghezza è il ritardo in anni, ed è la quantità che il titolo enuncia. Il ritardo è letto sui punti osservati ed è una stima per difetto, perché il sorpasso vero è avvenuto prima, in un punto fra due rilevazioni che qui non si stima. I due pannelli hanno scale verticali proprie, perché misurano cose diverse: le altezze non vanno confrontate fra pannelli, solo le distanze dentro ciascuno. Il 2020 esiste nella tavola istruzione e manca in quella lavoro: nel pannello destro la linea è interrotta e nessun valore è interpolato, mentre l’asse resta lineare in entrambi perché i due pannelli devono restare allineati. L’incrocio fra titolo di studio e condizione professionale non esiste nei dati comunali pubblici: questa non è l’occupazione dei diplomati. La fascia 25-49 è quella dove le due tavole condividono l’età: è più larga del target 15-34 dell’hackathon e resta separata dalle serie 15-24 delle altre figure del thread.</w:t>
      </w:r>
    </w:p>
    <w:p>
      <w:pPr>
        <w:pStyle w:val="Didascalia"/>
      </w:pPr>
      <w:r>
        <w:rPr>
          <w:b/>
          <w:bCs/>
        </w:rPr>
        <w:t xml:space="preserve">Fonte:</w:t>
      </w:r>
      <w:r>
        <w:t xml:space="preserve"> </w:t>
      </w:r>
      <w:r>
        <w:t xml:space="preserve">ISTAT, Censimento permanente della popolazione, tavola istruzione e tavola della condizione professionale, classe 25-49 anni, 2018-2024. Elaborazione: pipeline/edu (thread educazione), data/processed/edu_gaps_vs_sicily.csv.</w:t>
      </w:r>
    </w:p>
    <w:p>
      <w:pPr>
        <w:pStyle w:val="Didascalia"/>
      </w:pPr>
      <w:r>
        <w:rPr>
          <w:i/>
          <w:iCs/>
        </w:rPr>
        <w:t xml:space="preserve">Figura</w:t>
      </w:r>
      <w:r>
        <w:t xml:space="preserve"> </w:t>
      </w:r>
      <w:r>
        <w:rPr>
          <w:rStyle w:val="VerbatimChar"/>
        </w:rPr>
        <w:t xml:space="preserve">edu_fig05_forbice_25_49</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viz/edu_fig05_forbice_25_49.R</w:t>
      </w:r>
      <w:r>
        <w:rPr>
          <w:i/>
          <w:iCs/>
        </w:rPr>
        <w:t xml:space="preserve">.</w:t>
      </w:r>
    </w:p>
    <w:p>
      <w:pPr>
        <w:pStyle w:val="BodyText"/>
      </w:pPr>
      <w:r>
        <w:drawing>
          <wp:inline>
            <wp:extent cx="6108700" cy="3714965"/>
            <wp:effectExtent b="0" l="0" r="0" t="0"/>
            <wp:docPr descr="" title="" id="150" name="Picture"/>
            <a:graphic>
              <a:graphicData uri="http://schemas.openxmlformats.org/drawingml/2006/picture">
                <pic:pic>
                  <pic:nvPicPr>
                    <pic:cNvPr descr="/home/kiycoh/Documents/dev/datapolis-2026-hackathon/.docx-build/edu_fig06_gap_sicilia.png" id="151" name="Picture"/>
                    <pic:cNvPicPr>
                      <a:picLocks noChangeArrowheads="1" noChangeAspect="1"/>
                    </pic:cNvPicPr>
                  </pic:nvPicPr>
                  <pic:blipFill>
                    <a:blip r:embed="rId149"/>
                    <a:stretch>
                      <a:fillRect/>
                    </a:stretch>
                  </pic:blipFill>
                  <pic:spPr bwMode="auto">
                    <a:xfrm>
                      <a:off x="0" y="0"/>
                      <a:ext cx="6108700" cy="3714965"/>
                    </a:xfrm>
                    <a:prstGeom prst="rect">
                      <a:avLst/>
                    </a:prstGeom>
                    <a:noFill/>
                    <a:ln w="9525">
                      <a:noFill/>
                      <a:headEnd/>
                      <a:tailEnd/>
                    </a:ln>
                  </pic:spPr>
                </pic:pic>
              </a:graphicData>
            </a:graphic>
          </wp:inline>
        </w:drawing>
      </w:r>
    </w:p>
    <w:p>
      <w:pPr>
        <w:pStyle w:val="Didascalia"/>
      </w:pPr>
      <w:r>
        <w:rPr>
          <w:b/>
          <w:bCs/>
        </w:rPr>
        <w:t xml:space="preserve">Figura 35. Come si legge:</w:t>
      </w:r>
      <w:r>
        <w:t xml:space="preserve"> </w:t>
      </w:r>
      <w:r>
        <w:t xml:space="preserve">la riga orizzontale allo zero è la parità con la Sicilia, e la distanza di ogni punto da quella riga è il divario di quell’annata. Il verso favorevole cambia da misura a misura, e va letto insieme al nome: per l’occupazione un divario negativo è sfavorevole a Bagheria, mentre per gli inattivi non studenti e per l’area fuori da lavoro e studio è sfavorevole un divario positivo. La striscia grigia verticale occupa l’annata mancante: dove c’è la striscia non c’è misura, e il 2020 non è interpolato. Fra il 2019 e il 2021 il censimento permanente cambia la definizione di «in cerca di occupazione»: è la ragione per cui la figura si limita alle differenze.</w:t>
      </w:r>
    </w:p>
    <w:p>
      <w:pPr>
        <w:pStyle w:val="Didascalia"/>
      </w:pPr>
      <w:r>
        <w:rPr>
          <w:b/>
          <w:bCs/>
        </w:rPr>
        <w:t xml:space="preserve">Fonte:</w:t>
      </w:r>
      <w:r>
        <w:t xml:space="preserve"> </w:t>
      </w:r>
      <w:r>
        <w:t xml:space="preserve">ISTAT, Censimento permanente della popolazione, tavola della condizione professionale, classe 15-24 anni, 2018-2024 (5.904 residenti a Bagheria e 508.999 in Sicilia nell’ultima annata). Elaborazione: pipeline/edu (thread educazione), data/processed/edu_gaps_vs_sicily.csv (con edu_youth_states_2018_2024.csv per i denominatori).</w:t>
      </w:r>
    </w:p>
    <w:p>
      <w:pPr>
        <w:pStyle w:val="Didascalia"/>
      </w:pPr>
      <w:r>
        <w:rPr>
          <w:i/>
          <w:iCs/>
        </w:rPr>
        <w:t xml:space="preserve">Figura</w:t>
      </w:r>
      <w:r>
        <w:t xml:space="preserve"> </w:t>
      </w:r>
      <w:r>
        <w:rPr>
          <w:rStyle w:val="VerbatimChar"/>
        </w:rPr>
        <w:t xml:space="preserve">edu_fig06_gap_sicilia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viz/edu_fig06_gap_sicilia.R</w:t>
      </w:r>
      <w:r>
        <w:rPr>
          <w:i/>
          <w:iCs/>
        </w:rPr>
        <w:t xml:space="preserve">.</w:t>
      </w:r>
    </w:p>
    <w:p>
      <w:pPr>
        <w:pStyle w:val="BodyText"/>
      </w:pPr>
      <w:r>
        <w:drawing>
          <wp:inline>
            <wp:extent cx="6108700" cy="4113983"/>
            <wp:effectExtent b="0" l="0" r="0" t="0"/>
            <wp:docPr descr="" title="" id="153" name="Picture"/>
            <a:graphic>
              <a:graphicData uri="http://schemas.openxmlformats.org/drawingml/2006/picture">
                <pic:pic>
                  <pic:nvPicPr>
                    <pic:cNvPr descr="/home/kiycoh/Documents/dev/datapolis-2026-hackathon/.docx-build/edu_fig07_pari_2011.png" id="154" name="Picture"/>
                    <pic:cNvPicPr>
                      <a:picLocks noChangeArrowheads="1" noChangeAspect="1"/>
                    </pic:cNvPicPr>
                  </pic:nvPicPr>
                  <pic:blipFill>
                    <a:blip r:embed="rId152"/>
                    <a:stretch>
                      <a:fillRect/>
                    </a:stretch>
                  </pic:blipFill>
                  <pic:spPr bwMode="auto">
                    <a:xfrm>
                      <a:off x="0" y="0"/>
                      <a:ext cx="6108700" cy="4113983"/>
                    </a:xfrm>
                    <a:prstGeom prst="rect">
                      <a:avLst/>
                    </a:prstGeom>
                    <a:noFill/>
                    <a:ln w="9525">
                      <a:noFill/>
                      <a:headEnd/>
                      <a:tailEnd/>
                    </a:ln>
                  </pic:spPr>
                </pic:pic>
              </a:graphicData>
            </a:graphic>
          </wp:inline>
        </w:drawing>
      </w:r>
    </w:p>
    <w:p>
      <w:pPr>
        <w:pStyle w:val="Didascalia"/>
      </w:pPr>
      <w:r>
        <w:rPr>
          <w:b/>
          <w:bCs/>
        </w:rPr>
        <w:t xml:space="preserve">Figura 36. Come si legge:</w:t>
      </w:r>
      <w:r>
        <w:t xml:space="preserve"> </w:t>
      </w:r>
      <w:r>
        <w:t xml:space="preserve">ogni pallino grigio è uno dei 10 comuni pari, il pallino vermiglio è Bagheria e la tacca scura è la mediana dei soli pari, con Bagheria esclusa dal calcolo. Lo scarto citato nel sottotitolo è in punti favorevoli: è il valore di Bagheria meno la mediana dei pari dove salire è meglio, e l’opposto dove salire è peggio, quindi un valore negativo significa sempre che Bagheria sta peggio. Le righe hanno basi diverse e fasce d’età diverse, scritte in ogni riga: si confronta la posizione dentro ciascuna nuvola, non la lunghezza di una riga contro quella di un’altra. Con 10 osservazioni conta la dispersione più della graduatoria: la figura mostra dove cade Bagheria dentro la nuvola, non che posto occupa. I pari sono i comuni siciliani più vicini a Bagheria entro un caliper di popolazione, appaiati su struttura demografica, abitativa ed educativa, e gli esiti (occupazione 15-29 e NEET 15-29) restano fuori dalla distanza di appaiamento: è ciò che rende la loro posizione informativa. Resta un confronto descrittivo fra territori e mai causale: comuni simili su alcune variabili osservabili non sono un controllo sperimentale.</w:t>
      </w:r>
    </w:p>
    <w:p>
      <w:pPr>
        <w:pStyle w:val="Didascalia"/>
      </w:pPr>
      <w:r>
        <w:rPr>
          <w:b/>
          <w:bCs/>
        </w:rPr>
        <w:t xml:space="preserve">Fonte:</w:t>
      </w:r>
      <w:r>
        <w:t xml:space="preserve"> </w:t>
      </w:r>
      <w:r>
        <w:t xml:space="preserve">ISTAT, 8milaCensus, censimento 2011. Anno e fasce sono diversi dalle serie 2018-2024 delle altre figure del thread: è il gruppo di controllo storico, non un termine di paragone con il censimento permanente. Elaborazione: pipeline/edu (thread educazione), data/processed/edu_matched_peers_2011.csv.</w:t>
      </w:r>
    </w:p>
    <w:p>
      <w:pPr>
        <w:pStyle w:val="Didascalia"/>
      </w:pPr>
      <w:r>
        <w:rPr>
          <w:i/>
          <w:iCs/>
        </w:rPr>
        <w:t xml:space="preserve">Figura</w:t>
      </w:r>
      <w:r>
        <w:t xml:space="preserve"> </w:t>
      </w:r>
      <w:r>
        <w:rPr>
          <w:rStyle w:val="VerbatimChar"/>
        </w:rPr>
        <w:t xml:space="preserve">edu_fig07_pari_2011</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viz/edu_fig07_pari_2011.R</w:t>
      </w:r>
      <w:r>
        <w:rPr>
          <w:i/>
          <w:iCs/>
        </w:rPr>
        <w:t xml:space="preserve">.</w:t>
      </w:r>
    </w:p>
    <w:p>
      <w:pPr>
        <w:pStyle w:val="BodyText"/>
      </w:pPr>
      <w:r>
        <w:drawing>
          <wp:inline>
            <wp:extent cx="6108700" cy="4547813"/>
            <wp:effectExtent b="0" l="0" r="0" t="0"/>
            <wp:docPr descr="" title="" id="156" name="Picture"/>
            <a:graphic>
              <a:graphicData uri="http://schemas.openxmlformats.org/drawingml/2006/picture">
                <pic:pic>
                  <pic:nvPicPr>
                    <pic:cNvPr descr="/home/kiycoh/Documents/dev/datapolis-2026-hackathon/.docx-build/edu_fig09_appendice_modelli.png" id="157" name="Picture"/>
                    <pic:cNvPicPr>
                      <a:picLocks noChangeArrowheads="1" noChangeAspect="1"/>
                    </pic:cNvPicPr>
                  </pic:nvPicPr>
                  <pic:blipFill>
                    <a:blip r:embed="rId155"/>
                    <a:stretch>
                      <a:fillRect/>
                    </a:stretch>
                  </pic:blipFill>
                  <pic:spPr bwMode="auto">
                    <a:xfrm>
                      <a:off x="0" y="0"/>
                      <a:ext cx="6108700" cy="4547813"/>
                    </a:xfrm>
                    <a:prstGeom prst="rect">
                      <a:avLst/>
                    </a:prstGeom>
                    <a:noFill/>
                    <a:ln w="9525">
                      <a:noFill/>
                      <a:headEnd/>
                      <a:tailEnd/>
                    </a:ln>
                  </pic:spPr>
                </pic:pic>
              </a:graphicData>
            </a:graphic>
          </wp:inline>
        </w:drawing>
      </w:r>
    </w:p>
    <w:p>
      <w:pPr>
        <w:pStyle w:val="Didascalia"/>
      </w:pPr>
      <w:r>
        <w:rPr>
          <w:b/>
          <w:bCs/>
        </w:rPr>
        <w:t xml:space="preserve">Figura 37. Come si legge:</w:t>
      </w:r>
      <w:r>
        <w:t xml:space="preserve"> </w:t>
      </w:r>
      <w:r>
        <w:t xml:space="preserve">nel pannello di sinistra ogni riga è una specifica e la barra orizzontale è l’intervallo di confidenza bootstrap al 95% del residuo: che nessun intervallo tocchi lo zero significa che lo scarto è nella stessa direzione in tutte le specifiche. Il residuo è in punti favorevoli, cioè osservato meno previsto dove salire è meglio (occupazione) e il segno opposto dove salire è peggio (NEET); gli estremi dell’intervallo si ribaltano e si scambiano insieme al residuo, così il basso resta il basso. Nel pannello di destra il pallino pieno segnala un modello con capacità predittiva positiva, il pallino vuoto un modello che sui dati non visti fa peggio della semplice media: davanti a un pallino vuoto il residuo della riga corrispondente si legge solo come segno, mai come misura. La riga verticale allo zero separa i due casi, e la misura è l’R quadro in validazione incrociata a 10 falde: quando è negativo il modello non è «poco preciso», è senza contenuto predittivo. Le tre specifiche aggiungono variabili una sull’altra (istruzione, poi mobilità, poi contesto territoriale) e non sono modelli alternativi da mettere in gara: servono a vedere se il segno del residuo sopravvive a specifiche diverse. Sono regressioni ecologiche fra comuni e mai causali: il residuo dice che Bagheria si discosta dai comuni con tratti simili, non che un tratto produca l’esito.</w:t>
      </w:r>
    </w:p>
    <w:p>
      <w:pPr>
        <w:pStyle w:val="Didascalia"/>
      </w:pPr>
      <w:r>
        <w:rPr>
          <w:b/>
          <w:bCs/>
        </w:rPr>
        <w:t xml:space="preserve">Fonte:</w:t>
      </w:r>
      <w:r>
        <w:t xml:space="preserve"> </w:t>
      </w:r>
      <w:r>
        <w:t xml:space="preserve">ISTAT, 8milaCensus, censimento 2011. Elaborazione: pipeline/edu (thread educazione), data/processed/edu_model_robustness_2011.csv e edu_historical_bagheria.csv.</w:t>
      </w:r>
    </w:p>
    <w:p>
      <w:pPr>
        <w:pStyle w:val="Didascalia"/>
      </w:pPr>
      <w:r>
        <w:rPr>
          <w:i/>
          <w:iCs/>
        </w:rPr>
        <w:t xml:space="preserve">Figura</w:t>
      </w:r>
      <w:r>
        <w:t xml:space="preserve"> </w:t>
      </w:r>
      <w:r>
        <w:rPr>
          <w:rStyle w:val="VerbatimChar"/>
        </w:rPr>
        <w:t xml:space="preserve">edu_fig09_appendice_modelli</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viz/edu_fig09_appendice_modelli.R</w:t>
      </w:r>
      <w:r>
        <w:rPr>
          <w:i/>
          <w:iCs/>
        </w:rPr>
        <w:t xml:space="preserve">.</w:t>
      </w:r>
    </w:p>
    <w:p>
      <w:pPr>
        <w:pStyle w:val="BodyText"/>
      </w:pPr>
      <w:r>
        <w:drawing>
          <wp:inline>
            <wp:extent cx="6108700" cy="4532031"/>
            <wp:effectExtent b="0" l="0" r="0" t="0"/>
            <wp:docPr descr="" title="" id="159" name="Picture"/>
            <a:graphic>
              <a:graphicData uri="http://schemas.openxmlformats.org/drawingml/2006/picture">
                <pic:pic>
                  <pic:nvPicPr>
                    <pic:cNvPr descr="/home/kiycoh/Documents/dev/datapolis-2026-hackathon/.docx-build/edu_fig10_appendice_mobilita.png" id="160" name="Picture"/>
                    <pic:cNvPicPr>
                      <a:picLocks noChangeArrowheads="1" noChangeAspect="1"/>
                    </pic:cNvPicPr>
                  </pic:nvPicPr>
                  <pic:blipFill>
                    <a:blip r:embed="rId158"/>
                    <a:stretch>
                      <a:fillRect/>
                    </a:stretch>
                  </pic:blipFill>
                  <pic:spPr bwMode="auto">
                    <a:xfrm>
                      <a:off x="0" y="0"/>
                      <a:ext cx="6108700" cy="4532031"/>
                    </a:xfrm>
                    <a:prstGeom prst="rect">
                      <a:avLst/>
                    </a:prstGeom>
                    <a:noFill/>
                    <a:ln w="9525">
                      <a:noFill/>
                      <a:headEnd/>
                      <a:tailEnd/>
                    </a:ln>
                  </pic:spPr>
                </pic:pic>
              </a:graphicData>
            </a:graphic>
          </wp:inline>
        </w:drawing>
      </w:r>
    </w:p>
    <w:p>
      <w:pPr>
        <w:pStyle w:val="Didascalia"/>
      </w:pPr>
      <w:r>
        <w:rPr>
          <w:b/>
          <w:bCs/>
        </w:rPr>
        <w:t xml:space="preserve">Figura 38. Come si legge:</w:t>
      </w:r>
      <w:r>
        <w:t xml:space="preserve"> </w:t>
      </w:r>
      <w:r>
        <w:t xml:space="preserve">nel pannello di sinistra ogni riga è un territorio e i due pallini sono i due motivi dello spostamento: la loro distanza descrive quel territorio, non un divario fra lavoro e studio, perché i pendolari per lavoro e quelli per studio sono due popolazioni distinte. Il confronto legittimo è quindi fra territori sullo stesso motivo. Nei pannelli di destra ogni pannello ha il suo asse perché i due indicatori non condividono il denominatore (M2 rapporta chi esce dal comune alla popolazione fino a 64 anni, M6 rapporta chi usa il mezzo collettivo ai soli residenti che si spostano ogni giorno): le due altezze non vanno confrontate a occhio. Bagheria è in vermiglio, gli altri territori restano in grigio o nei colori che portano in tutta la cartella. Palermo compare a valori bassissimi per costruzione e non per merito: è il capoluogo del proprio bacino, quindi i suoi residenti trovano lavoro e scuole dentro il comune. La destinazione non è nel dato: la tavola distingue solo «stesso comune» e «altro comune», e nessun numero di questa figura dice quante persone vanno a Palermo. Il feed GTFS disponibile (AMAT Palermo S.p.A., 20260727-20260831: 71 linee, 1.653 fermate) descrive la rete urbana di Palermo e non include il tratto Bagheria-Palermo, quindi nessun risultato ne dipende. La mobilità resta contesto: nel pilota può entrare solo come barriera registrata caso per caso e testata su uno specifico sottogruppo, mai come causa identificata del divario occupazionale.</w:t>
      </w:r>
    </w:p>
    <w:p>
      <w:pPr>
        <w:pStyle w:val="Didascalia"/>
      </w:pPr>
      <w:r>
        <w:rPr>
          <w:b/>
          <w:bCs/>
        </w:rPr>
        <w:t xml:space="preserve">Fonte:</w:t>
      </w:r>
      <w:r>
        <w:t xml:space="preserve"> </w:t>
      </w:r>
      <w:r>
        <w:t xml:space="preserve">ISTAT, Censimento permanente della popolazione, tavola del pendolarismo giornaliero, 2019 (pannello sinistro), e ISTAT, 8milaCensus, censimento 2011 (pannelli destri). Elaborazione: pipeline/edu (thread educazione), data/processed/edu_census_commuting_long.csv, edu_commuting_appendix.csv, edu_indicator_dictionary.csv e edu_palermo_gtfs_summary.csv.</w:t>
      </w:r>
    </w:p>
    <w:p>
      <w:pPr>
        <w:pStyle w:val="Didascalia"/>
      </w:pPr>
      <w:r>
        <w:rPr>
          <w:i/>
          <w:iCs/>
        </w:rPr>
        <w:t xml:space="preserve">Figura</w:t>
      </w:r>
      <w:r>
        <w:t xml:space="preserve"> </w:t>
      </w:r>
      <w:r>
        <w:rPr>
          <w:rStyle w:val="VerbatimChar"/>
        </w:rPr>
        <w:t xml:space="preserve">edu_fig10_appendice_mobilita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viz/edu_fig10_appendice_mobilita.R</w:t>
      </w:r>
      <w:r>
        <w:rPr>
          <w:i/>
          <w:iCs/>
        </w:rPr>
        <w:t xml:space="preserve">.</w:t>
      </w:r>
    </w:p>
    <w:bookmarkEnd w:id="161"/>
    <w:sectPr>
      <w:footerReference r:id="rIdPieDiPagina" w:type="default"/>
      <w:footnotePr>
        <w:numRestart w:val="eachSect"/>
      </w:footnotePr>
      <w:pgSz w:h="16838" w:w="11906"/>
      <w:pgMar w:bottom="1418" w:footer="709" w:gutter="0" w:header="709" w:left="1134"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spacing w:before="0" w:after="0"/>
      <w:jc w:val="center"/>
    </w:pPr>
    <w:r>
      <w:rPr>
        <w:sz w:val="18"/>
      </w:rPr>
      <w:t xml:space="preserve">- </w:t>
    </w:r>
    <w:r>
      <w:fldChar w:fldCharType="begin"/>
    </w:r>
    <w:r>
      <w:instrText xml:space="preserve"> PAGE </w:instrText>
    </w:r>
    <w:r>
      <w:fldChar w:fldCharType="separate"/>
    </w:r>
    <w:r>
      <w:rPr>
        <w:sz w:val="18"/>
      </w:rPr>
      <w:t>1</w:t>
    </w:r>
    <w:r>
      <w:fldChar w:fldCharType="end"/>
    </w:r>
    <w:r>
      <w:rPr>
        <w:sz w:val="18"/>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011">
    <w:nsid w:val="A99412011"/>
    <w:multiLevelType w:val="multilevel"/>
    <w:lvl w:ilvl="0">
      <w:start w:val="2011"/>
      <w:numFmt w:val="decimal"/>
      <w:lvlText w:val="%1."/>
      <w:lvlJc w:val="left"/>
      <w:pPr>
        <w:ind w:left="720" w:hanging="360"/>
      </w:pPr>
    </w:lvl>
    <w:lvl w:ilvl="1">
      <w:start w:val="2011"/>
      <w:numFmt w:val="decimal"/>
      <w:lvlText w:val="%2."/>
      <w:lvlJc w:val="left"/>
      <w:pPr>
        <w:ind w:left="1440" w:hanging="360"/>
      </w:pPr>
    </w:lvl>
    <w:lvl w:ilvl="2">
      <w:start w:val="2011"/>
      <w:numFmt w:val="decimal"/>
      <w:lvlText w:val="%3."/>
      <w:lvlJc w:val="left"/>
      <w:pPr>
        <w:ind w:left="2160" w:hanging="360"/>
      </w:pPr>
    </w:lvl>
    <w:lvl w:ilvl="3">
      <w:start w:val="2011"/>
      <w:numFmt w:val="decimal"/>
      <w:lvlText w:val="%4."/>
      <w:lvlJc w:val="left"/>
      <w:pPr>
        <w:ind w:left="2880" w:hanging="360"/>
      </w:pPr>
    </w:lvl>
    <w:lvl w:ilvl="4">
      <w:start w:val="2011"/>
      <w:numFmt w:val="decimal"/>
      <w:lvlText w:val="%5."/>
      <w:lvlJc w:val="left"/>
      <w:pPr>
        <w:ind w:left="3600" w:hanging="360"/>
      </w:pPr>
    </w:lvl>
    <w:lvl w:ilvl="5">
      <w:start w:val="2011"/>
      <w:numFmt w:val="decimal"/>
      <w:lvlText w:val="%6."/>
      <w:lvlJc w:val="left"/>
      <w:pPr>
        <w:ind w:left="4320" w:hanging="360"/>
      </w:pPr>
    </w:lvl>
    <w:lvl w:ilvl="6">
      <w:start w:val="2011"/>
      <w:numFmt w:val="decimal"/>
      <w:lvlText w:val="%7."/>
      <w:lvlJc w:val="left"/>
      <w:pPr>
        <w:ind w:left="5040" w:hanging="360"/>
      </w:pPr>
    </w:lvl>
    <w:lvl w:ilvl="7">
      <w:start w:val="2011"/>
      <w:numFmt w:val="decimal"/>
      <w:lvlText w:val="%8."/>
      <w:lvlJc w:val="left"/>
      <w:pPr>
        <w:ind w:left="5760" w:hanging="360"/>
      </w:pPr>
    </w:lvl>
    <w:lvl w:ilvl="8">
      <w:start w:val="201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2011"/>
    <w:lvlOverride w:ilvl="0">
      <w:startOverride w:val="2011"/>
    </w:lvlOverride>
    <w:lvlOverride w:ilvl="1">
      <w:startOverride w:val="2011"/>
    </w:lvlOverride>
    <w:lvlOverride w:ilvl="2">
      <w:startOverride w:val="2011"/>
    </w:lvlOverride>
    <w:lvlOverride w:ilvl="3">
      <w:startOverride w:val="2011"/>
    </w:lvlOverride>
    <w:lvlOverride w:ilvl="4">
      <w:startOverride w:val="2011"/>
    </w:lvlOverride>
    <w:lvlOverride w:ilvl="5">
      <w:startOverride w:val="2011"/>
    </w:lvlOverride>
    <w:lvlOverride w:ilvl="6">
      <w:startOverride w:val="2011"/>
    </w:lvlOverride>
    <w:lvlOverride w:ilvl="7">
      <w:startOverride w:val="2011"/>
    </w:lvlOverride>
    <w:lvlOverride w:ilvl="8">
      <w:startOverride w:val="201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it-IT"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50" w:before="0" w:line="252"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Didascalia" w:type="paragraph">
    <w:name w:val="Didascalia"/>
    <w:basedOn w:val="Normal"/>
    <w:qFormat/>
    <w:pPr>
      <w:spacing w:after="60" w:before="60" w:line="230" w:lineRule="auto"/>
      <w:ind w:left="284" w:right="284"/>
      <w:jc w:val="both"/>
    </w:pPr>
    <w:rPr>
      <w:sz w:val="17"/>
      <w:szCs w:val="17"/>
      <w:color w:val="1F1F1F"/>
    </w:rPr>
  </w:style>
  <w:style w:customStyle="1" w:styleId="TitoloFigura" w:type="paragraph">
    <w:name w:val="Titolo figura"/>
    <w:basedOn w:val="Normal"/>
    <w:next w:val="Didascalia"/>
    <w:qFormat/>
    <w:pPr>
      <w:keepNext/>
      <w:spacing w:after="40" w:before="120"/>
      <w:ind w:left="284" w:right="284"/>
    </w:pPr>
    <w:rPr>
      <w:sz w:val="19"/>
      <w:szCs w:val="19"/>
    </w:rPr>
  </w:style>
  <w:style w:customStyle="1" w:styleId="Copertina" w:type="paragraph">
    <w:name w:val="Copertina"/>
    <w:basedOn w:val="Normal"/>
    <w:qFormat/>
    <w:pPr>
      <w:spacing w:after="140" w:before="0"/>
      <w:jc w:val="center"/>
    </w:pPr>
  </w:style>
  <w:style w:customStyle="1" w:styleId="CopertinaTitolo" w:type="paragraph">
    <w:name w:val="Copertina titolo"/>
    <w:basedOn w:val="Copertina"/>
    <w:qFormat/>
    <w:pPr>
      <w:spacing w:after="160" w:before="360"/>
      <w:jc w:val="center"/>
    </w:pPr>
    <w:rPr>
      <w:b/>
      <w:sz w:val="48"/>
      <w:szCs w:val="48"/>
    </w:rPr>
  </w:style>
  <w:style w:customStyle="1" w:styleId="CopertinaSottotitolo" w:type="paragraph">
    <w:name w:val="Copertina sottotitolo"/>
    <w:basedOn w:val="Copertina"/>
    <w:qFormat/>
    <w:pPr>
      <w:spacing w:after="400" w:before="0"/>
      <w:jc w:val="center"/>
    </w:pPr>
    <w:rPr>
      <w:sz w:val="28"/>
      <w:szCs w:val="28"/>
    </w:rPr>
  </w:style>
  <w:style w:customStyle="1" w:styleId="IndiceUno" w:type="paragraph">
    <w:name w:val="Indice uno"/>
    <w:basedOn w:val="Normal"/>
    <w:qFormat/>
    <w:pPr>
      <w:spacing w:after="20" w:before="140"/>
      <w:jc w:val="left"/>
    </w:pPr>
    <w:rPr>
      <w:b/>
    </w:rPr>
  </w:style>
  <w:style w:customStyle="1" w:styleId="IndiceDue" w:type="paragraph">
    <w:name w:val="Indice due"/>
    <w:basedOn w:val="Normal"/>
    <w:qFormat/>
    <w:pPr>
      <w:spacing w:after="20" w:before="0"/>
      <w:ind w:left="454"/>
      <w:jc w:val="left"/>
    </w:pPr>
    <w:rPr>
      <w:sz w:val="21"/>
      <w:szCs w:val="21"/>
    </w:rPr>
  </w:style>
  <w:style w:customStyle="1" w:styleId="CopertinaAutori" w:type="paragraph">
    <w:name w:val="Copertina autori"/>
    <w:basedOn w:val="Copertina"/>
    <w:qFormat/>
    <w:pPr>
      <w:spacing w:after="360" w:before="0"/>
      <w:jc w:val="center"/>
    </w:pPr>
    <w:rPr>
      <w:b/>
      <w:sz w:val="26"/>
      <w:szCs w:val="26"/>
    </w:rPr>
  </w:style>
  <w:style w:customStyle="1" w:styleId="CopertinaEnte" w:type="paragraph">
    <w:name w:val="Copertina ente"/>
    <w:basedOn w:val="Copertina"/>
    <w:qFormat/>
    <w:pPr>
      <w:spacing w:after="0" w:before="600"/>
      <w:jc w:val="center"/>
    </w:pPr>
    <w:rPr>
      <w:b/>
      <w:caps/>
      <w:sz w:val="22"/>
      <w:szCs w:val="22"/>
    </w:rPr>
  </w:style>
  <w:style w:type="paragraph" w:customStyle="1" w:styleId="CopertinaAutori">
    <w:name w:val="CopertinaAutori"/>
    <w:basedOn w:val="BodyText"/>
    <w:qFormat/>
  </w:style>
  <w:style w:type="paragraph" w:customStyle="1" w:styleId="CopertinaEnte">
    <w:name w:val="CopertinaEnte"/>
    <w:basedOn w:val="BodyText"/>
    <w:qFormat/>
  </w:style>
  <w:style w:type="paragraph" w:customStyle="1" w:styleId="CopertinaSottotitolo">
    <w:name w:val="CopertinaSottotitolo"/>
    <w:basedOn w:val="BodyText"/>
    <w:qFormat/>
  </w:style>
  <w:style w:type="paragraph" w:customStyle="1" w:styleId="CopertinaTitolo">
    <w:name w:val="CopertinaTitolo"/>
    <w:basedOn w:val="BodyText"/>
    <w:qFormat/>
  </w:style>
  <w:style w:type="paragraph" w:customStyle="1" w:styleId="IndiceDue">
    <w:name w:val="IndiceDue"/>
    <w:basedOn w:val="BodyText"/>
    <w:qFormat/>
  </w:style>
  <w:style w:type="paragraph" w:customStyle="1" w:styleId="IndiceUno">
    <w:name w:val="IndiceUno"/>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ieDiPagina" Target="footer1.xml" Type="http://schemas.openxmlformats.org/officeDocument/2006/relationships/footer" /><Relationship Type="http://schemas.openxmlformats.org/officeDocument/2006/relationships/image" Id="rId26" Target="media/rId26.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146" Target="media/rId146.png" /><Relationship Type="http://schemas.openxmlformats.org/officeDocument/2006/relationships/image" Id="rId149" Target="media/rId149.png" /><Relationship Type="http://schemas.openxmlformats.org/officeDocument/2006/relationships/image" Id="rId152" Target="media/rId152.png" /><Relationship Type="http://schemas.openxmlformats.org/officeDocument/2006/relationships/image" Id="rId89" Target="media/rId89.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44" Target="media/rId44.png" /><Relationship Type="http://schemas.openxmlformats.org/officeDocument/2006/relationships/image" Id="rId52" Target="media/rId52.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56" Target="media/rId56.png" /><Relationship Type="http://schemas.openxmlformats.org/officeDocument/2006/relationships/image" Id="rId29" Target="media/rId29.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41" Target="media/rId41.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59" Target="media/rId59.png" /><Relationship Type="http://schemas.openxmlformats.org/officeDocument/2006/relationships/image" Id="rId131" Target="media/rId131.png" /><Relationship Type="http://schemas.openxmlformats.org/officeDocument/2006/relationships/image" Id="rId36" Target="media/rId36.png" /><Relationship Type="http://schemas.openxmlformats.org/officeDocument/2006/relationships/image" Id="rId92" Target="media/rId92.png" /><Relationship Type="http://schemas.openxmlformats.org/officeDocument/2006/relationships/image" Id="rId100" Target="media/rId100.png" /><Relationship Type="http://schemas.openxmlformats.org/officeDocument/2006/relationships/image" Id="rId32" Target="media/rId32.png" /><Relationship Type="http://schemas.openxmlformats.org/officeDocument/2006/relationships/image" Id="rId47" Target="media/rId47.png" /><Relationship Type="http://schemas.openxmlformats.org/officeDocument/2006/relationships/image" Id="rId134" Target="media/rId134.png" /><Relationship Type="http://schemas.openxmlformats.org/officeDocument/2006/relationships/image" Id="rId75" Target="media/rId75.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83" Target="media/rId83.png" /><Relationship Type="http://schemas.openxmlformats.org/officeDocument/2006/relationships/image" Id="rId79" Target="media/rId7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2026-09-24T22:03:17Z</dcterms:created>
  <dcterms:modified xsi:type="dcterms:W3CDTF">2026-09-24T22:03:17Z</dcterms:modified>
</cp:coreProperties>
</file>

<file path=docProps/custom.xml><?xml version="1.0" encoding="utf-8"?>
<Properties xmlns="http://schemas.openxmlformats.org/officeDocument/2006/custom-properties" xmlns:vt="http://schemas.openxmlformats.org/officeDocument/2006/docPropsVTypes"/>
</file>