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347fd1b6bdac37f44f3180514840aba9acc90ff"/>
    <w:p>
      <w:pPr>
        <w:pStyle w:val="Heading1"/>
      </w:pPr>
      <w:r>
        <w:t xml:space="preserve">Bagheria produce titoli e non li converte</w:t>
      </w:r>
    </w:p>
    <w:bookmarkStart w:id="9" w:name="X5f1cf3cb563d3a3d7900d28599abf9dce25071b"/>
    <w:p>
      <w:pPr>
        <w:pStyle w:val="Heading2"/>
      </w:pPr>
      <w:r>
        <w:t xml:space="preserve">Relazione tecnica e proposta di intervento - DataPolis 2026, «Analisi e Visione per i Giovani di Bagheria»</w:t>
      </w:r>
    </w:p>
    <w:p>
      <w:pPr>
        <w:pStyle w:val="FirstParagraph"/>
      </w:pPr>
      <w:r>
        <w:t xml:space="preserve">Bagheria, 2026-08-28. Questa relazione accompagna i tre deliverable richiesti dal</w:t>
      </w:r>
      <w:r>
        <w:t xml:space="preserve"> </w:t>
      </w:r>
      <w:r>
        <w:t xml:space="preserve">concorso: il</w:t>
      </w:r>
      <w:r>
        <w:t xml:space="preserve"> </w:t>
      </w:r>
      <w:r>
        <w:rPr>
          <w:b/>
          <w:bCs/>
        </w:rPr>
        <w:t xml:space="preserve">technical notebook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notebooks/analisi.ipynb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notebooks/genere.ipynb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notebooks/educazione.ipynb</w:t>
      </w:r>
      <w:r>
        <w:t xml:space="preserve">), le</w:t>
      </w:r>
      <w:r>
        <w:t xml:space="preserve"> </w:t>
      </w:r>
      <w:r>
        <w:rPr>
          <w:b/>
          <w:bCs/>
        </w:rPr>
        <w:t xml:space="preserve">visualizzazioni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</w:t>
      </w:r>
      <w:r>
        <w:t xml:space="preserve">) e la</w:t>
      </w:r>
      <w:r>
        <w:t xml:space="preserve"> </w:t>
      </w:r>
      <w:r>
        <w:rPr>
          <w:b/>
          <w:bCs/>
        </w:rPr>
        <w:t xml:space="preserve">policy</w:t>
      </w:r>
      <w:r>
        <w:rPr>
          <w:b/>
          <w:bCs/>
        </w:rPr>
        <w:t xml:space="preserve"> </w:t>
      </w:r>
      <w:r>
        <w:rPr>
          <w:b/>
          <w:bCs/>
        </w:rPr>
        <w:t xml:space="preserve">proposal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docs/POLICY_PONTE_19.md</w:t>
      </w:r>
      <w:r>
        <w:t xml:space="preserve">). Le decisioni editoriali che questa relazione non</w:t>
      </w:r>
      <w:r>
        <w:t xml:space="preserve"> </w:t>
      </w:r>
      <w:r>
        <w:t xml:space="preserve">rimette in discussione - tesi, figure candidate, limiti dichiarati - stanno in</w:t>
      </w:r>
      <w:r>
        <w:t xml:space="preserve"> </w:t>
      </w:r>
      <w:r>
        <w:rPr>
          <w:rStyle w:val="VerbatimChar"/>
        </w:rPr>
        <w:t xml:space="preserve">docs/RELAZIONE.md</w:t>
      </w:r>
      <w:r>
        <w:t xml:space="preserve">.</w:t>
      </w:r>
    </w:p>
    <w:p>
      <w:pPr>
        <w:pStyle w:val="BodyText"/>
      </w:pPr>
      <w:r>
        <w:t xml:space="preserve">Regola che vale in ogni riga:</w:t>
      </w:r>
      <w:r>
        <w:t xml:space="preserve"> </w:t>
      </w:r>
      <w:r>
        <w:rPr>
          <w:b/>
          <w:bCs/>
        </w:rPr>
        <w:t xml:space="preserve">nessuna cifra è scritta a mano</w:t>
      </w:r>
      <w:r>
        <w:t xml:space="preserve">. Ogni numero citato</w:t>
      </w:r>
      <w:r>
        <w:t xml:space="preserve"> </w:t>
      </w:r>
      <w:r>
        <w:t xml:space="preserve">punta alla cella di notebook o al file di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 </w:t>
      </w:r>
      <w:r>
        <w:t xml:space="preserve">che lo produce, e si</w:t>
      </w:r>
      <w:r>
        <w:t xml:space="preserve"> </w:t>
      </w:r>
      <w:r>
        <w:t xml:space="preserve">rigenera eseguendo la pipeline (sezione 1). Dove un numero ha una cautela, la cautela</w:t>
      </w:r>
      <w:r>
        <w:t xml:space="preserve"> </w:t>
      </w:r>
      <w:r>
        <w:t xml:space="preserve">sta accanto al numero, non in fondo.</w:t>
      </w:r>
    </w:p>
    <w:p>
      <w:r>
        <w:pict>
          <v:rect style="width:0;height:1.5pt" o:hralign="center" o:hrstd="t" o:hr="t"/>
        </w:pict>
      </w:r>
    </w:p>
    <w:bookmarkEnd w:id="9"/>
    <w:bookmarkStart w:id="11" w:name="in-una-pagina"/>
    <w:p>
      <w:pPr>
        <w:pStyle w:val="Heading2"/>
      </w:pPr>
      <w:r>
        <w:t xml:space="preserve">In una pagina</w:t>
      </w:r>
    </w:p>
    <w:p>
      <w:pPr>
        <w:pStyle w:val="BlockText"/>
      </w:pPr>
      <w:r>
        <w:rPr>
          <w:b/>
          <w:bCs/>
        </w:rPr>
        <w:t xml:space="preserve">Bagheria produce titoli e non li converte. La conversione fallisce soprattutto sulle</w:t>
      </w:r>
      <w:r>
        <w:rPr>
          <w:b/>
          <w:bCs/>
        </w:rPr>
        <w:t xml:space="preserve"> </w:t>
      </w:r>
      <w:r>
        <w:rPr>
          <w:b/>
          <w:bCs/>
        </w:rPr>
        <w:t xml:space="preserve">ragazze (più istruite del panel, 8,2% di occupazione, il minimo dei quattro territori</w:t>
      </w:r>
      <w:r>
        <w:rPr>
          <w:b/>
          <w:bCs/>
        </w:rPr>
        <w:t xml:space="preserve"> </w:t>
      </w:r>
      <w:r>
        <w:rPr>
          <w:b/>
          <w:bCs/>
        </w:rPr>
        <w:t xml:space="preserve">in 6 anni su 6), in una finestra d’età stretta (22-25, ritenzione 96,3 contro ~103 in</w:t>
      </w:r>
      <w:r>
        <w:rPr>
          <w:b/>
          <w:bCs/>
        </w:rPr>
        <w:t xml:space="preserve"> </w:t>
      </w:r>
      <w:r>
        <w:rPr>
          <w:b/>
          <w:bCs/>
        </w:rPr>
        <w:t xml:space="preserve">Italia), e il vincolo di mobilità ha lo stesso segno. Chi resta fuori non è chi cerca</w:t>
      </w:r>
      <w:r>
        <w:rPr>
          <w:b/>
          <w:bCs/>
        </w:rPr>
        <w:t xml:space="preserve"> </w:t>
      </w:r>
      <w:r>
        <w:rPr>
          <w:b/>
          <w:bCs/>
        </w:rPr>
        <w:t xml:space="preserve">lavoro: il 70,6% dei giovani fuori da lavoro e studio non cerca nemmeno.</w:t>
      </w:r>
    </w:p>
    <w:p>
      <w:pPr>
        <w:pStyle w:val="FirstParagraph"/>
      </w:pPr>
      <w:r>
        <w:t xml:space="preserve">I tre thread di analisi - genere, educazione, mobilità - non danno tre diagnosi diverse:</w:t>
      </w:r>
      <w:r>
        <w:t xml:space="preserve"> </w:t>
      </w:r>
      <w:r>
        <w:t xml:space="preserve">danno</w:t>
      </w:r>
      <w:r>
        <w:t xml:space="preserve"> </w:t>
      </w:r>
      <w:r>
        <w:rPr>
          <w:b/>
          <w:bCs/>
        </w:rPr>
        <w:t xml:space="preserve">una diagnosi in tre punti della stessa catena</w:t>
      </w:r>
      <w:r>
        <w:t xml:space="preserve">, formazione → conversione →</w:t>
      </w:r>
      <w:r>
        <w:t xml:space="preserve"> </w:t>
      </w:r>
      <w:r>
        <w:t xml:space="preserve">permanenza. Ogni anello viene da una tavola diversa, quindi nessuno è la riformulazione</w:t>
      </w:r>
      <w:r>
        <w:t xml:space="preserve"> </w:t>
      </w:r>
      <w:r>
        <w:t xml:space="preserve">di un altro.</w:t>
      </w:r>
    </w:p>
    <w:p>
      <w:pPr>
        <w:pStyle w:val="BodyText"/>
      </w:pPr>
      <w:r>
        <w:t xml:space="preserve">La proposta (sezione 7) è un servizio comunale di transizione e riattivazione con due</w:t>
      </w:r>
      <w:r>
        <w:t xml:space="preserve"> </w:t>
      </w:r>
      <w:r>
        <w:t xml:space="preserve">finestre di ingaggio e un target esplicito sul genere. E ha un vincolo di misura che la</w:t>
      </w:r>
      <w:r>
        <w:t xml:space="preserve"> </w:t>
      </w:r>
      <w:r>
        <w:t xml:space="preserve">distingue da un auspicio:</w:t>
      </w:r>
    </w:p>
    <w:p>
      <w:pPr>
        <w:pStyle w:val="BlockText"/>
      </w:pPr>
      <w:r>
        <w:rPr>
          <w:b/>
          <w:bCs/>
        </w:rPr>
        <w:t xml:space="preserve">La platea femminile 15-24 è già nata e cala del 15,5% al 2034. Le</w:t>
      </w:r>
      <w:r>
        <w:rPr>
          <w:b/>
          <w:bCs/>
        </w:rPr>
        <w:t xml:space="preserve"> </w:t>
      </w:r>
      <w:r>
        <w:rPr>
          <w:b/>
          <w:bCs/>
        </w:rPr>
        <w:t xml:space="preserve">“+40 occupate”</w:t>
      </w:r>
      <w:r>
        <w:rPr>
          <w:b/>
          <w:bCs/>
        </w:rPr>
        <w:t xml:space="preserve"> </w:t>
      </w:r>
      <w:r>
        <w:rPr>
          <w:b/>
          <w:bCs/>
        </w:rPr>
        <w:t xml:space="preserve">valgono +18 nel 2029 e −2 nel 2034 (fig09). Cioè il KPI va scritto in tasso, non in</w:t>
      </w:r>
      <w:r>
        <w:rPr>
          <w:b/>
          <w:bCs/>
        </w:rPr>
        <w:t xml:space="preserve"> </w:t>
      </w:r>
      <w:r>
        <w:rPr>
          <w:b/>
          <w:bCs/>
        </w:rPr>
        <w:t xml:space="preserve">teste, un dettaglio che di solito nessuno vede prima di scriverlo male.</w:t>
      </w:r>
    </w:p>
    <w:bookmarkStart w:id="10" w:name="la-risposta-al-brief-in-breve"/>
    <w:p>
      <w:pPr>
        <w:pStyle w:val="Heading3"/>
      </w:pPr>
      <w:r>
        <w:t xml:space="preserve">La risposta al brief, in breve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Richiesta della locandina</w:t>
            </w:r>
          </w:p>
        </w:tc>
        <w:tc>
          <w:tcPr/>
          <w:p>
            <w:pPr>
              <w:pStyle w:val="Compact"/>
            </w:pPr>
            <w:r>
              <w:t xml:space="preserve">Risposta</w:t>
            </w:r>
          </w:p>
        </w:tc>
        <w:tc>
          <w:tcPr/>
          <w:p>
            <w:pPr>
              <w:pStyle w:val="Compact"/>
            </w:pPr>
            <w:r>
              <w:t xml:space="preserve">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Profiling statistico &amp; benchmarking (Sicilia, Italia, Palermo)</w:t>
            </w:r>
          </w:p>
        </w:tc>
        <w:tc>
          <w:tcPr/>
          <w:p>
            <w:pPr>
              <w:pStyle w:val="Compact"/>
            </w:pPr>
            <w:r>
              <w:t xml:space="preserve">✅ con intervalli di confidenza, percentili sui 390 comuni siciliani e due gruppi di comuni pari dichiarati</w:t>
            </w:r>
          </w:p>
        </w:tc>
        <w:tc>
          <w:tcPr/>
          <w:p>
            <w:pPr>
              <w:pStyle w:val="Compact"/>
            </w:pPr>
            <w:r>
              <w:t xml:space="preserve">sezioni 2-3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Focus:</w:t>
            </w:r>
            <w:r>
              <w:t xml:space="preserve"> </w:t>
            </w:r>
            <w:r>
              <w:rPr>
                <w:b/>
                <w:bCs/>
              </w:rPr>
              <w:t xml:space="preserve">impatto delle differenze di genere</w:t>
            </w:r>
          </w:p>
        </w:tc>
        <w:tc>
          <w:tcPr/>
          <w:p>
            <w:pPr>
              <w:pStyle w:val="Compact"/>
            </w:pPr>
            <w:r>
              <w:t xml:space="preserve">✅ focus principale</w:t>
            </w:r>
          </w:p>
        </w:tc>
        <w:tc>
          <w:tcPr/>
          <w:p>
            <w:pPr>
              <w:pStyle w:val="Compact"/>
            </w:pPr>
            <w:r>
              <w:t xml:space="preserve">sezione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Focus:</w:t>
            </w:r>
            <w:r>
              <w:t xml:space="preserve"> </w:t>
            </w:r>
            <w:r>
              <w:rPr>
                <w:b/>
                <w:bCs/>
              </w:rPr>
              <w:t xml:space="preserve">titolo di studio × condizione lavorativa</w:t>
            </w:r>
          </w:p>
        </w:tc>
        <w:tc>
          <w:tcPr/>
          <w:p>
            <w:pPr>
              <w:pStyle w:val="Compact"/>
            </w:pPr>
            <w:r>
              <w:t xml:space="preserve">🟡 l’incrocio non esiste nei dati comunali (verificato); risolto con due misure parallele sulla stessa fascia</w:t>
            </w:r>
          </w:p>
        </w:tc>
        <w:tc>
          <w:tcPr/>
          <w:p>
            <w:pPr>
              <w:pStyle w:val="Compact"/>
            </w:pPr>
            <w:r>
              <w:t xml:space="preserve">sezione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Focus:</w:t>
            </w:r>
            <w:r>
              <w:t xml:space="preserve"> </w:t>
            </w:r>
            <w:r>
              <w:rPr>
                <w:b/>
                <w:bCs/>
              </w:rPr>
              <w:t xml:space="preserve">pendolarismo verso Palermo</w:t>
            </w:r>
          </w:p>
        </w:tc>
        <w:tc>
          <w:tcPr/>
          <w:p>
            <w:pPr>
              <w:pStyle w:val="Compact"/>
            </w:pPr>
            <w:r>
              <w:t xml:space="preserve">🟡 misurato il pendolarismo</w:t>
            </w:r>
            <w:r>
              <w:t xml:space="preserve"> </w:t>
            </w:r>
            <w:r>
              <w:rPr>
                <w:i/>
                <w:iCs/>
              </w:rPr>
              <w:t xml:space="preserve">fuori comune</w:t>
            </w:r>
            <w:r>
              <w:t xml:space="preserve"> </w:t>
            </w:r>
            <w:r>
              <w:t xml:space="preserve">per genere; la destinazione Palermo non è identificata da nessuna fonte disponibile</w:t>
            </w:r>
          </w:p>
        </w:tc>
        <w:tc>
          <w:tcPr/>
          <w:p>
            <w:pPr>
              <w:pStyle w:val="Compact"/>
            </w:pPr>
            <w:r>
              <w:t xml:space="preserve">sezione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NEET 15-34</w:t>
            </w:r>
          </w:p>
        </w:tc>
        <w:tc>
          <w:tcPr/>
          <w:p>
            <w:pPr>
              <w:pStyle w:val="Compact"/>
            </w:pPr>
            <w:r>
              <w:t xml:space="preserve">🔴→🟡 non calcolabile a livello comunale: due misure etichettate, mai fuse</w:t>
            </w:r>
          </w:p>
        </w:tc>
        <w:tc>
          <w:tcPr/>
          <w:p>
            <w:pPr>
              <w:pStyle w:val="Compact"/>
            </w:pPr>
            <w:r>
              <w:t xml:space="preserve">sezione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Proposta di intervento</w:t>
            </w:r>
          </w:p>
        </w:tc>
        <w:tc>
          <w:tcPr/>
          <w:p>
            <w:pPr>
              <w:pStyle w:val="Compact"/>
            </w:pPr>
            <w:r>
              <w:t xml:space="preserve">✅ Ponte 19, con KPI misurabili e finestre di lettura dichiarate</w:t>
            </w:r>
          </w:p>
        </w:tc>
        <w:tc>
          <w:tcPr/>
          <w:p>
            <w:pPr>
              <w:pStyle w:val="Compact"/>
            </w:pPr>
            <w:r>
              <w:t xml:space="preserve">sezione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notebook riproducibile</w:t>
            </w:r>
          </w:p>
        </w:tc>
        <w:tc>
          <w:tcPr/>
          <w:p>
            <w:pPr>
              <w:pStyle w:val="Compact"/>
            </w:pPr>
            <w:r>
              <w:t xml:space="preserve">✅ sensore</w:t>
            </w:r>
            <w:r>
              <w:t xml:space="preserve"> </w:t>
            </w:r>
            <w:r>
              <w:rPr>
                <w:rStyle w:val="VerbatimChar"/>
              </w:rPr>
              <w:t xml:space="preserve">nbconvert</w:t>
            </w:r>
            <w:r>
              <w:t xml:space="preserve"> </w:t>
            </w:r>
            <w:r>
              <w:t xml:space="preserve">verde sui tre notebook; 650 controlli indipendenti PASS</w:t>
            </w:r>
          </w:p>
        </w:tc>
        <w:tc>
          <w:tcPr/>
          <w:p>
            <w:pPr>
              <w:pStyle w:val="Compact"/>
            </w:pPr>
            <w:r>
              <w:t xml:space="preserve">sezione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2-3 data viz avanzate</w:t>
            </w:r>
          </w:p>
        </w:tc>
        <w:tc>
          <w:tcPr/>
          <w:p>
            <w:pPr>
              <w:pStyle w:val="Compact"/>
            </w:pPr>
            <w:r>
              <w:t xml:space="preserve">✅ tre candidate + due di supporto</w:t>
            </w:r>
          </w:p>
        </w:tc>
        <w:tc>
          <w:tcPr/>
          <w:p>
            <w:pPr>
              <w:pStyle w:val="Compact"/>
            </w:pPr>
            <w:r>
              <w:t xml:space="preserve">sezione 8</w:t>
            </w:r>
          </w:p>
        </w:tc>
      </w:tr>
    </w:tbl>
    <w:p>
      <w:pPr>
        <w:pStyle w:val="BodyText"/>
      </w:pPr>
      <w:r>
        <w:t xml:space="preserve">I 🟡 non sono lavori a metà: sono i punti in cui i dati pubblici finiscono, dichiarati</w:t>
      </w:r>
      <w:r>
        <w:t xml:space="preserve"> </w:t>
      </w:r>
      <w:r>
        <w:t xml:space="preserve">invece che aggirati. In un concorso sulla cultura del dato, sapere dove i dati non</w:t>
      </w:r>
      <w:r>
        <w:t xml:space="preserve"> </w:t>
      </w:r>
      <w:r>
        <w:t xml:space="preserve">arrivano è parte della risposta, ed è uno dei motivi della proposta, che quei dati</w:t>
      </w:r>
      <w:r>
        <w:t xml:space="preserve"> </w:t>
      </w:r>
      <w:r>
        <w:t xml:space="preserve">mancanti li produce (sezione 7.5).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metodo-la-relazione-si-rigenera-da-zero"/>
    <w:p>
      <w:pPr>
        <w:pStyle w:val="Heading2"/>
      </w:pPr>
      <w:r>
        <w:t xml:space="preserve">1. Metodo: la relazione si rigenera da zero</w:t>
      </w:r>
    </w:p>
    <w:p>
      <w:pPr>
        <w:pStyle w:val="FirstParagraph"/>
      </w:pPr>
      <w:r>
        <w:t xml:space="preserve">L’intera analisi è una pipeline riproducibile. Da ambiente pulito: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              </w:t>
      </w:r>
      <w:r>
        <w:rPr>
          <w:rStyle w:val="CommentTok"/>
        </w:rPr>
        <w:t xml:space="preserve"># ambiente Python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pipeline.fetch           </w:t>
      </w:r>
      <w:r>
        <w:rPr>
          <w:rStyle w:val="CommentTok"/>
        </w:rPr>
        <w:t xml:space="preserve"># scarica i raw da tutte le fonti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pipeline.build           </w:t>
      </w:r>
      <w:r>
        <w:rPr>
          <w:rStyle w:val="CommentTok"/>
        </w:rPr>
        <w:t xml:space="preserve"># raw -&gt; data/processed/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jupyter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notebooks/analisi.ipynb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jupyter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notebooks/genere.ipynb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jupyter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notebooks/educazione.ipynb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viz/build_all.R                   </w:t>
      </w:r>
      <w:r>
        <w:rPr>
          <w:rStyle w:val="CommentTok"/>
        </w:rPr>
        <w:t xml:space="preserve"># tutte le figure in figures/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pipeline.verifica        </w:t>
      </w:r>
      <w:r>
        <w:rPr>
          <w:rStyle w:val="CommentTok"/>
        </w:rPr>
        <w:t xml:space="preserve"># 650 controlli indipendenti</w:t>
      </w:r>
    </w:p>
    <w:p>
      <w:pPr>
        <w:pStyle w:val="FirstParagraph"/>
      </w:pPr>
      <w:r>
        <w:t xml:space="preserve">Tre proprietà non decorative: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completa.</w:t>
      </w:r>
      <w:r>
        <w:t xml:space="preserve"> </w:t>
      </w:r>
      <w:r>
        <w:t xml:space="preserve">Ogni file in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è append-only e ha una riga in</w:t>
      </w:r>
      <w:r>
        <w:t xml:space="preserve"> </w:t>
      </w:r>
      <w:r>
        <w:rPr>
          <w:rStyle w:val="VerbatimChar"/>
        </w:rPr>
        <w:t xml:space="preserve">docs/sources.md</w:t>
      </w:r>
      <w:r>
        <w:t xml:space="preserve"> </w:t>
      </w:r>
      <w:r>
        <w:t xml:space="preserve">con URL esatto, data e parametri. Le correzioni vivono in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, mai nei raw.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 indipendente.</w:t>
      </w:r>
      <w:r>
        <w:t xml:space="preserve"> </w:t>
      </w:r>
      <w:r>
        <w:rPr>
          <w:rStyle w:val="VerbatimChar"/>
        </w:rPr>
        <w:t xml:space="preserve">pipeline/verifica.py</w:t>
      </w:r>
      <w:r>
        <w:t xml:space="preserve"> </w:t>
      </w:r>
      <w:r>
        <w:t xml:space="preserve">ricalcola</w:t>
      </w:r>
      <w:r>
        <w:t xml:space="preserve"> </w:t>
      </w:r>
      <w:r>
        <w:rPr>
          <w:b/>
          <w:bCs/>
        </w:rPr>
        <w:t xml:space="preserve">650 numeri chiave</w:t>
      </w:r>
      <w:r>
        <w:rPr>
          <w:b/>
          <w:bCs/>
        </w:rPr>
        <w:t xml:space="preserve"> </w:t>
      </w:r>
      <w:r>
        <w:rPr>
          <w:b/>
          <w:bCs/>
        </w:rPr>
        <w:t xml:space="preserve">direttamente dai raw con implementazioni alternative</w:t>
      </w:r>
      <w:r>
        <w:t xml:space="preserve"> </w:t>
      </w:r>
      <w:r>
        <w:t xml:space="preserve">(intervalli di Wilson/Newcombe</w:t>
      </w:r>
      <w:r>
        <w:t xml:space="preserve"> </w:t>
      </w:r>
      <w:r>
        <w:t xml:space="preserve">riscritti, modello lineare di probabilità in forma analitica, matching rifatto, coorti</w:t>
      </w:r>
      <w:r>
        <w:t xml:space="preserve"> </w:t>
      </w:r>
      <w:r>
        <w:t xml:space="preserve">dalle classi quinquennali): 650/650 PASS al 2026-08-28. Se un raw cambia, il pin</w:t>
      </w:r>
      <w:r>
        <w:t xml:space="preserve"> </w:t>
      </w:r>
      <w:r>
        <w:t xml:space="preserve">fallisce finché notebook e attesi non vengono riallineati.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Separazione dei ruoli.</w:t>
      </w:r>
      <w:r>
        <w:t xml:space="preserve"> </w:t>
      </w:r>
      <w:r>
        <w:t xml:space="preserve">Python trasforma, R disegna: l’interfaccia sono i CSV di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, e nessuna logica di trasformazione vive negli script delle figure.</w:t>
      </w:r>
    </w:p>
    <w:bookmarkStart w:id="12" w:name="le-definizioni-fissate-una-volta"/>
    <w:p>
      <w:pPr>
        <w:pStyle w:val="Heading3"/>
      </w:pPr>
      <w:r>
        <w:t xml:space="preserve">Le definizioni, fissate una volta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Territori</w:t>
      </w:r>
      <w:r>
        <w:t xml:space="preserve">: Bagheria (</w:t>
      </w:r>
      <w:r>
        <w:rPr>
          <w:rStyle w:val="VerbatimChar"/>
        </w:rPr>
        <w:t xml:space="preserve">082006</w:t>
      </w:r>
      <w:r>
        <w:t xml:space="preserve">), Comune di Palermo (</w:t>
      </w:r>
      <w:r>
        <w:rPr>
          <w:rStyle w:val="VerbatimChar"/>
        </w:rPr>
        <w:t xml:space="preserve">082053</w:t>
      </w:r>
      <w:r>
        <w:t xml:space="preserve">), Sicilia (</w:t>
      </w:r>
      <w:r>
        <w:rPr>
          <w:rStyle w:val="VerbatimChar"/>
        </w:rPr>
        <w:t xml:space="preserve">ITG1</w:t>
      </w:r>
      <w:r>
        <w:t xml:space="preserve">),</w:t>
      </w:r>
      <w:r>
        <w:t xml:space="preserve"> </w:t>
      </w:r>
      <w:r>
        <w:t xml:space="preserve">Italia (</w:t>
      </w:r>
      <w:r>
        <w:rPr>
          <w:rStyle w:val="VerbatimChar"/>
        </w:rPr>
        <w:t xml:space="preserve">IT</w:t>
      </w:r>
      <w:r>
        <w:t xml:space="preserve">); più i</w:t>
      </w:r>
      <w:r>
        <w:t xml:space="preserve"> </w:t>
      </w:r>
      <w:r>
        <w:rPr>
          <w:b/>
          <w:bCs/>
        </w:rPr>
        <w:t xml:space="preserve">390 comuni siciliani</w:t>
      </w:r>
      <w:r>
        <w:t xml:space="preserve"> </w:t>
      </w:r>
      <w:r>
        <w:t xml:space="preserve">per i percentili e due gruppi di comuni</w:t>
      </w:r>
      <w:r>
        <w:t xml:space="preserve"> </w:t>
      </w:r>
      <w:r>
        <w:t xml:space="preserve">pari (sezione 2.4).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Fasce d’età</w:t>
      </w:r>
      <w:r>
        <w:t xml:space="preserve">: dipendono dal dominio, perché le fonti non danno il 15-34 ovunque.</w:t>
      </w:r>
      <w:r>
        <w:t xml:space="preserve"> </w:t>
      </w:r>
      <w:r>
        <w:t xml:space="preserve">Lavoro e istruzione:</w:t>
      </w:r>
      <w:r>
        <w:t xml:space="preserve"> </w:t>
      </w:r>
      <w:r>
        <w:rPr>
          <w:b/>
          <w:bCs/>
        </w:rPr>
        <w:t xml:space="preserve">15-24</w:t>
      </w:r>
      <w:r>
        <w:t xml:space="preserve"> </w:t>
      </w:r>
      <w:r>
        <w:t xml:space="preserve">(unica classe giovanile comunale del censimento</w:t>
      </w:r>
      <w:r>
        <w:t xml:space="preserve"> </w:t>
      </w:r>
      <w:r>
        <w:t xml:space="preserve">permanente); istruzione da tavola:</w:t>
      </w:r>
      <w:r>
        <w:t xml:space="preserve"> </w:t>
      </w:r>
      <w:r>
        <w:rPr>
          <w:b/>
          <w:bCs/>
        </w:rPr>
        <w:t xml:space="preserve">9-24</w:t>
      </w:r>
      <w:r>
        <w:t xml:space="preserve"> </w:t>
      </w:r>
      <w:r>
        <w:t xml:space="preserve">(fascia della fonte, sempre dichiarata);</w:t>
      </w:r>
      <w:r>
        <w:t xml:space="preserve"> </w:t>
      </w:r>
      <w:r>
        <w:t xml:space="preserve">demografia:</w:t>
      </w:r>
      <w:r>
        <w:t xml:space="preserve"> </w:t>
      </w:r>
      <w:r>
        <w:rPr>
          <w:b/>
          <w:bCs/>
        </w:rPr>
        <w:t xml:space="preserve">15-34</w:t>
      </w:r>
      <w:r>
        <w:t xml:space="preserve"> </w:t>
      </w:r>
      <w:r>
        <w:t xml:space="preserve">esatto, dalle età singole. Ogni figura dichiara la fascia.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Anni</w:t>
      </w:r>
      <w:r>
        <w:t xml:space="preserve">: censimento permanente 2018-2024 (il</w:t>
      </w:r>
      <w:r>
        <w:t xml:space="preserve"> </w:t>
      </w:r>
      <w:r>
        <w:rPr>
          <w:b/>
          <w:bCs/>
        </w:rPr>
        <w:t xml:space="preserve">2020 manca</w:t>
      </w:r>
      <w:r>
        <w:t xml:space="preserve"> </w:t>
      </w:r>
      <w:r>
        <w:t xml:space="preserve">sulla classe 15-24 ed è</w:t>
      </w:r>
      <w:r>
        <w:t xml:space="preserve"> </w:t>
      </w:r>
      <w:r>
        <w:t xml:space="preserve">lasciato mancante, mai interpolato); 8milaCensus 1991/2001/2011 come fonte storica</w:t>
      </w:r>
      <w:r>
        <w:t xml:space="preserve"> </w:t>
      </w:r>
      <w:r>
        <w:t xml:space="preserve">separata, sempre etichettata. Fra 2019 e 2021 c’è una</w:t>
      </w:r>
      <w:r>
        <w:t xml:space="preserve"> </w:t>
      </w:r>
      <w:r>
        <w:rPr>
          <w:b/>
          <w:bCs/>
        </w:rPr>
        <w:t xml:space="preserve">rottura di misura</w:t>
      </w:r>
      <w:r>
        <w:t xml:space="preserve"> </w:t>
      </w:r>
      <w:r>
        <w:t xml:space="preserve">sulla</w:t>
      </w:r>
      <w:r>
        <w:t xml:space="preserve"> </w:t>
      </w:r>
      <w:r>
        <w:t xml:space="preserve">componente «in cerca di occupazione»: i gap fra territori restano confrontabili, i</w:t>
      </w:r>
      <w:r>
        <w:t xml:space="preserve"> </w:t>
      </w:r>
      <w:r>
        <w:t xml:space="preserve">livelli delle componenti no (</w:t>
      </w:r>
      <w:r>
        <w:rPr>
          <w:rStyle w:val="VerbatimChar"/>
        </w:rPr>
        <w:t xml:space="preserve">docs/sources.md</w:t>
      </w:r>
      <w:r>
        <w:t xml:space="preserve"> </w:t>
      </w:r>
      <w:r>
        <w:t xml:space="preserve">§8).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NEET</w:t>
      </w:r>
      <w:r>
        <w:t xml:space="preserve">: il NEET 15-34 della locandina</w:t>
      </w:r>
      <w:r>
        <w:t xml:space="preserve"> </w:t>
      </w:r>
      <w:r>
        <w:rPr>
          <w:b/>
          <w:bCs/>
        </w:rPr>
        <w:t xml:space="preserve">non è calcolabile a livello comunale</w:t>
      </w:r>
      <w:r>
        <w:t xml:space="preserve"> </w:t>
      </w:r>
      <w:r>
        <w:t xml:space="preserve">- la</w:t>
      </w:r>
      <w:r>
        <w:t xml:space="preserve"> </w:t>
      </w:r>
      <w:r>
        <w:t xml:space="preserve">fascia non esiste nei dati. Si usano due misure etichettate e mai unite: il NEET</w:t>
      </w:r>
      <w:r>
        <w:t xml:space="preserve"> </w:t>
      </w:r>
      <w:r>
        <w:rPr>
          <w:b/>
          <w:bCs/>
        </w:rPr>
        <w:t xml:space="preserve">15-29 al 2011</w:t>
      </w:r>
      <w:r>
        <w:t xml:space="preserve"> </w:t>
      </w:r>
      <w:r>
        <w:t xml:space="preserve">(8milaCensus,</w:t>
      </w:r>
      <w:r>
        <w:t xml:space="preserve"> </w:t>
      </w:r>
      <w:r>
        <w:rPr>
          <w:rStyle w:val="VerbatimChar"/>
        </w:rPr>
        <w:t xml:space="preserve">L4</w:t>
      </w:r>
      <w:r>
        <w:t xml:space="preserve">) e il proxy</w:t>
      </w:r>
      <w:r>
        <w:t xml:space="preserve"> </w:t>
      </w:r>
      <w:r>
        <w:rPr>
          <w:b/>
          <w:bCs/>
        </w:rPr>
        <w:t xml:space="preserve">«fuori da lavoro e istruzione»</w:t>
      </w:r>
      <w:r>
        <w:rPr>
          <w:b/>
          <w:bCs/>
        </w:rPr>
        <w:t xml:space="preserve"> </w:t>
      </w:r>
      <w:r>
        <w:rPr>
          <w:b/>
          <w:bCs/>
        </w:rPr>
        <w:t xml:space="preserve">15-24, 2018-2024</w:t>
      </w:r>
      <w:r>
        <w:t xml:space="preserve"> </w:t>
      </w:r>
      <w:r>
        <w:t xml:space="preserve">(censimento permanente). Fasce e definizioni diverse: affiancate,</w:t>
      </w:r>
      <w:r>
        <w:t xml:space="preserve"> </w:t>
      </w:r>
      <w:r>
        <w:t xml:space="preserve">mai in serie.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63bb64c9199cb27ed081296be5fa1e8a5a47fe4"/>
    <w:p>
      <w:pPr>
        <w:pStyle w:val="Heading2"/>
      </w:pPr>
      <w:r>
        <w:t xml:space="preserve">2. Il profilo: un recupero vero che non converge</w:t>
      </w:r>
    </w:p>
    <w:bookmarkStart w:id="14" w:name="la-fotografia-2024"/>
    <w:p>
      <w:pPr>
        <w:pStyle w:val="Heading3"/>
      </w:pPr>
      <w:r>
        <w:t xml:space="preserve">2.1 La fotografia 2024</w:t>
      </w:r>
    </w:p>
    <w:p>
      <w:pPr>
        <w:pStyle w:val="FirstParagraph"/>
      </w:pPr>
      <w:r>
        <w:t xml:space="preserve">Bagheria conta</w:t>
      </w:r>
      <w:r>
        <w:t xml:space="preserve"> </w:t>
      </w:r>
      <w:r>
        <w:rPr>
          <w:b/>
          <w:bCs/>
        </w:rPr>
        <w:t xml:space="preserve">5.904 residenti di 15-24 anni</w:t>
      </w:r>
      <w:r>
        <w:t xml:space="preserve"> </w:t>
      </w:r>
      <w:r>
        <w:t xml:space="preserve">(2024). La loro condizione prevalente: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Condizione 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Quota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Persone (stima)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Occupati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~734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cerca di occupazione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Inattivi non studenti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19,0%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~1.121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edu_youth_states_2018_2024.csv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analisi_condizione_15_24.csv</w:t>
      </w:r>
    </w:p>
    <w:p>
      <w:pPr>
        <w:pStyle w:val="BodyText"/>
      </w:pPr>
      <w:r>
        <w:t xml:space="preserve">Il confronto colloca subito il punto critico: l’occupazione 15-24 di Bagheria (12,4%) è</w:t>
      </w:r>
      <w:r>
        <w:t xml:space="preserve"> </w:t>
      </w:r>
      <w:r>
        <w:rPr>
          <w:b/>
          <w:bCs/>
        </w:rPr>
        <w:t xml:space="preserve">3,1 punti sotto la Sicilia</w:t>
      </w:r>
      <w:r>
        <w:t xml:space="preserve"> </w:t>
      </w:r>
      <w:r>
        <w:t xml:space="preserve">(15,6%), e gli inattivi non studenti (19,0%) sono</w:t>
      </w:r>
      <w:r>
        <w:t xml:space="preserve"> </w:t>
      </w:r>
      <w:r>
        <w:rPr>
          <w:b/>
          <w:bCs/>
        </w:rPr>
        <w:t xml:space="preserve">4,2</w:t>
      </w:r>
      <w:r>
        <w:rPr>
          <w:b/>
          <w:bCs/>
        </w:rPr>
        <w:t xml:space="preserve"> </w:t>
      </w:r>
      <w:r>
        <w:rPr>
          <w:b/>
          <w:bCs/>
        </w:rPr>
        <w:t xml:space="preserve">punti sopra</w:t>
      </w:r>
      <w:r>
        <w:t xml:space="preserve"> </w:t>
      </w:r>
      <w:r>
        <w:t xml:space="preserve">(14,8%). Complessivamente il 26,9% dei giovani è fuori sia dal lavoro sia</w:t>
      </w:r>
      <w:r>
        <w:t xml:space="preserve"> </w:t>
      </w:r>
      <w:r>
        <w:t xml:space="preserve">dallo studio, contro il 22,3% siciliano. →</w:t>
      </w:r>
      <w:r>
        <w:t xml:space="preserve"> </w:t>
      </w:r>
      <w:r>
        <w:rPr>
          <w:rStyle w:val="VerbatimChar"/>
        </w:rPr>
        <w:t xml:space="preserve">edu_kpi_dashboard.csv</w:t>
      </w:r>
    </w:p>
    <w:p>
      <w:pPr>
        <w:pStyle w:val="BodyText"/>
      </w:pPr>
      <w:r>
        <w:t xml:space="preserve">Dentro quel 26,9% sta il dato che orienta tutta la proposta:</w:t>
      </w:r>
      <w:r>
        <w:t xml:space="preserve"> </w:t>
      </w:r>
      <w:r>
        <w:rPr>
          <w:b/>
          <w:bCs/>
        </w:rPr>
        <w:t xml:space="preserve">il 70,6% non è</w:t>
      </w:r>
      <w:r>
        <w:rPr>
          <w:b/>
          <w:bCs/>
        </w:rPr>
        <w:t xml:space="preserve"> </w:t>
      </w:r>
      <w:r>
        <w:rPr>
          <w:b/>
          <w:bCs/>
        </w:rPr>
        <w:t xml:space="preserve">classificato come persona in cerca di occupazione</w:t>
      </w:r>
      <w:r>
        <w:t xml:space="preserve">. Non sono giovani che cercano e non</w:t>
      </w:r>
      <w:r>
        <w:t xml:space="preserve"> </w:t>
      </w:r>
      <w:r>
        <w:t xml:space="preserve">trovano: sono giovani che non arrivano a cercare.</w:t>
      </w:r>
    </w:p>
    <w:bookmarkEnd w:id="14"/>
    <w:bookmarkStart w:id="15" w:name="il-recupero-cè-la-convergenza-no"/>
    <w:p>
      <w:pPr>
        <w:pStyle w:val="Heading3"/>
      </w:pPr>
      <w:r>
        <w:t xml:space="preserve">2.2 Il recupero c’è, la convergenza no</w:t>
      </w:r>
    </w:p>
    <w:p>
      <w:pPr>
        <w:pStyle w:val="FirstParagraph"/>
      </w:pPr>
      <w:r>
        <w:t xml:space="preserve">Fra 2018 e 2024 l’occupazione 15-24 (totale) sale da 8,2% a 12,4% e la quota fuori da</w:t>
      </w:r>
      <w:r>
        <w:t xml:space="preserve"> </w:t>
      </w:r>
      <w:r>
        <w:t xml:space="preserve">lavoro e studio scende da 37,7% a 26,9%. Ma la scomposizione dice da dove viene il</w:t>
      </w:r>
      <w:r>
        <w:t xml:space="preserve"> </w:t>
      </w:r>
      <w:r>
        <w:t xml:space="preserve">miglioramento:</w:t>
      </w:r>
      <w:r>
        <w:t xml:space="preserve"> </w:t>
      </w:r>
      <w:r>
        <w:rPr>
          <w:b/>
          <w:bCs/>
        </w:rPr>
        <w:t xml:space="preserve">chi cerca lavoro cala di 10,2 punti (18,1% → 7,9%), gli inattivi non</w:t>
      </w:r>
      <w:r>
        <w:rPr>
          <w:b/>
          <w:bCs/>
        </w:rPr>
        <w:t xml:space="preserve"> </w:t>
      </w:r>
      <w:r>
        <w:rPr>
          <w:b/>
          <w:bCs/>
        </w:rPr>
        <w:t xml:space="preserve">studenti di 0,6 (19,6% → 19,0%)</w:t>
      </w:r>
      <w:r>
        <w:t xml:space="preserve">. E il gap occupazionale con la Sicilia è</w:t>
      </w:r>
      <w:r>
        <w:t xml:space="preserve"> </w:t>
      </w:r>
      <w:r>
        <w:rPr>
          <w:b/>
          <w:bCs/>
        </w:rPr>
        <w:t xml:space="preserve">−3,1 punti</w:t>
      </w:r>
      <w:r>
        <w:rPr>
          <w:b/>
          <w:bCs/>
        </w:rPr>
        <w:t xml:space="preserve"> </w:t>
      </w:r>
      <w:r>
        <w:rPr>
          <w:b/>
          <w:bCs/>
        </w:rPr>
        <w:t xml:space="preserve">sia nel 2018 sia nel 2024</w:t>
      </w:r>
      <w:r>
        <w:t xml:space="preserve">: Bagheria migliora alla velocità del contesto, non di più.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edu_finding_summary.csv</w:t>
      </w:r>
      <w:r>
        <w:t xml:space="preserve"> </w:t>
      </w:r>
      <w:r>
        <w:t xml:space="preserve">(⚠️ sulla serie vale la rottura di misura 2019→2021: i gap</w:t>
      </w:r>
      <w:r>
        <w:t xml:space="preserve"> </w:t>
      </w:r>
      <w:r>
        <w:t xml:space="preserve">reggono, i livelli delle componenti no)</w:t>
      </w:r>
    </w:p>
    <w:p>
      <w:pPr>
        <w:pStyle w:val="BodyText"/>
      </w:pPr>
      <w:r>
        <w:t xml:space="preserve">Lo stesso pattern sulla fascia adulta: fra i 25-49enni la quota con almeno il diploma</w:t>
      </w:r>
      <w:r>
        <w:t xml:space="preserve"> </w:t>
      </w:r>
      <w:r>
        <w:t xml:space="preserve">passa da 56,2% a 62,4% e l’occupazione da 43,0% a 53,6%, ma nel 2024 i divari con la</w:t>
      </w:r>
      <w:r>
        <w:t xml:space="preserve"> </w:t>
      </w:r>
      <w:r>
        <w:t xml:space="preserve">Sicilia restano</w:t>
      </w:r>
      <w:r>
        <w:t xml:space="preserve"> </w:t>
      </w:r>
      <w:r>
        <w:rPr>
          <w:b/>
          <w:bCs/>
        </w:rPr>
        <w:t xml:space="preserve">−4,1 e −5,7 punti</w:t>
      </w:r>
      <w:r>
        <w:t xml:space="preserve">. →</w:t>
      </w:r>
      <w:r>
        <w:t xml:space="preserve"> </w:t>
      </w:r>
      <w:r>
        <w:rPr>
          <w:rStyle w:val="VerbatimChar"/>
        </w:rPr>
        <w:t xml:space="preserve">edu_kpi_dashboard.csv</w:t>
      </w:r>
    </w:p>
    <w:bookmarkEnd w:id="15"/>
    <w:bookmarkStart w:id="16" w:name="X77d0757dcbb3c9bcf9b15ce27a89291c6b5b711"/>
    <w:p>
      <w:pPr>
        <w:pStyle w:val="Heading3"/>
      </w:pPr>
      <w:r>
        <w:t xml:space="preserve">2.3 Il lungo periodo: progresso assoluto, arretramento relativo</w:t>
      </w:r>
    </w:p>
    <w:p>
      <w:pPr>
        <w:pStyle w:val="FirstParagraph"/>
      </w:pPr>
      <w:r>
        <w:t xml:space="preserve">I tre censimenti 1991/2001/2011 e il ponte verso il censimento permanente separano due</w:t>
      </w:r>
      <w:r>
        <w:t xml:space="preserve"> </w:t>
      </w:r>
      <w:r>
        <w:t xml:space="preserve">cose che di solito si confondono: Bagheria</w:t>
      </w:r>
      <w:r>
        <w:t xml:space="preserve"> </w:t>
      </w:r>
      <w:r>
        <w:rPr>
          <w:b/>
          <w:bCs/>
        </w:rPr>
        <w:t xml:space="preserve">migliora in assoluto e arretra in</w:t>
      </w:r>
      <w:r>
        <w:rPr>
          <w:b/>
          <w:bCs/>
        </w:rPr>
        <w:t xml:space="preserve"> </w:t>
      </w:r>
      <w:r>
        <w:rPr>
          <w:b/>
          <w:bCs/>
        </w:rPr>
        <w:t xml:space="preserve">posizione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NEET 15-29: dal 42,9% (1991) al 40,1% (2011), ma la posizione fra i 390 comuni</w:t>
      </w:r>
      <w:r>
        <w:t xml:space="preserve"> </w:t>
      </w:r>
      <w:r>
        <w:t xml:space="preserve">siciliani passa</w:t>
      </w:r>
      <w:r>
        <w:t xml:space="preserve"> </w:t>
      </w:r>
      <w:r>
        <w:rPr>
          <w:b/>
          <w:bCs/>
        </w:rPr>
        <w:t xml:space="preserve">circa dal 17° all’88° percentile</w:t>
      </w:r>
      <w:r>
        <w:t xml:space="preserve">: molti altri comuni hanno ridotto</w:t>
      </w:r>
      <w:r>
        <w:t xml:space="preserve"> </w:t>
      </w:r>
      <w:r>
        <w:t xml:space="preserve">il problema molto più in fretta. →</w:t>
      </w:r>
      <w:r>
        <w:t xml:space="preserve"> </w:t>
      </w:r>
      <w:r>
        <w:rPr>
          <w:rStyle w:val="VerbatimChar"/>
        </w:rPr>
        <w:t xml:space="preserve">edu_historical_bagheria.csv</w:t>
      </w:r>
      <w:r>
        <w:t xml:space="preserve">, verifica incrociata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notebooks/genere.ipynb</w:t>
      </w:r>
    </w:p>
    <w:p>
      <w:pPr>
        <w:pStyle w:val="Compact"/>
        <w:numPr>
          <w:ilvl w:val="0"/>
          <w:numId w:val="1003"/>
        </w:numPr>
      </w:pPr>
      <w:r>
        <w:t xml:space="preserve">Uscita precoce dalla scuola (</w:t>
      </w:r>
      <w:r>
        <w:rPr>
          <w:rStyle w:val="VerbatimChar"/>
        </w:rPr>
        <w:t xml:space="preserve">I5</w:t>
      </w:r>
      <w:r>
        <w:t xml:space="preserve">): 40,8% → 28,6%, ma</w:t>
      </w:r>
      <w:r>
        <w:t xml:space="preserve"> </w:t>
      </w:r>
      <w:r>
        <w:rPr>
          <w:b/>
          <w:bCs/>
        </w:rPr>
        <w:t xml:space="preserve">56° → 70° → 83° percentile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genere_frattura_istruzione.csv</w:t>
      </w:r>
    </w:p>
    <w:p>
      <w:pPr>
        <w:pStyle w:val="Compact"/>
        <w:numPr>
          <w:ilvl w:val="0"/>
          <w:numId w:val="1003"/>
        </w:numPr>
      </w:pPr>
      <w:r>
        <w:t xml:space="preserve">Occupazione femminile 15+: 18,1% (2011) → 23,7% (2024), ma la mediana regionale sale</w:t>
      </w:r>
      <w:r>
        <w:t xml:space="preserve"> </w:t>
      </w:r>
      <w:r>
        <w:t xml:space="preserve">da 23,6% a 28,3%.</w:t>
      </w:r>
      <w:r>
        <w:t xml:space="preserve"> </w:t>
      </w:r>
      <w:r>
        <w:rPr>
          <w:b/>
          <w:bCs/>
        </w:rPr>
        <w:t xml:space="preserve">Nel 2024 Bagheria arriva dove stava la mediana siciliana nel</w:t>
      </w:r>
      <w:r>
        <w:rPr>
          <w:b/>
          <w:bCs/>
        </w:rPr>
        <w:t xml:space="preserve"> </w:t>
      </w:r>
      <w:r>
        <w:rPr>
          <w:b/>
          <w:bCs/>
        </w:rPr>
        <w:t xml:space="preserve">2011</w:t>
      </w:r>
      <w:r>
        <w:t xml:space="preserve"> </w:t>
      </w:r>
      <w:r>
        <w:t xml:space="preserve">(fig04). La graduatoria dei 390 comuni del 2011 predice quella del 2024 con rho</w:t>
      </w:r>
      <w:r>
        <w:t xml:space="preserve"> </w:t>
      </w:r>
      <w:r>
        <w:t xml:space="preserve">di Spearman</w:t>
      </w:r>
      <w:r>
        <w:t xml:space="preserve"> </w:t>
      </w:r>
      <w:r>
        <w:rPr>
          <w:b/>
          <w:bCs/>
        </w:rPr>
        <w:t xml:space="preserve">0,848</w:t>
      </w:r>
      <w:r>
        <w:t xml:space="preserve">, e il 74% del quintile più basso del 2011 è ancora lì, Bagheria</w:t>
      </w:r>
      <w:r>
        <w:t xml:space="preserve"> </w:t>
      </w:r>
      <w:r>
        <w:t xml:space="preserve">compresa: il posizionamento del 2011 non era una fotografia scaduta ma una previsione</w:t>
      </w:r>
      <w:r>
        <w:t xml:space="preserve"> </w:t>
      </w:r>
      <w:r>
        <w:t xml:space="preserve">verificata. →</w:t>
      </w:r>
      <w:r>
        <w:t xml:space="preserve"> </w:t>
      </w:r>
      <w:r>
        <w:rPr>
          <w:rStyle w:val="VerbatimChar"/>
        </w:rPr>
        <w:t xml:space="preserve">genere_mappa_2011_2024.csv</w:t>
      </w:r>
      <w:r>
        <w:t xml:space="preserve">, sezione «I claim reggono al 2024?»</w:t>
      </w:r>
    </w:p>
    <w:p>
      <w:pPr>
        <w:pStyle w:val="Compact"/>
        <w:numPr>
          <w:ilvl w:val="0"/>
          <w:numId w:val="1003"/>
        </w:numPr>
      </w:pPr>
      <w:r>
        <w:t xml:space="preserve">La datazione è convergente da due domini indipendenti: sia il muro sull’occupazione</w:t>
      </w:r>
      <w:r>
        <w:t xml:space="preserve"> </w:t>
      </w:r>
      <w:r>
        <w:t xml:space="preserve">femminile sia la frattura sull’uscita precoce si aprono</w:t>
      </w:r>
      <w:r>
        <w:t xml:space="preserve"> </w:t>
      </w:r>
      <w:r>
        <w:rPr>
          <w:b/>
          <w:bCs/>
        </w:rPr>
        <w:t xml:space="preserve">nel decennio 2001-2011</w:t>
      </w:r>
      <w:r>
        <w:t xml:space="preserve"> </w:t>
      </w:r>
      <w:r>
        <w:t xml:space="preserve">e</w:t>
      </w:r>
      <w:r>
        <w:t xml:space="preserve"> </w:t>
      </w:r>
      <w:r>
        <w:t xml:space="preserve">non si richiudono (fig10). →</w:t>
      </w:r>
      <w:r>
        <w:t xml:space="preserve"> </w:t>
      </w:r>
      <w:r>
        <w:rPr>
          <w:rStyle w:val="VerbatimChar"/>
        </w:rPr>
        <w:t xml:space="preserve">genere_madri_recente.csv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genere_frattura_istruzione.csv</w:t>
      </w:r>
    </w:p>
    <w:bookmarkEnd w:id="16"/>
    <w:bookmarkStart w:id="17" w:name="Xc28dcea2fcba05c2b544930557683d153744b2f"/>
    <w:p>
      <w:pPr>
        <w:pStyle w:val="Heading3"/>
      </w:pPr>
      <w:r>
        <w:t xml:space="preserve">2.4 Le lenti di confronto: cosa sopravvive al cambio di «simile»</w:t>
      </w:r>
    </w:p>
    <w:p>
      <w:pPr>
        <w:pStyle w:val="FirstParagraph"/>
      </w:pPr>
      <w:r>
        <w:t xml:space="preserve">Oltre ai tre territori del brief, il benchmarking usa i</w:t>
      </w:r>
      <w:r>
        <w:t xml:space="preserve"> </w:t>
      </w:r>
      <w:r>
        <w:rPr>
          <w:b/>
          <w:bCs/>
        </w:rPr>
        <w:t xml:space="preserve">390 comuni siciliani</w:t>
      </w:r>
      <w:r>
        <w:t xml:space="preserve"> </w:t>
      </w:r>
      <w:r>
        <w:t xml:space="preserve">e due</w:t>
      </w:r>
      <w:r>
        <w:t xml:space="preserve"> </w:t>
      </w:r>
      <w:r>
        <w:t xml:space="preserve">gruppi di comuni pari costruiti con domande diverse, le</w:t>
      </w:r>
      <w:r>
        <w:t xml:space="preserve"> </w:t>
      </w:r>
      <w:r>
        <w:rPr>
          <w:b/>
          <w:bCs/>
        </w:rPr>
        <w:t xml:space="preserve">10 gemelle strutturali</w:t>
      </w:r>
      <w:r>
        <w:t xml:space="preserve"> </w:t>
      </w:r>
      <w:r>
        <w:t xml:space="preserve">(matching su dimensione, densità, età, stranieri, abitazioni, distanza da Palermo, mai</w:t>
      </w:r>
      <w:r>
        <w:t xml:space="preserve"> </w:t>
      </w:r>
      <w:r>
        <w:t xml:space="preserve">su esiti) e i</w:t>
      </w:r>
      <w:r>
        <w:t xml:space="preserve"> </w:t>
      </w:r>
      <w:r>
        <w:rPr>
          <w:b/>
          <w:bCs/>
        </w:rPr>
        <w:t xml:space="preserve">10 pari a pari istruzione</w:t>
      </w:r>
      <w:r>
        <w:t xml:space="preserve"> </w:t>
      </w:r>
      <w:r>
        <w:t xml:space="preserve">del thread educazione. L’overlap fra i due</w:t>
      </w:r>
      <w:r>
        <w:t xml:space="preserve"> </w:t>
      </w:r>
      <w:r>
        <w:t xml:space="preserve">gruppi è un solo comune (Misilmeri), e la figura di posizionamento (fig08) li mostra</w:t>
      </w:r>
      <w:r>
        <w:t xml:space="preserve"> </w:t>
      </w:r>
      <w:r>
        <w:t xml:space="preserve">affiancati:</w:t>
      </w:r>
      <w:r>
        <w:t xml:space="preserve"> </w:t>
      </w:r>
      <w:r>
        <w:rPr>
          <w:b/>
          <w:bCs/>
        </w:rPr>
        <w:t xml:space="preserve">ciò che si può affermare senza scegliere una lente è ciò che sopravvive a</w:t>
      </w:r>
      <w:r>
        <w:rPr>
          <w:b/>
          <w:bCs/>
        </w:rPr>
        <w:t xml:space="preserve"> </w:t>
      </w:r>
      <w:r>
        <w:rPr>
          <w:b/>
          <w:bCs/>
        </w:rPr>
        <w:t xml:space="preserve">entrambe</w:t>
      </w:r>
      <w:r>
        <w:t xml:space="preserve"> </w:t>
      </w:r>
      <w:r>
        <w:t xml:space="preserve">- 6 indicatori su 8 danno lo stesso giudizio.</w:t>
      </w:r>
    </w:p>
    <w:p>
      <w:pPr>
        <w:pStyle w:val="BodyText"/>
      </w:pPr>
      <w:r>
        <w:t xml:space="preserve">Tre tratti reggono a tutte e due le letture e vanno in proposta: disoccupazione</w:t>
      </w:r>
      <w:r>
        <w:t xml:space="preserve"> </w:t>
      </w:r>
      <w:r>
        <w:t xml:space="preserve">femminile estrema (8/10 comuni sotto), occupazione giovanile bassa (2/10 sotto),</w:t>
      </w:r>
      <w:r>
        <w:t xml:space="preserve"> </w:t>
      </w:r>
      <w:r>
        <w:t xml:space="preserve">autonomia abitativa giovanile al minimo (0/10 sotto). E la divergenza più informativa è</w:t>
      </w:r>
      <w:r>
        <w:t xml:space="preserve"> </w:t>
      </w:r>
      <w:r>
        <w:t xml:space="preserve">sull’occupazione femminile: dentro le gemelle strutturali Bagheria è nella norma (3/10),</w:t>
      </w:r>
      <w:r>
        <w:t xml:space="preserve"> </w:t>
      </w:r>
      <w:r>
        <w:t xml:space="preserve">fra i comuni ugualmente scolarizzati è</w:t>
      </w:r>
      <w:r>
        <w:t xml:space="preserve"> </w:t>
      </w:r>
      <w:r>
        <w:rPr>
          <w:b/>
          <w:bCs/>
        </w:rPr>
        <w:t xml:space="preserve">penultima</w:t>
      </w:r>
      <w:r>
        <w:t xml:space="preserve"> </w:t>
      </w:r>
      <w:r>
        <w:t xml:space="preserve">(1/10).</w:t>
      </w:r>
      <w:r>
        <w:t xml:space="preserve"> </w:t>
      </w:r>
      <w:r>
        <w:rPr>
          <w:b/>
          <w:bCs/>
        </w:rPr>
        <w:t xml:space="preserve">A pari istruzione, il</w:t>
      </w:r>
      <w:r>
        <w:rPr>
          <w:b/>
          <w:bCs/>
        </w:rPr>
        <w:t xml:space="preserve"> </w:t>
      </w:r>
      <w:r>
        <w:rPr>
          <w:b/>
          <w:bCs/>
        </w:rPr>
        <w:t xml:space="preserve">lavoro femminile non arriva: non è un tratto di fascia territoriale.</w:t>
      </w:r>
      <w:r>
        <w:t xml:space="preserve"> </w:t>
      </w:r>
      <w:r>
        <w:t xml:space="preserve">I modelli</w:t>
      </w:r>
      <w:r>
        <w:t xml:space="preserve"> </w:t>
      </w:r>
      <w:r>
        <w:t xml:space="preserve">comunali del thread educazione confermano il segno (occupazione giovanile</w:t>
      </w:r>
      <w:r>
        <w:t xml:space="preserve"> </w:t>
      </w:r>
      <w:r>
        <w:t xml:space="preserve">osservata−prevista</w:t>
      </w:r>
      <w:r>
        <w:t xml:space="preserve"> </w:t>
      </w:r>
      <w:r>
        <w:rPr>
          <w:b/>
          <w:bCs/>
        </w:rPr>
        <w:t xml:space="preserve">−5,9 punti</w:t>
      </w:r>
      <w:r>
        <w:t xml:space="preserve"> </w:t>
      </w:r>
      <w:r>
        <w:t xml:space="preserve">[bootstrap −7,7, −4,3], CV R² 0,05: si cita come</w:t>
      </w:r>
      <w:r>
        <w:t xml:space="preserve"> </w:t>
      </w:r>
      <w:r>
        <w:t xml:space="preserve">conferma di segno, mai come quantità attribuibile al comune).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genere_posizionamento.csv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genere_pari_lenti.csv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edu_model_robustness_2011.csv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3789cd95ef7ee84a34dc0069e2ad0be48916254"/>
    <w:p>
      <w:pPr>
        <w:pStyle w:val="Heading2"/>
      </w:pPr>
      <w:r>
        <w:t xml:space="preserve">3. Il focus di genere: il capitale umano che il territorio spreca di più è femminile</w:t>
      </w:r>
    </w:p>
    <w:bookmarkStart w:id="19" w:name="la-forbice-più-istruite-meno-occupate"/>
    <w:p>
      <w:pPr>
        <w:pStyle w:val="Heading3"/>
      </w:pPr>
      <w:r>
        <w:t xml:space="preserve">3.1 La forbice: più istruite, meno occupate</w:t>
      </w:r>
    </w:p>
    <w:p>
      <w:pPr>
        <w:pStyle w:val="FirstParagraph"/>
      </w:pPr>
      <w:r>
        <w:t xml:space="preserve">Nel 2024, a Bagheria: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Maschi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Femmine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Almeno diploma (9-24)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−4,2 pp</w:t>
            </w:r>
            <w:r>
              <w:t xml:space="preserve"> </w:t>
            </w:r>
            <w:r>
              <w:t xml:space="preserve">(F avanti)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Occupazione (15-24)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+8,3 pp</w:t>
            </w:r>
            <w:r>
              <w:t xml:space="preserve"> </w:t>
            </w:r>
            <w:r>
              <w:t xml:space="preserve">(F indietro)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genere_quadro_sintesi.csv</w:t>
      </w:r>
    </w:p>
    <w:p>
      <w:pPr>
        <w:pStyle w:val="BodyText"/>
      </w:pPr>
      <w:r>
        <w:t xml:space="preserve">Il vantaggio educativo femminile sulla fascia 9-24 è il più ampio del panel (Palermo</w:t>
      </w:r>
      <w:r>
        <w:t xml:space="preserve"> </w:t>
      </w:r>
      <w:r>
        <w:t xml:space="preserve">−1,8, Sicilia −2,7, Italia −2,2); il gap occupazionale è 8,3 punti [IC 95% 6,6-10,0].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genere_gap_occupazione_ci.csv</w:t>
      </w:r>
    </w:p>
    <w:p>
      <w:pPr>
        <w:pStyle w:val="BodyText"/>
      </w:pPr>
      <w:r>
        <w:t xml:space="preserve">La scala su cui leggere il gap è stata scelta con un modello, non a occhio (fig01).</w:t>
      </w:r>
      <w:r>
        <w:t xml:space="preserve"> </w:t>
      </w:r>
      <w:r>
        <w:rPr>
          <w:b/>
          <w:bCs/>
        </w:rPr>
        <w:t xml:space="preserve">In punti</w:t>
      </w:r>
      <w:r>
        <w:t xml:space="preserve"> </w:t>
      </w:r>
      <w:r>
        <w:t xml:space="preserve">il gap di Bagheria non è un’anomalia locale (pooled 2022-24: +1,1 verso</w:t>
      </w:r>
      <w:r>
        <w:t xml:space="preserve"> </w:t>
      </w:r>
      <w:r>
        <w:t xml:space="preserve">Palermo, p=0,03; −1,8/−1,9 verso Sicilia e Italia).</w:t>
      </w:r>
      <w:r>
        <w:t xml:space="preserve"> </w:t>
      </w:r>
      <w:r>
        <w:rPr>
          <w:b/>
          <w:bCs/>
        </w:rPr>
        <w:t xml:space="preserve">In rapporto</w:t>
      </w:r>
      <w:r>
        <w:t xml:space="preserve"> </w:t>
      </w:r>
      <w:r>
        <w:t xml:space="preserve">(M/F = 2,01 contro</w:t>
      </w:r>
      <w:r>
        <w:t xml:space="preserve"> </w:t>
      </w:r>
      <w:r>
        <w:t xml:space="preserve">1,56 nazionale) Bagheria è la peggiore del panel, ma il rapporto oscilla fra le annate.</w:t>
      </w:r>
      <w:r>
        <w:t xml:space="preserve"> </w:t>
      </w:r>
      <w:r>
        <w:rPr>
          <w:b/>
          <w:bCs/>
        </w:rPr>
        <w:t xml:space="preserve">Il tratto locale è il livello: il tasso di occupazione femminile all’8,2% [Wilson</w:t>
      </w:r>
      <w:r>
        <w:rPr>
          <w:b/>
          <w:bCs/>
        </w:rPr>
        <w:t xml:space="preserve"> </w:t>
      </w:r>
      <w:r>
        <w:rPr>
          <w:b/>
          <w:bCs/>
        </w:rPr>
        <w:t xml:space="preserve">7,2-9,2] è il minimo dei quattro territori in tutte e 6 le annate disponibili</w:t>
      </w:r>
      <w:r>
        <w:t xml:space="preserve">, ed è</w:t>
      </w:r>
      <w:r>
        <w:t xml:space="preserve"> </w:t>
      </w:r>
      <w:r>
        <w:t xml:space="preserve">testato, sotto Palermo di 1,2 punti, sotto la Sicilia di 1,9, sotto l’Italia di 8,9</w:t>
      </w:r>
      <w:r>
        <w:t xml:space="preserve"> </w:t>
      </w:r>
      <w:r>
        <w:t xml:space="preserve">(p ≤ 0,0001 pooled 2022-24). Il gap inoltre</w:t>
      </w:r>
      <w:r>
        <w:t xml:space="preserve"> </w:t>
      </w:r>
      <w:r>
        <w:rPr>
          <w:b/>
          <w:bCs/>
        </w:rPr>
        <w:t xml:space="preserve">si sta allargando</w:t>
      </w:r>
      <w:r>
        <w:t xml:space="preserve">: +0,21 punti/anno</w:t>
      </w:r>
      <w:r>
        <w:t xml:space="preserve"> </w:t>
      </w:r>
      <w:r>
        <w:t xml:space="preserve">(IC 0,06-0,35, p=0,008). → sezioni «Punti percentuali o rapporto?», «Modello lineare di</w:t>
      </w:r>
      <w:r>
        <w:t xml:space="preserve"> </w:t>
      </w:r>
      <w:r>
        <w:t xml:space="preserve">probabilità» e «Trend 2018-2024» di</w:t>
      </w:r>
      <w:r>
        <w:t xml:space="preserve"> </w:t>
      </w:r>
      <w:r>
        <w:rPr>
          <w:rStyle w:val="VerbatimChar"/>
        </w:rPr>
        <w:t xml:space="preserve">notebooks/genere.ipynb</w:t>
      </w:r>
    </w:p>
    <w:p>
      <w:pPr>
        <w:pStyle w:val="BodyText"/>
      </w:pPr>
      <w:r>
        <w:t xml:space="preserve">Sulle cautele dell’istruzione la relazione è esplicita, perché il claim va maneggiato:</w:t>
      </w:r>
      <w:r>
        <w:t xml:space="preserve"> </w:t>
      </w:r>
      <w:r>
        <w:t xml:space="preserve">sulla</w:t>
      </w:r>
      <w:r>
        <w:t xml:space="preserve"> </w:t>
      </w:r>
      <w:r>
        <w:rPr>
          <w:b/>
          <w:bCs/>
        </w:rPr>
        <w:t xml:space="preserve">stessa fascia 15-24</w:t>
      </w:r>
      <w:r>
        <w:t xml:space="preserve"> </w:t>
      </w:r>
      <w:r>
        <w:t xml:space="preserve">il vantaggio educativo femminile di Bagheria (+4,8) è un</w:t>
      </w:r>
      <w:r>
        <w:t xml:space="preserve"> </w:t>
      </w:r>
      <w:r>
        <w:t xml:space="preserve">pareggio con la Sicilia (+4,7), e sul bound 18-24 il primato non regge. Il claim</w:t>
      </w:r>
      <w:r>
        <w:t xml:space="preserve"> </w:t>
      </w:r>
      <w:r>
        <w:t xml:space="preserve">robusto non è «le più istruite d’Italia»: è la coppia</w:t>
      </w:r>
      <w:r>
        <w:t xml:space="preserve"> </w:t>
      </w:r>
      <w:r>
        <w:rPr>
          <w:b/>
          <w:bCs/>
        </w:rPr>
        <w:t xml:space="preserve">distacco dal vicinato</w:t>
      </w:r>
      <w:r>
        <w:t xml:space="preserve"> </w:t>
      </w:r>
      <w:r>
        <w:t xml:space="preserve">(+5,7</w:t>
      </w:r>
      <w:r>
        <w:t xml:space="preserve"> </w:t>
      </w:r>
      <w:r>
        <w:t xml:space="preserve">contro +2,5)</w:t>
      </w:r>
      <w:r>
        <w:t xml:space="preserve"> </w:t>
      </w:r>
      <w:r>
        <w:rPr>
          <w:b/>
          <w:bCs/>
        </w:rPr>
        <w:t xml:space="preserve">e mancata conversione</w:t>
      </w:r>
      <w:r>
        <w:t xml:space="preserve">. Su 1.000 ragazze 15-24 di Bagheria, 510 hanno</w:t>
      </w:r>
      <w:r>
        <w:t xml:space="preserve"> </w:t>
      </w:r>
      <w:r>
        <w:t xml:space="preserve">almeno il diploma e 82 lavorano; fra i coetanei, 462 e 165 (fig11). Le due barre hanno</w:t>
      </w:r>
      <w:r>
        <w:t xml:space="preserve"> </w:t>
      </w:r>
      <w:r>
        <w:t xml:space="preserve">la stessa base e</w:t>
      </w:r>
      <w:r>
        <w:t xml:space="preserve"> </w:t>
      </w:r>
      <w:r>
        <w:rPr>
          <w:b/>
          <w:bCs/>
        </w:rPr>
        <w:t xml:space="preserve">non sono un funnel</w:t>
      </w:r>
      <w:r>
        <w:t xml:space="preserve">: l’incrocio individuale non esiste (sezione 4).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genere_per_1000.csv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genere_forbice_quadrante.csv</w:t>
      </w:r>
    </w:p>
    <w:bookmarkEnd w:id="19"/>
    <w:bookmarkStart w:id="20" w:name="X0af68582c46c77c78c97bf4a7a5a23975c76f08"/>
    <w:p>
      <w:pPr>
        <w:pStyle w:val="Heading3"/>
      </w:pPr>
      <w:r>
        <w:t xml:space="preserve">3.2 Dentro l’inattività: le casalinghe ventenni, nubili</w:t>
      </w:r>
    </w:p>
    <w:p>
      <w:pPr>
        <w:pStyle w:val="FirstParagraph"/>
      </w:pPr>
      <w:r>
        <w:t xml:space="preserve">Il 13,4% delle ragazze 15-24 di Bagheria si dichiara</w:t>
      </w:r>
      <w:r>
        <w:t xml:space="preserve"> </w:t>
      </w:r>
      <w:r>
        <w:rPr>
          <w:b/>
          <w:bCs/>
        </w:rPr>
        <w:t xml:space="preserve">casalinga</w:t>
      </w:r>
      <w:r>
        <w:t xml:space="preserve">: 387 persone, contro</w:t>
      </w:r>
      <w:r>
        <w:t xml:space="preserve"> </w:t>
      </w:r>
      <w:r>
        <w:t xml:space="preserve">il 4,6% nazionale, serie 2018-2024 stabile. Sull’aggregato pesa la struttura per età: i</w:t>
      </w:r>
      <w:r>
        <w:t xml:space="preserve"> </w:t>
      </w:r>
      <w:r>
        <w:t xml:space="preserve">bounds vanno dal 18,8% delle 18-24enni al 25,8% delle 20-24enni; l’eccesso</w:t>
      </w:r>
      <w:r>
        <w:t xml:space="preserve"> </w:t>
      </w:r>
      <w:r>
        <w:t xml:space="preserve">sull’incidenza italiana vale</w:t>
      </w:r>
      <w:r>
        <w:t xml:space="preserve"> </w:t>
      </w:r>
      <w:r>
        <w:rPr>
          <w:b/>
          <w:bCs/>
        </w:rPr>
        <w:t xml:space="preserve">254 ragazze</w:t>
      </w:r>
      <w:r>
        <w:t xml:space="preserve">. →</w:t>
      </w:r>
      <w:r>
        <w:t xml:space="preserve"> </w:t>
      </w:r>
      <w:r>
        <w:rPr>
          <w:rStyle w:val="VerbatimChar"/>
        </w:rPr>
        <w:t xml:space="preserve">genere_casalinghe.csv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genere_casalinghe_bounds.csv</w:t>
      </w:r>
    </w:p>
    <w:p>
      <w:pPr>
        <w:pStyle w:val="BodyText"/>
      </w:pPr>
      <w:r>
        <w:t xml:space="preserve">Chi sono? Il canale del matrimonio precoce</w:t>
      </w:r>
      <w:r>
        <w:t xml:space="preserve"> </w:t>
      </w:r>
      <w:r>
        <w:rPr>
          <w:b/>
          <w:bCs/>
        </w:rPr>
        <w:t xml:space="preserve">non regge i numeri</w:t>
      </w:r>
      <w:r>
        <w:t xml:space="preserve">: al 1.1.2025 le già</w:t>
      </w:r>
      <w:r>
        <w:t xml:space="preserve"> </w:t>
      </w:r>
      <w:r>
        <w:t xml:space="preserve">coniugate 15-24 sono 41 (1,4%) contro 387 casalinghe -</w:t>
      </w:r>
      <w:r>
        <w:t xml:space="preserve"> </w:t>
      </w:r>
      <w:r>
        <w:rPr>
          <w:b/>
          <w:bCs/>
        </w:rPr>
        <w:t xml:space="preserve">almeno l’89% è nubile</w:t>
      </w:r>
      <w:r>
        <w:t xml:space="preserve"> </w:t>
      </w:r>
      <w:r>
        <w:t xml:space="preserve">- e la</w:t>
      </w:r>
      <w:r>
        <w:t xml:space="preserve"> </w:t>
      </w:r>
      <w:r>
        <w:t xml:space="preserve">quota di coniugate 20-24 di Bagheria (2,7%) sta</w:t>
      </w:r>
      <w:r>
        <w:t xml:space="preserve"> </w:t>
      </w:r>
      <w:r>
        <w:rPr>
          <w:i/>
          <w:iCs/>
        </w:rPr>
        <w:t xml:space="preserve">sotto</w:t>
      </w:r>
      <w:r>
        <w:t xml:space="preserve"> </w:t>
      </w:r>
      <w:r>
        <w:t xml:space="preserve">Palermo (3,2%) e Sicilia</w:t>
      </w:r>
      <w:r>
        <w:t xml:space="preserve"> </w:t>
      </w:r>
      <w:r>
        <w:t xml:space="preserve">(2,9%). Il canale è la famiglia d’origine, non la famiglia propria: la risposta di</w:t>
      </w:r>
      <w:r>
        <w:t xml:space="preserve"> </w:t>
      </w:r>
      <w:r>
        <w:t xml:space="preserve">policy è un servizio di</w:t>
      </w:r>
      <w:r>
        <w:t xml:space="preserve"> </w:t>
      </w:r>
      <w:r>
        <w:rPr>
          <w:b/>
          <w:bCs/>
        </w:rPr>
        <w:t xml:space="preserve">attivazione</w:t>
      </w:r>
      <w:r>
        <w:t xml:space="preserve">, non solo di conciliazione.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genere_stato_civile.csv</w:t>
      </w:r>
      <w:r>
        <w:t xml:space="preserve"> </w:t>
      </w:r>
      <w:r>
        <w:t xml:space="preserve">(fonte DCIS_POPRES1, denominatori coincidenti alla singola</w:t>
      </w:r>
      <w:r>
        <w:t xml:space="preserve"> </w:t>
      </w:r>
      <w:r>
        <w:t xml:space="preserve">unità con la tavola censuaria)</w:t>
      </w:r>
    </w:p>
    <w:p>
      <w:pPr>
        <w:pStyle w:val="BodyText"/>
      </w:pPr>
      <w:r>
        <w:t xml:space="preserve">Il gruppo degli «invisibili» - fuori da lavoro, studio e ricerca -</w:t>
      </w:r>
      <w:r>
        <w:t xml:space="preserve"> </w:t>
      </w:r>
      <w:r>
        <w:rPr>
          <w:b/>
          <w:bCs/>
        </w:rPr>
        <w:t xml:space="preserve">non è femminile</w:t>
      </w:r>
      <w:r>
        <w:rPr>
          <w:b/>
          <w:bCs/>
        </w:rPr>
        <w:t xml:space="preserve"> </w:t>
      </w:r>
      <w:r>
        <w:rPr>
          <w:b/>
          <w:bCs/>
        </w:rPr>
        <w:t xml:space="preserve">nelle dimensioni</w:t>
      </w:r>
      <w:r>
        <w:t xml:space="preserve">: 573 ragazze e 549 ragazzi (51% F). È femminile</w:t>
      </w:r>
      <w:r>
        <w:t xml:space="preserve"> </w:t>
      </w:r>
      <w:r>
        <w:rPr>
          <w:b/>
          <w:bCs/>
        </w:rPr>
        <w:t xml:space="preserve">nell’etichetta</w:t>
      </w:r>
      <w:r>
        <w:t xml:space="preserve">:</w:t>
      </w:r>
      <w:r>
        <w:t xml:space="preserve"> </w:t>
      </w:r>
      <w:r>
        <w:t xml:space="preserve">fra le ragazze prevale una condizione dichiarata (387 casalinghe contro 50), fra i</w:t>
      </w:r>
      <w:r>
        <w:t xml:space="preserve"> </w:t>
      </w:r>
      <w:r>
        <w:t xml:space="preserve">ragazzi il residuo senza nome («altra condizione»: 485 contro 183). Qualunque outreach</w:t>
      </w:r>
      <w:r>
        <w:t xml:space="preserve"> </w:t>
      </w:r>
      <w:r>
        <w:t xml:space="preserve">deve coprire entrambi i generi con agganci diversi - per le ragazze il carico di cura ha</w:t>
      </w:r>
      <w:r>
        <w:t xml:space="preserve"> </w:t>
      </w:r>
      <w:r>
        <w:t xml:space="preserve">già un nome censuario, per i ragazzi non c’è neppure quello.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genere_composizione_stato_dettaglio.csv</w:t>
      </w:r>
      <w:r>
        <w:t xml:space="preserve"> </w:t>
      </w:r>
      <w:r>
        <w:t xml:space="preserve">(fig02)</w:t>
      </w:r>
    </w:p>
    <w:bookmarkEnd w:id="20"/>
    <w:bookmarkStart w:id="21" w:name="X359363799d76abb725aa2101ff756994852dbb5"/>
    <w:p>
      <w:pPr>
        <w:pStyle w:val="Heading3"/>
      </w:pPr>
      <w:r>
        <w:t xml:space="preserve">3.3 La fuga ha un tempismo di genere: la finestra 22-25</w:t>
      </w:r>
    </w:p>
    <w:p>
      <w:pPr>
        <w:pStyle w:val="FirstParagraph"/>
      </w:pPr>
      <w:r>
        <w:t xml:space="preserve">La ritenzione di coorte 2021-2024 mostra due uscite diverse (fig03, fig07):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 ragazzi si perdono presto e a ondate</w:t>
      </w:r>
      <w:r>
        <w:t xml:space="preserve"> </w:t>
      </w:r>
      <w:r>
        <w:t xml:space="preserve">(età 17-19 e 23-24), con</w:t>
      </w:r>
      <w:r>
        <w:t xml:space="preserve"> </w:t>
      </w:r>
      <w:r>
        <w:rPr>
          <w:b/>
          <w:bCs/>
        </w:rPr>
        <w:t xml:space="preserve">rientri netti</w:t>
      </w:r>
      <w:r>
        <w:rPr>
          <w:b/>
          <w:bCs/>
        </w:rPr>
        <w:t xml:space="preserve"> </w:t>
      </w:r>
      <w:r>
        <w:rPr>
          <w:b/>
          <w:bCs/>
        </w:rPr>
        <w:t xml:space="preserve">dopo i 26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 ragazze tengono fino ai 23-24 e si perdono dai 24-25 in poi, senza rientri</w:t>
      </w:r>
      <w:r>
        <w:t xml:space="preserve">:</w:t>
      </w:r>
      <w:r>
        <w:t xml:space="preserve"> </w:t>
      </w:r>
      <w:r>
        <w:t xml:space="preserve">coorte 25-29 a</w:t>
      </w:r>
      <w:r>
        <w:t xml:space="preserve"> </w:t>
      </w:r>
      <w:r>
        <w:rPr>
          <w:b/>
          <w:bCs/>
        </w:rPr>
        <w:t xml:space="preserve">96,3</w:t>
      </w:r>
      <w:r>
        <w:t xml:space="preserve"> </w:t>
      </w:r>
      <w:r>
        <w:t xml:space="preserve">contro 103,0 in Italia, esattamente l’età in cui il vantaggio</w:t>
      </w:r>
      <w:r>
        <w:t xml:space="preserve"> </w:t>
      </w:r>
      <w:r>
        <w:t xml:space="preserve">educativo dovrebbe convertirsi in occupazione e non lo fa.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genere_coorti.csv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genere_ritenzione_eta.csv</w:t>
      </w:r>
    </w:p>
    <w:p>
      <w:pPr>
        <w:pStyle w:val="BodyText"/>
      </w:pPr>
      <w:r>
        <w:rPr>
          <w:b/>
          <w:bCs/>
        </w:rPr>
        <w:t xml:space="preserve">La finestra utile per intervenire sulle ragazze è 22-25 anni</w:t>
      </w:r>
      <w:r>
        <w:t xml:space="preserve"> </w:t>
      </w:r>
      <w:r>
        <w:t xml:space="preserve">- prima la curva è</w:t>
      </w:r>
      <w:r>
        <w:t xml:space="preserve"> </w:t>
      </w:r>
      <w:r>
        <w:t xml:space="preserve">sopra la pari, dopo la perdita è già avvenuta. ⚠️ È una lettura</w:t>
      </w:r>
      <w:r>
        <w:t xml:space="preserve"> </w:t>
      </w:r>
      <w:r>
        <w:rPr>
          <w:b/>
          <w:bCs/>
        </w:rPr>
        <w:t xml:space="preserve">pooled sul triennio</w:t>
      </w:r>
      <w:r>
        <w:t xml:space="preserve">:</w:t>
      </w:r>
      <w:r>
        <w:t xml:space="preserve"> </w:t>
      </w:r>
      <w:r>
        <w:t xml:space="preserve">le transizioni annuali oscillano fino a 8 punti sulla stessa età (n ~290 per cella);</w:t>
      </w:r>
      <w:r>
        <w:t xml:space="preserve"> </w:t>
      </w:r>
      <w:r>
        <w:t xml:space="preserve">l’anno singolo è un controllo, non un titolo. →</w:t>
      </w:r>
      <w:r>
        <w:t xml:space="preserve"> </w:t>
      </w:r>
      <w:r>
        <w:rPr>
          <w:rStyle w:val="VerbatimChar"/>
        </w:rPr>
        <w:t xml:space="preserve">genere_ritenzione_transizioni.csv</w:t>
      </w:r>
    </w:p>
    <w:p>
      <w:pPr>
        <w:pStyle w:val="BodyText"/>
      </w:pPr>
      <w:r>
        <w:t xml:space="preserve">Alla scala decennale la frattura è più netta, e risponde all’obiezione che tre anni non</w:t>
      </w:r>
      <w:r>
        <w:t xml:space="preserve"> </w:t>
      </w:r>
      <w:r>
        <w:t xml:space="preserve">bastano: la coorte 15-19 seguita per dieci anni passa, sulle femmine, da</w:t>
      </w:r>
      <w:r>
        <w:t xml:space="preserve"> </w:t>
      </w:r>
      <w:r>
        <w:rPr>
          <w:b/>
          <w:bCs/>
        </w:rPr>
        <w:t xml:space="preserve">102,9%</w:t>
      </w:r>
      <w:r>
        <w:rPr>
          <w:b/>
          <w:bCs/>
        </w:rPr>
        <w:t xml:space="preserve"> </w:t>
      </w:r>
      <w:r>
        <w:rPr>
          <w:b/>
          <w:bCs/>
        </w:rPr>
        <w:t xml:space="preserve">(2001-2011) a 88,6% (2011-2021)</w:t>
      </w:r>
      <w:r>
        <w:t xml:space="preserve">, e sui maschi da 98,4% a</w:t>
      </w:r>
      <w:r>
        <w:t xml:space="preserve"> </w:t>
      </w:r>
      <w:r>
        <w:rPr>
          <w:b/>
          <w:bCs/>
        </w:rPr>
        <w:t xml:space="preserve">83,9%</w:t>
      </w:r>
      <w:r>
        <w:t xml:space="preserve">, ~14 punti di</w:t>
      </w:r>
      <w:r>
        <w:t xml:space="preserve"> </w:t>
      </w:r>
      <w:r>
        <w:t xml:space="preserve">ribaltamento, nello stesso decennio del muro sul lavoro (sez. 2.3).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genere_ritenzione_decennale.csv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f63d8299ce449af7f449fe55cbc1d52dd7f3e3e"/>
    <w:p>
      <w:pPr>
        <w:pStyle w:val="Heading2"/>
      </w:pPr>
      <w:r>
        <w:t xml:space="preserve">4. Titolo e condizione: la domanda a cui i dati comunali non rispondono</w:t>
      </w:r>
    </w:p>
    <w:p>
      <w:pPr>
        <w:pStyle w:val="FirstParagraph"/>
      </w:pPr>
      <w:r>
        <w:t xml:space="preserve">Il primo focus proposto dalla locandina - la relazione fra titolo di studio e condizione</w:t>
      </w:r>
      <w:r>
        <w:t xml:space="preserve"> </w:t>
      </w:r>
      <w:r>
        <w:t xml:space="preserve">lavorativa - a livello comunale</w:t>
      </w:r>
      <w:r>
        <w:t xml:space="preserve"> </w:t>
      </w:r>
      <w:r>
        <w:rPr>
          <w:b/>
          <w:bCs/>
        </w:rPr>
        <w:t xml:space="preserve">non è misurabile sull’individuo</w:t>
      </w:r>
      <w:r>
        <w:t xml:space="preserve">, e lo abbiamo</w:t>
      </w:r>
      <w:r>
        <w:t xml:space="preserve"> </w:t>
      </w:r>
      <w:r>
        <w:t xml:space="preserve">dimostrato prima di aggirarlo: nelle tavole comunali del censimento permanente la tavola</w:t>
      </w:r>
      <w:r>
        <w:t xml:space="preserve"> </w:t>
      </w:r>
      <w:r>
        <w:t xml:space="preserve">lavoro pubblica il titolo solo come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e la tavola istruzione pubblica la condizione</w:t>
      </w:r>
      <w:r>
        <w:t xml:space="preserve"> </w:t>
      </w:r>
      <w:r>
        <w:t xml:space="preserve">solo come totale</w:t>
      </w:r>
      <w:r>
        <w:t xml:space="preserve"> </w:t>
      </w:r>
      <w:r>
        <w:rPr>
          <w:rStyle w:val="VerbatimChar"/>
        </w:rPr>
        <w:t xml:space="preserve">99</w:t>
      </w:r>
      <w:r>
        <w:t xml:space="preserve"> </w:t>
      </w:r>
      <w:r>
        <w:t xml:space="preserve">(cella «Verifica di fattibilità» di</w:t>
      </w:r>
      <w:r>
        <w:t xml:space="preserve"> </w:t>
      </w:r>
      <w:r>
        <w:rPr>
          <w:rStyle w:val="VerbatimChar"/>
        </w:rPr>
        <w:t xml:space="preserve">notebooks/genere.ipynb</w:t>
      </w:r>
      <w:r>
        <w:t xml:space="preserve">).</w:t>
      </w:r>
      <w:r>
        <w:t xml:space="preserve"> </w:t>
      </w:r>
      <w:r>
        <w:rPr>
          <w:i/>
          <w:iCs/>
        </w:rPr>
        <w:t xml:space="preserve">«Quanti diplomati di Bagheria lavorano»</w:t>
      </w:r>
      <w:r>
        <w:t xml:space="preserve"> </w:t>
      </w:r>
      <w:r>
        <w:t xml:space="preserve">non è una domanda a cui i dati pubblici</w:t>
      </w:r>
      <w:r>
        <w:t xml:space="preserve"> </w:t>
      </w:r>
      <w:r>
        <w:t xml:space="preserve">rispondono.</w:t>
      </w:r>
    </w:p>
    <w:p>
      <w:pPr>
        <w:pStyle w:val="BodyText"/>
      </w:pPr>
      <w:r>
        <w:t xml:space="preserve">Quello che si può dire, si dice con due misure parallele sulla stessa fascia e sullo</w:t>
      </w:r>
      <w:r>
        <w:t xml:space="preserve"> </w:t>
      </w:r>
      <w:r>
        <w:t xml:space="preserve">stesso denominatore (fig11, sezione 3.1), con il confronto territoriale (sezione 2) e</w:t>
      </w:r>
      <w:r>
        <w:t xml:space="preserve"> </w:t>
      </w:r>
      <w:r>
        <w:t xml:space="preserve">con la lente dei pari a pari istruzione (sezione 2.4). Tutto converge sulla stessa</w:t>
      </w:r>
      <w:r>
        <w:t xml:space="preserve"> </w:t>
      </w:r>
      <w:r>
        <w:t xml:space="preserve">conclusione:</w:t>
      </w:r>
      <w:r>
        <w:t xml:space="preserve"> </w:t>
      </w:r>
      <w:r>
        <w:rPr>
          <w:b/>
          <w:bCs/>
        </w:rPr>
        <w:t xml:space="preserve">il collo di bottiglia non è la produzione di titoli - quasi universale</w:t>
      </w:r>
      <w:r>
        <w:rPr>
          <w:b/>
          <w:bCs/>
        </w:rPr>
        <w:t xml:space="preserve"> </w:t>
      </w:r>
      <w:r>
        <w:rPr>
          <w:b/>
          <w:bCs/>
        </w:rPr>
        <w:t xml:space="preserve">alla base già nel 2011, con il 96,7% dei 15-19enni almeno alla licenza media - ma la</w:t>
      </w:r>
      <w:r>
        <w:rPr>
          <w:b/>
          <w:bCs/>
        </w:rPr>
        <w:t xml:space="preserve"> </w:t>
      </w:r>
      <w:r>
        <w:rPr>
          <w:b/>
          <w:bCs/>
        </w:rPr>
        <w:t xml:space="preserve">conversione dei titoli in lavoro.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edu_historical_benchmarks_2011.csv</w:t>
      </w:r>
    </w:p>
    <w:p>
      <w:pPr>
        <w:pStyle w:val="BodyText"/>
      </w:pPr>
      <w:r>
        <w:t xml:space="preserve">La versione individuale della domanda resta la più importante del territorio, ed è per</w:t>
      </w:r>
      <w:r>
        <w:t xml:space="preserve"> </w:t>
      </w:r>
      <w:r>
        <w:t xml:space="preserve">questo che la proposta la trasforma in un output: il dataset di servizio della sezione</w:t>
      </w:r>
      <w:r>
        <w:t xml:space="preserve"> </w:t>
      </w:r>
      <w:r>
        <w:t xml:space="preserve">7.5 misura, per la prima volta a Bagheria, titolo → azione → esito sulla singola</w:t>
      </w:r>
      <w:r>
        <w:t xml:space="preserve"> </w:t>
      </w:r>
      <w:r>
        <w:t xml:space="preserve">persona.</w:t>
      </w:r>
    </w:p>
    <w:p>
      <w:r>
        <w:pict>
          <v:rect style="width:0;height:1.5pt" o:hralign="center" o:hrstd="t" o:hr="t"/>
        </w:pict>
      </w:r>
    </w:p>
    <w:bookmarkEnd w:id="23"/>
    <w:bookmarkStart w:id="24" w:name="X546751c3da65ad84791ee5bdbb7384084e691b8"/>
    <w:p>
      <w:pPr>
        <w:pStyle w:val="Heading2"/>
      </w:pPr>
      <w:r>
        <w:t xml:space="preserve">5. Il pendolarismo: si esce per studiare, non per lavorare</w:t>
      </w:r>
    </w:p>
    <w:p>
      <w:pPr>
        <w:pStyle w:val="FirstParagraph"/>
      </w:pPr>
      <w:r>
        <w:t xml:space="preserve">Il terzo focus del brief. La tavola del pendolarismo del censimento permanente ha la</w:t>
      </w:r>
      <w:r>
        <w:t xml:space="preserve"> </w:t>
      </w:r>
      <w:r>
        <w:t xml:space="preserve">dimensione di genere, mai scomposta prima di questa analisi (fig12). La misura è la</w:t>
      </w:r>
      <w:r>
        <w:t xml:space="preserve"> </w:t>
      </w:r>
      <w:r>
        <w:t xml:space="preserve">quota di chi</w:t>
      </w:r>
      <w:r>
        <w:t xml:space="preserve"> </w:t>
      </w:r>
      <w:r>
        <w:rPr>
          <w:b/>
          <w:bCs/>
        </w:rPr>
        <w:t xml:space="preserve">esce dal comune</w:t>
      </w:r>
      <w:r>
        <w:t xml:space="preserve"> </w:t>
      </w:r>
      <w:r>
        <w:t xml:space="preserve">sul totale di chi si sposta giornalmente per quel</w:t>
      </w:r>
      <w:r>
        <w:t xml:space="preserve"> </w:t>
      </w:r>
      <w:r>
        <w:t xml:space="preserve">motivo, e il denominatore è già condizionato al motivo: chi si sposta per lavoro un</w:t>
      </w:r>
      <w:r>
        <w:t xml:space="preserve"> </w:t>
      </w:r>
      <w:r>
        <w:t xml:space="preserve">lavoro ce l’ha, quindi lo scarto</w:t>
      </w:r>
      <w:r>
        <w:t xml:space="preserve"> </w:t>
      </w:r>
      <w:r>
        <w:rPr>
          <w:b/>
          <w:bCs/>
        </w:rPr>
        <w:t xml:space="preserve">non è un riflesso del divario occupazionale</w:t>
      </w:r>
      <w:r>
        <w:t xml:space="preserve">, è una</w:t>
      </w:r>
      <w:r>
        <w:t xml:space="preserve"> </w:t>
      </w:r>
      <w:r>
        <w:t xml:space="preserve">misura indipendente sullo stesso passaggio.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Quota che esce dal comune (2019)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Scarto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 lavoro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8,2 pp</w:t>
            </w:r>
            <w:r>
              <w:t xml:space="preserve"> </w:t>
            </w:r>
            <w:r>
              <w:t xml:space="preserve">(Sicilia 4,1 · Italia 4,7 · Palermo 1,5)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 studio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−2,7 pp</w:t>
            </w:r>
            <w:r>
              <w:t xml:space="preserve">, F avanti (Sicilia −1,8 · Italia −1,4)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genere_pendolarismo.csv</w:t>
      </w:r>
      <w:r>
        <w:t xml:space="preserve"> </w:t>
      </w:r>
      <w:r>
        <w:t xml:space="preserve">(stabile sul 2018: 8,3 e 3,0)</w:t>
      </w:r>
    </w:p>
    <w:p>
      <w:pPr>
        <w:pStyle w:val="BodyText"/>
      </w:pPr>
      <w:r>
        <w:t xml:space="preserve">Il verso dello scarto cambia col motivo in tutti i territori; la particolarità di</w:t>
      </w:r>
      <w:r>
        <w:t xml:space="preserve"> </w:t>
      </w:r>
      <w:r>
        <w:t xml:space="preserve">Bagheria è</w:t>
      </w:r>
      <w:r>
        <w:t xml:space="preserve"> </w:t>
      </w:r>
      <w:r>
        <w:rPr>
          <w:b/>
          <w:bCs/>
        </w:rPr>
        <w:t xml:space="preserve">l’ampiezza, la maggiore del panel in entrambe le direzioni</w:t>
      </w:r>
      <w:r>
        <w:t xml:space="preserve">. Le ragazze di</w:t>
      </w:r>
      <w:r>
        <w:t xml:space="preserve"> </w:t>
      </w:r>
      <w:r>
        <w:t xml:space="preserve">Bagheria si muovono - per studiare escono più dei coetanei e più che altrove. Smettono</w:t>
      </w:r>
      <w:r>
        <w:t xml:space="preserve"> </w:t>
      </w:r>
      <w:r>
        <w:t xml:space="preserve">quando il motivo diventa il lavoro. È lo stesso punto di rottura della forbice</w:t>
      </w:r>
      <w:r>
        <w:t xml:space="preserve"> </w:t>
      </w:r>
      <w:r>
        <w:t xml:space="preserve">(sezione 3.1), da una terza fonte che non condivide né tavola né denominatore.</w:t>
      </w:r>
    </w:p>
    <w:p>
      <w:pPr>
        <w:pStyle w:val="BodyText"/>
      </w:pPr>
      <w:r>
        <w:t xml:space="preserve">Contesto assoluto (2011, 390 comuni): Bagheria si muove poco - mobilità fuori comune</w:t>
      </w:r>
      <w:r>
        <w:t xml:space="preserve"> </w:t>
      </w:r>
      <w:r>
        <w:rPr>
          <w:rStyle w:val="VerbatimChar"/>
        </w:rPr>
        <w:t xml:space="preserve">M2</w:t>
      </w:r>
      <w:r>
        <w:t xml:space="preserve"> </w:t>
      </w:r>
      <w:r>
        <w:t xml:space="preserve">al</w:t>
      </w:r>
      <w:r>
        <w:t xml:space="preserve"> </w:t>
      </w:r>
      <w:r>
        <w:rPr>
          <w:b/>
          <w:bCs/>
        </w:rPr>
        <w:t xml:space="preserve">25° percentile</w:t>
      </w:r>
      <w:r>
        <w:t xml:space="preserve">, mezzo pubblico</w:t>
      </w:r>
      <w:r>
        <w:t xml:space="preserve"> </w:t>
      </w:r>
      <w:r>
        <w:rPr>
          <w:rStyle w:val="VerbatimChar"/>
        </w:rPr>
        <w:t xml:space="preserve">M6</w:t>
      </w:r>
      <w:r>
        <w:t xml:space="preserve"> </w:t>
      </w:r>
      <w:r>
        <w:t xml:space="preserve">al 36°. La mobilità studentesca</w:t>
      </w:r>
      <w:r>
        <w:t xml:space="preserve"> </w:t>
      </w:r>
      <w:r>
        <w:rPr>
          <w:rStyle w:val="VerbatimChar"/>
        </w:rPr>
        <w:t xml:space="preserve">M4</w:t>
      </w:r>
      <w:r>
        <w:t xml:space="preserve"> </w:t>
      </w:r>
      <w:r>
        <w:t xml:space="preserve">al</w:t>
      </w:r>
      <w:r>
        <w:t xml:space="preserve"> </w:t>
      </w:r>
      <w:r>
        <w:t xml:space="preserve">18°</w:t>
      </w:r>
      <w:r>
        <w:t xml:space="preserve"> </w:t>
      </w:r>
      <w:r>
        <w:rPr>
          <w:b/>
          <w:bCs/>
        </w:rPr>
        <w:t xml:space="preserve">non è di per sé un dato negativo</w:t>
      </w:r>
      <w:r>
        <w:t xml:space="preserve">: è un rapporto fuori/dentro comune e Bagheria</w:t>
      </w:r>
      <w:r>
        <w:t xml:space="preserve"> </w:t>
      </w:r>
      <w:r>
        <w:t xml:space="preserve">ha scuole proprie (3 sedi tecniche, anagrafe MIUR). Sui 390 comuni la mobilità fuori</w:t>
      </w:r>
      <w:r>
        <w:t xml:space="preserve"> </w:t>
      </w:r>
      <w:r>
        <w:t xml:space="preserve">comune correla con l’occupazione femminile (Spearman +0,32): correlazione</w:t>
      </w:r>
      <w:r>
        <w:t xml:space="preserve"> </w:t>
      </w:r>
      <w:r>
        <w:rPr>
          <w:b/>
          <w:bCs/>
        </w:rPr>
        <w:t xml:space="preserve">ecologica</w:t>
      </w:r>
      <w:r>
        <w:t xml:space="preserve">,</w:t>
      </w:r>
      <w:r>
        <w:t xml:space="preserve"> </w:t>
      </w:r>
      <w:r>
        <w:t xml:space="preserve">orienta l’ipotesi e non la dimostra. →</w:t>
      </w:r>
      <w:r>
        <w:t xml:space="preserve"> </w:t>
      </w:r>
      <w:r>
        <w:rPr>
          <w:rStyle w:val="VerbatimChar"/>
        </w:rPr>
        <w:t xml:space="preserve">genere_mobilita_2011.csv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edu_technical_schools.csv</w:t>
      </w:r>
    </w:p>
    <w:p>
      <w:pPr>
        <w:pStyle w:val="BodyText"/>
      </w:pPr>
      <w:r>
        <w:rPr>
          <w:b/>
          <w:bCs/>
        </w:rPr>
        <w:t xml:space="preserve">I limiti, per primi.</w:t>
      </w:r>
      <w:r>
        <w:t xml:space="preserve"> </w:t>
      </w:r>
      <w:r>
        <w:t xml:space="preserve">La destinazione è «fuori comune» aggregata:</w:t>
      </w:r>
      <w:r>
        <w:t xml:space="preserve"> </w:t>
      </w:r>
      <w:r>
        <w:rPr>
          <w:b/>
          <w:bCs/>
        </w:rPr>
        <w:t xml:space="preserve">nessuna fonte</w:t>
      </w:r>
      <w:r>
        <w:rPr>
          <w:b/>
          <w:bCs/>
        </w:rPr>
        <w:t xml:space="preserve"> </w:t>
      </w:r>
      <w:r>
        <w:rPr>
          <w:b/>
          <w:bCs/>
        </w:rPr>
        <w:t xml:space="preserve">disponibile identifica Palermo come destinazione</w:t>
      </w:r>
      <w:r>
        <w:t xml:space="preserve">, quindi il «pendolarismo verso</w:t>
      </w:r>
      <w:r>
        <w:t xml:space="preserve"> </w:t>
      </w:r>
      <w:r>
        <w:t xml:space="preserve">Palermo» della locandina non è misurabile con i dati pubblici - si misura il</w:t>
      </w:r>
      <w:r>
        <w:t xml:space="preserve"> </w:t>
      </w:r>
      <w:r>
        <w:t xml:space="preserve">pendolarismo fuori comune, che è cosa diversa e viene detta come tale. La serie esiste</w:t>
      </w:r>
      <w:r>
        <w:t xml:space="preserve"> </w:t>
      </w:r>
      <w:r>
        <w:t xml:space="preserve">solo per 2018-2019. E Palermo compare con valori bassissimi perché è un comune grande:</w:t>
      </w:r>
      <w:r>
        <w:t xml:space="preserve"> </w:t>
      </w:r>
      <w:r>
        <w:t xml:space="preserve">su questa misura non è un termine di paragone. →</w:t>
      </w:r>
      <w:r>
        <w:t xml:space="preserve"> </w:t>
      </w:r>
      <w:r>
        <w:rPr>
          <w:rStyle w:val="VerbatimChar"/>
        </w:rPr>
        <w:t xml:space="preserve">docs/sources.md</w:t>
      </w:r>
      <w:r>
        <w:t xml:space="preserve"> </w:t>
      </w:r>
      <w:r>
        <w:t xml:space="preserve">§11</w:t>
      </w:r>
    </w:p>
    <w:p>
      <w:r>
        <w:pict>
          <v:rect style="width:0;height:1.5pt" o:hralign="center" o:hrstd="t" o:hr="t"/>
        </w:pict>
      </w:r>
    </w:p>
    <w:bookmarkEnd w:id="24"/>
    <w:bookmarkStart w:id="25" w:name="la-fuga-contata-il-denominatore-si-muove"/>
    <w:p>
      <w:pPr>
        <w:pStyle w:val="Heading2"/>
      </w:pPr>
      <w:r>
        <w:t xml:space="preserve">6. La fuga, contata: il denominatore si muove</w:t>
      </w:r>
    </w:p>
    <w:p>
      <w:pPr>
        <w:pStyle w:val="FirstParagraph"/>
      </w:pPr>
      <w:r>
        <w:t xml:space="preserve">La «fuga di talenti» del brief non è un aneddoto: sta nel denominatore di ogni tasso di</w:t>
      </w:r>
      <w:r>
        <w:t xml:space="preserve"> </w:t>
      </w:r>
      <w:r>
        <w:t xml:space="preserve">questa relazione.</w:t>
      </w:r>
    </w:p>
    <w:p>
      <w:pPr>
        <w:pStyle w:val="Compact"/>
        <w:numPr>
          <w:ilvl w:val="0"/>
          <w:numId w:val="1005"/>
        </w:numPr>
      </w:pPr>
      <w:r>
        <w:t xml:space="preserve">La popolazione 15-34 passa da</w:t>
      </w:r>
      <w:r>
        <w:t xml:space="preserve"> </w:t>
      </w:r>
      <w:r>
        <w:rPr>
          <w:b/>
          <w:bCs/>
        </w:rPr>
        <w:t xml:space="preserve">12.174 (2021) a 11.861 (2024)</w:t>
      </w:r>
      <w:r>
        <w:t xml:space="preserve">: −313 persone, −2,6%</w:t>
      </w:r>
      <w:r>
        <w:t xml:space="preserve"> </w:t>
      </w:r>
      <w:r>
        <w:t xml:space="preserve">in tre anni. →</w:t>
      </w:r>
      <w:r>
        <w:t xml:space="preserve"> </w:t>
      </w:r>
      <w:r>
        <w:rPr>
          <w:rStyle w:val="VerbatimChar"/>
        </w:rPr>
        <w:t xml:space="preserve">analisi_popolazione_giovane.csv</w:t>
      </w:r>
    </w:p>
    <w:p>
      <w:pPr>
        <w:pStyle w:val="Compact"/>
        <w:numPr>
          <w:ilvl w:val="0"/>
          <w:numId w:val="1005"/>
        </w:numPr>
      </w:pPr>
      <w:r>
        <w:t xml:space="preserve">Il ricambio migratorio non c’è: gli stranieri sono l’</w:t>
      </w:r>
      <w:r>
        <w:rPr>
          <w:b/>
          <w:bCs/>
        </w:rPr>
        <w:t xml:space="preserve">1,6% del 15-34</w:t>
      </w:r>
      <w:r>
        <w:t xml:space="preserve"> </w:t>
      </w:r>
      <w:r>
        <w:t xml:space="preserve">(195 persone)</w:t>
      </w:r>
      <w:r>
        <w:t xml:space="preserve"> </w:t>
      </w:r>
      <w:r>
        <w:t xml:space="preserve">contro 5,1% a Palermo, 6,4% in Sicilia, 12,4% in Italia. Fra 2021 e 2024: −350</w:t>
      </w:r>
      <w:r>
        <w:t xml:space="preserve"> </w:t>
      </w:r>
      <w:r>
        <w:t xml:space="preserve">italiani (di cui −219 ragazze), +37 stranieri.</w:t>
      </w:r>
      <w:r>
        <w:t xml:space="preserve"> </w:t>
      </w:r>
      <w:r>
        <w:rPr>
          <w:b/>
          <w:bCs/>
        </w:rPr>
        <w:t xml:space="preserve">La fuga è al netto di niente.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genere_stranieri.csv</w:t>
      </w:r>
    </w:p>
    <w:p>
      <w:pPr>
        <w:pStyle w:val="Compact"/>
        <w:numPr>
          <w:ilvl w:val="0"/>
          <w:numId w:val="1005"/>
        </w:numPr>
      </w:pPr>
      <w:r>
        <w:t xml:space="preserve">Chi avrà 15-24 anni nel 2029 e nel 2034</w:t>
      </w:r>
      <w:r>
        <w:t xml:space="preserve"> </w:t>
      </w:r>
      <w:r>
        <w:rPr>
          <w:b/>
          <w:bCs/>
        </w:rPr>
        <w:t xml:space="preserve">è già nato e già residente</w:t>
      </w:r>
      <w:r>
        <w:t xml:space="preserve">: nessuna</w:t>
      </w:r>
      <w:r>
        <w:t xml:space="preserve"> </w:t>
      </w:r>
      <w:r>
        <w:t xml:space="preserve">proiezione, un conteggio. Le ragazze passano da 2.882 (2024) a 2.651 (2029, −8,0%) a</w:t>
      </w:r>
      <w:r>
        <w:t xml:space="preserve"> </w:t>
      </w:r>
      <w:r>
        <w:rPr>
          <w:b/>
          <w:bCs/>
        </w:rPr>
        <w:t xml:space="preserve">2.435 (2034, −15,5%)</w:t>
      </w:r>
      <w:r>
        <w:t xml:space="preserve">; i ragazzi −2,5% e −5,8%. Nei territori di confronto il calo</w:t>
      </w:r>
      <w:r>
        <w:t xml:space="preserve"> </w:t>
      </w:r>
      <w:r>
        <w:t xml:space="preserve">è simmetrico fra i generi; a Bagheria no. →</w:t>
      </w:r>
      <w:r>
        <w:t xml:space="preserve"> </w:t>
      </w:r>
      <w:r>
        <w:rPr>
          <w:rStyle w:val="VerbatimChar"/>
        </w:rPr>
        <w:t xml:space="preserve">genere_platea.csv</w:t>
      </w:r>
      <w:r>
        <w:t xml:space="preserve"> </w:t>
      </w:r>
      <w:r>
        <w:t xml:space="preserve">(⚠️ l’asimmetria origina da una sex ratio 5-14 anomala, 117 maschi per 100 femmine</w:t>
      </w:r>
      <w:r>
        <w:t xml:space="preserve"> </w:t>
      </w:r>
      <w:r>
        <w:t xml:space="preserve">contro 104-106 dei benchmark, in salita dal 2011, identica su due tavole indipendenti;</w:t>
      </w:r>
      <w:r>
        <w:t xml:space="preserve"> </w:t>
      </w:r>
      <w:r>
        <w:t xml:space="preserve">il meccanismo è aperto e il dato si cita solo insieme al suo audit:</w:t>
      </w:r>
      <w:r>
        <w:t xml:space="preserve"> </w:t>
      </w:r>
      <w:r>
        <w:rPr>
          <w:rStyle w:val="VerbatimChar"/>
        </w:rPr>
        <w:t xml:space="preserve">genere_sex_ratio_5_14.csv</w:t>
      </w:r>
      <w:r>
        <w:t xml:space="preserve">)</w:t>
      </w:r>
    </w:p>
    <w:p>
      <w:pPr>
        <w:pStyle w:val="FirstParagraph"/>
      </w:pPr>
      <w:r>
        <w:t xml:space="preserve">La conseguenza per qualunque intervento è aritmetica, ed è il secondo pilastro della</w:t>
      </w:r>
      <w:r>
        <w:t xml:space="preserve"> </w:t>
      </w:r>
      <w:r>
        <w:t xml:space="preserve">proposta: al tasso obiettivo di Palermo (9,59%), l’equivalente di «+40 occupate»</w:t>
      </w:r>
      <w:r>
        <w:t xml:space="preserve"> </w:t>
      </w:r>
      <w:r>
        <w:t xml:space="preserve">misurato sulla platea di ciascun anno vale</w:t>
      </w:r>
      <w:r>
        <w:t xml:space="preserve"> </w:t>
      </w:r>
      <w:r>
        <w:rPr>
          <w:b/>
          <w:bCs/>
        </w:rPr>
        <w:t xml:space="preserve">+18 nel 2029 e −2 nel 2034</w:t>
      </w:r>
      <w:r>
        <w:t xml:space="preserve"> </w:t>
      </w:r>
      <w:r>
        <w:t xml:space="preserve">(lordo +40,4;</w:t>
      </w:r>
      <w:r>
        <w:t xml:space="preserve"> </w:t>
      </w:r>
      <w:r>
        <w:t xml:space="preserve">attrito demografico −22,2 e −42,9). Un obiettivo scritto in teste si annulla da solo</w:t>
      </w:r>
      <w:r>
        <w:t xml:space="preserve"> </w:t>
      </w:r>
      <w:r>
        <w:t xml:space="preserve">senza che nessuno abbia sbagliato nulla.</w:t>
      </w:r>
      <w:r>
        <w:t xml:space="preserve"> </w:t>
      </w:r>
      <w:r>
        <w:rPr>
          <w:b/>
          <w:bCs/>
        </w:rPr>
        <w:t xml:space="preserve">Il KPI va scritto in tasso.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genere_kpi_netto.csv</w:t>
      </w:r>
      <w:r>
        <w:t xml:space="preserve"> </w:t>
      </w:r>
      <w:r>
        <w:t xml:space="preserve">(fig09; ⚠️ da non confondere con lo scenario «non si fa</w:t>
      </w:r>
      <w:r>
        <w:t xml:space="preserve"> </w:t>
      </w:r>
      <w:r>
        <w:t xml:space="preserve">niente», −19/−37 a tasso 2024 costante:</w:t>
      </w:r>
      <w:r>
        <w:t xml:space="preserve"> </w:t>
      </w:r>
      <w:r>
        <w:rPr>
          <w:rStyle w:val="VerbatimChar"/>
        </w:rPr>
        <w:t xml:space="preserve">genere_tetto_platea.csv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31" w:name="dallevidenza-alla-proposta-ponte-19"/>
    <w:p>
      <w:pPr>
        <w:pStyle w:val="Heading2"/>
      </w:pPr>
      <w:r>
        <w:t xml:space="preserve">7. Dall’evidenza alla proposta: Ponte 19</w:t>
      </w:r>
    </w:p>
    <w:p>
      <w:pPr>
        <w:pStyle w:val="FirstParagraph"/>
      </w:pPr>
      <w:r>
        <w:t xml:space="preserve">La proposta completa, con modello operativo, decision gate e disegno di valutazione, è</w:t>
      </w:r>
      <w:r>
        <w:t xml:space="preserve"> </w:t>
      </w:r>
      <w:r>
        <w:rPr>
          <w:rStyle w:val="VerbatimChar"/>
        </w:rPr>
        <w:t xml:space="preserve">docs/POLICY_PONTE_19.md</w:t>
      </w:r>
      <w:r>
        <w:t xml:space="preserve">. Qui la sua derivazione dall’evidenza, nel formato fissato dal</w:t>
      </w:r>
      <w:r>
        <w:t xml:space="preserve"> </w:t>
      </w:r>
      <w:r>
        <w:t xml:space="preserve">progetto:</w:t>
      </w:r>
      <w:r>
        <w:t xml:space="preserve"> </w:t>
      </w:r>
      <w:r>
        <w:rPr>
          <w:b/>
          <w:bCs/>
        </w:rPr>
        <w:t xml:space="preserve">evidenza → intervento → target → KPI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Evidenza</w:t>
            </w:r>
          </w:p>
        </w:tc>
        <w:tc>
          <w:tcPr/>
          <w:p>
            <w:pPr>
              <w:pStyle w:val="Compact"/>
            </w:pPr>
            <w:r>
              <w:t xml:space="preserve">Il 70,6% dei giovani fuori da lavoro e studio non cerca (sez. 2.1); la conversione titoli→lavoro fallisce soprattutto sulle ragazze (sez. 3.1) in una finestra 22-25 (sez. 3.3); il vincolo di mobilità ha lo stesso segno (sez. 5); la platea si restringe (sez.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Ponte 19</w:t>
            </w:r>
            <w:r>
              <w:t xml:space="preserve">: servizio comunale di transizione e riattivazione con outreach attivo - non a domanda spontanea - e due finestre di ingaggio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Finestra A: 18-20enni all’uscita dalla scuola o entro 30 giorni dall’interruzione. Finestra B: 22-25enni fuori da lavoro e studio. Quota di genere ≥50% F sui presi in carico. Capacità pilota: 200 persone/anno (~18% degli inattivi non studenti)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tasso</w:t>
            </w:r>
            <w:r>
              <w:t xml:space="preserve">, con finestra di lettura dichiarata (7.4)</w:t>
            </w:r>
          </w:p>
        </w:tc>
      </w:tr>
    </w:tbl>
    <w:bookmarkStart w:id="26" w:name="perché-due-finestre"/>
    <w:p>
      <w:pPr>
        <w:pStyle w:val="Heading3"/>
      </w:pPr>
      <w:r>
        <w:t xml:space="preserve">7.1 Perché due finestre</w:t>
      </w:r>
    </w:p>
    <w:p>
      <w:pPr>
        <w:pStyle w:val="FirstParagraph"/>
      </w:pPr>
      <w:r>
        <w:t xml:space="preserve">Le uscite hanno due tempi (sez. 3.3): un servizio con una sola finestra 18-24 prende</w:t>
      </w:r>
      <w:r>
        <w:t xml:space="preserve"> </w:t>
      </w:r>
      <w:r>
        <w:t xml:space="preserve">l’onda maschile precoce e manca le ragazze che se ne andranno a 26. La finestra B esiste</w:t>
      </w:r>
      <w:r>
        <w:t xml:space="preserve"> </w:t>
      </w:r>
      <w:r>
        <w:t xml:space="preserve">per loro.</w:t>
      </w:r>
    </w:p>
    <w:bookmarkEnd w:id="26"/>
    <w:bookmarkStart w:id="27" w:name="perché-la-quota-di-genere"/>
    <w:p>
      <w:pPr>
        <w:pStyle w:val="Heading3"/>
      </w:pPr>
      <w:r>
        <w:t xml:space="preserve">7.2 Perché la quota di genere</w:t>
      </w:r>
    </w:p>
    <w:p>
      <w:pPr>
        <w:pStyle w:val="FirstParagraph"/>
      </w:pPr>
      <w:r>
        <w:t xml:space="preserve">Il gruppo da raggiungere è 51% femminile nelle dimensioni ma radicalmente diverso</w:t>
      </w:r>
      <w:r>
        <w:t xml:space="preserve"> </w:t>
      </w:r>
      <w:r>
        <w:t xml:space="preserve">nell’etichetta (sez. 3.2): un servizio formalmente neutro, coi canali di contatto</w:t>
      </w:r>
      <w:r>
        <w:t xml:space="preserve"> </w:t>
      </w:r>
      <w:r>
        <w:t xml:space="preserve">standard, riprodurrebbe l’asimmetria che deve correggere. La quota impone di costruire</w:t>
      </w:r>
      <w:r>
        <w:t xml:space="preserve"> </w:t>
      </w:r>
      <w:r>
        <w:t xml:space="preserve">i due agganci; non esclude nessuno.</w:t>
      </w:r>
    </w:p>
    <w:bookmarkEnd w:id="27"/>
    <w:bookmarkStart w:id="28" w:name="perché-loutreach-e-non-lo-sportello"/>
    <w:p>
      <w:pPr>
        <w:pStyle w:val="Heading3"/>
      </w:pPr>
      <w:r>
        <w:t xml:space="preserve">7.3 Perché l’outreach e non lo sportello</w:t>
      </w:r>
    </w:p>
    <w:p>
      <w:pPr>
        <w:pStyle w:val="FirstParagraph"/>
      </w:pPr>
      <w:r>
        <w:t xml:space="preserve">Il segmento che cerca lavoro si sta già riducendo da sé (−10,2 punti dal 2018); quello</w:t>
      </w:r>
      <w:r>
        <w:t xml:space="preserve"> </w:t>
      </w:r>
      <w:r>
        <w:t xml:space="preserve">inattivo è fermo (−0,6). Un servizio a domanda spontanea raggiunge il segmento</w:t>
      </w:r>
      <w:r>
        <w:t xml:space="preserve"> </w:t>
      </w:r>
      <w:r>
        <w:t xml:space="preserve">sbagliato per costruzione (sez. 2.2). E poiché almeno l’89% delle casalinghe è nubile,</w:t>
      </w:r>
      <w:r>
        <w:t xml:space="preserve"> </w:t>
      </w:r>
      <w:r>
        <w:t xml:space="preserve">l’aggancio femminile è l’</w:t>
      </w:r>
      <w:r>
        <w:rPr>
          <w:b/>
          <w:bCs/>
        </w:rPr>
        <w:t xml:space="preserve">attivazione</w:t>
      </w:r>
      <w:r>
        <w:t xml:space="preserve"> </w:t>
      </w:r>
      <w:r>
        <w:t xml:space="preserve">dalla famiglia d’origine, non la sola</w:t>
      </w:r>
      <w:r>
        <w:t xml:space="preserve"> </w:t>
      </w:r>
      <w:r>
        <w:t xml:space="preserve">conciliazione (sez. 3.2).</w:t>
      </w:r>
    </w:p>
    <w:bookmarkEnd w:id="28"/>
    <w:bookmarkStart w:id="29" w:name="i-kpi-e-le-loro-finestre-di-lettura"/>
    <w:p>
      <w:pPr>
        <w:pStyle w:val="Heading3"/>
      </w:pPr>
      <w:r>
        <w:t xml:space="preserve">7.4 I KPI e le loro finestre di lettura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 primario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Lettura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Tasso di occupazione F 15-24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9,6% (Palermo)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triennio pooled</w:t>
            </w:r>
            <w:r>
              <w:t xml:space="preserve"> </w:t>
            </w:r>
            <w:r>
              <w:t xml:space="preserve">(potenza 90%)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 casalinghe F 15-24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11,3% (Palermo)</w:t>
            </w:r>
          </w:p>
        </w:tc>
        <w:tc>
          <w:tcPr/>
          <w:p>
            <w:pPr>
              <w:pStyle w:val="Compact"/>
            </w:pPr>
            <w:r>
              <w:t xml:space="preserve">biennio (93%) o triennio (99%)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lettura annuale non è ammessa sui KPI primari</w:t>
      </w:r>
      <w:r>
        <w:t xml:space="preserve">: il delta da rilevare (+1,4 punti)</w:t>
      </w:r>
      <w:r>
        <w:t xml:space="preserve"> </w:t>
      </w:r>
      <w:r>
        <w:t xml:space="preserve">sta sotto il minimo rilevabile in un anno (MDE 2,14 punti, potenza 46%). Dichiararlo</w:t>
      </w:r>
      <w:r>
        <w:t xml:space="preserve"> </w:t>
      </w:r>
      <w:r>
        <w:t xml:space="preserve">prima dell’avvio è parte della proposta. La lettura annuale spetta agli indicatori di</w:t>
      </w:r>
      <w:r>
        <w:t xml:space="preserve"> </w:t>
      </w:r>
      <w:r>
        <w:t xml:space="preserve">processo (contatti nei 30 giorni, piani nei 15, utenza per età singola e genere contro</w:t>
      </w:r>
      <w:r>
        <w:t xml:space="preserve"> </w:t>
      </w:r>
      <w:r>
        <w:t xml:space="preserve">la platea residente), che oggi nessuno rileva e che il servizio produce.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genere_mde.csv</w:t>
      </w:r>
      <w:r>
        <w:t xml:space="preserve"> </w:t>
      </w:r>
      <w:r>
        <w:t xml:space="preserve">(fig09)</w:t>
      </w:r>
    </w:p>
    <w:p>
      <w:pPr>
        <w:pStyle w:val="BodyText"/>
      </w:pPr>
      <w:r>
        <w:t xml:space="preserve">Se serve un equivalente in teste per la comunicazione: «+40 occupate sulla platea 2024;</w:t>
      </w:r>
      <w:r>
        <w:t xml:space="preserve"> </w:t>
      </w:r>
      <w:r>
        <w:t xml:space="preserve">il target si riparametra ogni anno come tasso-obiettivo × platea dell’anno», con la</w:t>
      </w:r>
      <w:r>
        <w:t xml:space="preserve"> </w:t>
      </w:r>
      <w:r>
        <w:t xml:space="preserve">formula pubblicata (sez. 6).</w:t>
      </w:r>
    </w:p>
    <w:p>
      <w:pPr>
        <w:pStyle w:val="BodyText"/>
      </w:pPr>
      <w:r>
        <w:t xml:space="preserve">La valutazione è a rollout scaglionato con controfattuale</w:t>
      </w:r>
      <w:r>
        <w:t xml:space="preserve"> </w:t>
      </w:r>
      <w:r>
        <w:rPr>
          <w:b/>
          <w:bCs/>
        </w:rPr>
        <w:t xml:space="preserve">dichiarato in anticipo:</w:t>
      </w:r>
      <w:r>
        <w:rPr>
          <w:b/>
          <w:bCs/>
        </w:rPr>
        <w:t xml:space="preserve"> </w:t>
      </w:r>
      <w:r>
        <w:rPr>
          <w:b/>
          <w:bCs/>
        </w:rPr>
        <w:t xml:space="preserve">Palermo</w:t>
      </w:r>
      <w:r>
        <w:t xml:space="preserve">, e il prerequisito è testato, non assunto: la pendenza del tasso femminile di</w:t>
      </w:r>
      <w:r>
        <w:t xml:space="preserve"> </w:t>
      </w:r>
      <w:r>
        <w:t xml:space="preserve">Bagheria 2018-2024 (+0,65 punti/anno) è indistinguibile da Palermo e Italia</w:t>
      </w:r>
      <w:r>
        <w:t xml:space="preserve"> </w:t>
      </w:r>
      <w:r>
        <w:t xml:space="preserve">(p = 0,29 / 0,33). →</w:t>
      </w:r>
      <w:r>
        <w:t xml:space="preserve"> </w:t>
      </w:r>
      <w:r>
        <w:rPr>
          <w:rStyle w:val="VerbatimChar"/>
        </w:rPr>
        <w:t xml:space="preserve">genere_pretrend.csv</w:t>
      </w:r>
    </w:p>
    <w:bookmarkEnd w:id="29"/>
    <w:bookmarkStart w:id="30" w:name="il-dato-che-il-servizio-produce"/>
    <w:p>
      <w:pPr>
        <w:pStyle w:val="Heading3"/>
      </w:pPr>
      <w:r>
        <w:t xml:space="preserve">7.5 Il dato che il servizio produce</w:t>
      </w:r>
    </w:p>
    <w:p>
      <w:pPr>
        <w:pStyle w:val="FirstParagraph"/>
      </w:pPr>
      <w:r>
        <w:t xml:space="preserve">Ogni presa in carico genera un record pseudonimizzato, titolo/indirizzo → data di</w:t>
      </w:r>
      <w:r>
        <w:t xml:space="preserve"> </w:t>
      </w:r>
      <w:r>
        <w:t xml:space="preserve">uscita → condizione → genere ed età → barriera dichiarata → azione → esito a 3/6/12</w:t>
      </w:r>
      <w:r>
        <w:t xml:space="preserve"> </w:t>
      </w:r>
      <w:r>
        <w:t xml:space="preserve">mesi. È l’unico modo per misurare a Bagheria la relazione individuale fra titolo e</w:t>
      </w:r>
      <w:r>
        <w:t xml:space="preserve"> </w:t>
      </w:r>
      <w:r>
        <w:t xml:space="preserve">condizione lavorativa (sez. 4): la proposta non consuma soltanto dati,</w:t>
      </w:r>
      <w:r>
        <w:t xml:space="preserve"> </w:t>
      </w:r>
      <w:r>
        <w:rPr>
          <w:b/>
          <w:bCs/>
        </w:rPr>
        <w:t xml:space="preserve">ne produce</w:t>
      </w:r>
      <w:r>
        <w:rPr>
          <w:b/>
          <w:bCs/>
        </w:rPr>
        <w:t xml:space="preserve"> </w:t>
      </w:r>
      <w:r>
        <w:rPr>
          <w:b/>
          <w:bCs/>
        </w:rPr>
        <w:t xml:space="preserve">dove le statistiche pubbliche finiscono</w:t>
      </w:r>
      <w:r>
        <w:t xml:space="preserve">, con una dashboard trimestrale aggregata come</w:t>
      </w:r>
      <w:r>
        <w:t xml:space="preserve"> </w:t>
      </w:r>
      <w:r>
        <w:t xml:space="preserve">impegno di accountability.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le-figure"/>
    <w:p>
      <w:pPr>
        <w:pStyle w:val="Heading2"/>
      </w:pPr>
      <w:r>
        <w:t xml:space="preserve">8. Le figure</w:t>
      </w:r>
    </w:p>
    <w:p>
      <w:pPr>
        <w:pStyle w:val="FirstParagraph"/>
      </w:pPr>
      <w:r>
        <w:t xml:space="preserve">La locandina chiede 2-3 visualizzazioni avanzate. La terna candidata (proposta in</w:t>
      </w:r>
      <w:r>
        <w:t xml:space="preserve"> </w:t>
      </w:r>
      <w:r>
        <w:rPr>
          <w:rStyle w:val="VerbatimChar"/>
        </w:rPr>
        <w:t xml:space="preserve">docs/RELAZIONE.md</w:t>
      </w:r>
      <w:r>
        <w:t xml:space="preserve"> </w:t>
      </w:r>
      <w:r>
        <w:t xml:space="preserve">§3, da congelare a revisione delle figure conclusa):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fig05_forbice</w:t>
      </w:r>
      <w:r>
        <w:t xml:space="preserve"> </w:t>
      </w:r>
      <w:r>
        <w:t xml:space="preserve">- il paradosso in un’immagine: il quadrante «più istruite, meno</w:t>
      </w:r>
      <w:r>
        <w:t xml:space="preserve"> </w:t>
      </w:r>
      <w:r>
        <w:t xml:space="preserve">occupate» sulla stessa fascia 15-24, e la forbice nel tempo col cuneo dal 2021.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fig07_ritenzione_eta</w:t>
      </w:r>
      <w:r>
        <w:t xml:space="preserve"> </w:t>
      </w:r>
      <w:r>
        <w:t xml:space="preserve">- il</w:t>
      </w:r>
      <w:r>
        <w:t xml:space="preserve"> </w:t>
      </w:r>
      <w:r>
        <w:rPr>
          <w:i/>
          <w:iCs/>
        </w:rPr>
        <w:t xml:space="preserve">quando</w:t>
      </w:r>
      <w:r>
        <w:t xml:space="preserve"> </w:t>
      </w:r>
      <w:r>
        <w:t xml:space="preserve">della fuga, per genere: profilo di</w:t>
      </w:r>
      <w:r>
        <w:t xml:space="preserve"> </w:t>
      </w:r>
      <w:r>
        <w:t xml:space="preserve">ritenzione per età singola con la finestra 22-25, e i due decenni a confronto.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fig04_mappa_sicilia</w:t>
      </w:r>
      <w:r>
        <w:t xml:space="preserve"> </w:t>
      </w:r>
      <w:r>
        <w:t xml:space="preserve">- la scala: coropleta dei 390 comuni, «nel 2024 Bagheria</w:t>
      </w:r>
      <w:r>
        <w:t xml:space="preserve"> </w:t>
      </w:r>
      <w:r>
        <w:t xml:space="preserve">arriva dove stava la mediana siciliana nel 2011».</w:t>
      </w:r>
    </w:p>
    <w:p>
      <w:pPr>
        <w:pStyle w:val="FirstParagraph"/>
      </w:pPr>
      <w:r>
        <w:t xml:space="preserve">A supporto:</w:t>
      </w:r>
      <w:r>
        <w:t xml:space="preserve"> </w:t>
      </w:r>
      <w:r>
        <w:rPr>
          <w:rStyle w:val="VerbatimChar"/>
          <w:b/>
          <w:bCs/>
        </w:rPr>
        <w:t xml:space="preserve">fig09_kpi_finestra</w:t>
      </w:r>
      <w:r>
        <w:t xml:space="preserve"> </w:t>
      </w:r>
      <w:r>
        <w:t xml:space="preserve">vive dentro la policy proposal (è la figura che</w:t>
      </w:r>
      <w:r>
        <w:t xml:space="preserve"> </w:t>
      </w:r>
      <w:r>
        <w:t xml:space="preserve">dichiara quando si potrà dire se l’intervento ha funzionato, con la cascata del KPI</w:t>
      </w:r>
      <w:r>
        <w:t xml:space="preserve"> </w:t>
      </w:r>
      <w:r>
        <w:t xml:space="preserve">netto) e</w:t>
      </w:r>
      <w:r>
        <w:t xml:space="preserve"> </w:t>
      </w:r>
      <w:r>
        <w:rPr>
          <w:rStyle w:val="VerbatimChar"/>
          <w:b/>
          <w:bCs/>
        </w:rPr>
        <w:t xml:space="preserve">fig12_pendolarismo</w:t>
      </w:r>
      <w:r>
        <w:t xml:space="preserve"> </w:t>
      </w:r>
      <w:r>
        <w:t xml:space="preserve">copre il terzo focus del brief. Le altre sette stanno</w:t>
      </w:r>
      <w:r>
        <w:t xml:space="preserve"> </w:t>
      </w:r>
      <w:r>
        <w:t xml:space="preserve">nei notebook come apparato.</w:t>
      </w:r>
    </w:p>
    <w:p>
      <w:pPr>
        <w:pStyle w:val="BodyText"/>
      </w:pPr>
      <w:r>
        <w:t xml:space="preserve">Tutte le figure: titolo che enuncia il finding, fascia d’età dichiarata, fonte e</w:t>
      </w:r>
      <w:r>
        <w:t xml:space="preserve"> </w:t>
      </w:r>
      <w:r>
        <w:t xml:space="preserve">cautele in caption, palette colorblind-safe, PNG 300dpi + SVG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cosa-questa-relazione-non-afferma"/>
    <w:p>
      <w:pPr>
        <w:pStyle w:val="Heading2"/>
      </w:pPr>
      <w:r>
        <w:t xml:space="preserve">9. Cosa questa relazione non afferma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Il NEET 15-34 comunale non esiste</w:t>
      </w:r>
      <w:r>
        <w:t xml:space="preserve"> </w:t>
      </w:r>
      <w:r>
        <w:t xml:space="preserve">nei dati pubblici: le due misure usate (15-29</w:t>
      </w:r>
      <w:r>
        <w:t xml:space="preserve"> </w:t>
      </w:r>
      <w:r>
        <w:t xml:space="preserve">al 2011, «fuori da lavoro e istruzione» 15-24 dal 2018) sono etichettate e mai fuse.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Nessun tasso di occupazione per titolo di studio a Bagheria</w:t>
      </w:r>
      <w:r>
        <w:t xml:space="preserve">: l’incrocio</w:t>
      </w:r>
      <w:r>
        <w:t xml:space="preserve"> </w:t>
      </w:r>
      <w:r>
        <w:t xml:space="preserve">individuale non è pubblicato (sez. 4); ogni affermazione del tipo «i diplomati di</w:t>
      </w:r>
      <w:r>
        <w:t xml:space="preserve"> </w:t>
      </w:r>
      <w:r>
        <w:t xml:space="preserve">Bagheria…» sarebbe inventata.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Nessun «pendolarismo verso Palermo»</w:t>
      </w:r>
      <w:r>
        <w:t xml:space="preserve">: le fonti danno il fuori comune aggregato; la</w:t>
      </w:r>
      <w:r>
        <w:t xml:space="preserve"> </w:t>
      </w:r>
      <w:r>
        <w:t xml:space="preserve">ritenzione di coorte è un saldo netto senza destinazioni.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Nessuna stima causale</w:t>
      </w:r>
      <w:r>
        <w:t xml:space="preserve">: confronti territoriali ed ecologici orientano la diagnosi;</w:t>
      </w:r>
      <w:r>
        <w:t xml:space="preserve"> </w:t>
      </w:r>
      <w:r>
        <w:t xml:space="preserve">il disegno di valutazione (sez. 7.4) serve proprio a produrre l’evidenza che oggi</w:t>
      </w:r>
      <w:r>
        <w:t xml:space="preserve"> </w:t>
      </w:r>
      <w:r>
        <w:t xml:space="preserve">manca. L’inattività non è attribuita a una singola causa non osservata.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Nessuna interpolazione</w:t>
      </w:r>
      <w:r>
        <w:t xml:space="preserve">: il 2020 mancante resta mancante; la rottura di misura</w:t>
      </w:r>
      <w:r>
        <w:t xml:space="preserve"> </w:t>
      </w:r>
      <w:r>
        <w:t xml:space="preserve">2019→2021 è dichiarata ogni volta che si cita la serie delle componenti.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 finestra 22-25 è pooled</w:t>
      </w:r>
      <w:r>
        <w:t xml:space="preserve">: sull’anno singolo oscilla, e come lettura annuale non</w:t>
      </w:r>
      <w:r>
        <w:t xml:space="preserve"> </w:t>
      </w:r>
      <w:r>
        <w:t xml:space="preserve">verrebbe usata.</w:t>
      </w:r>
    </w:p>
    <w:p>
      <w:r>
        <w:pict>
          <v:rect style="width:0;height:1.5pt" o:hralign="center" o:hrstd="t" o:hr="t"/>
        </w:pict>
      </w:r>
    </w:p>
    <w:bookmarkEnd w:id="33"/>
    <w:bookmarkStart w:id="34" w:name="appendice---mappa-dei-file"/>
    <w:p>
      <w:pPr>
        <w:pStyle w:val="Heading2"/>
      </w:pPr>
      <w:r>
        <w:t xml:space="preserve">Appendice - mappa dei 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condiviso (definizioni, popolazione, condizione 15-24)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notebooks/analisi.ipynb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 genere (focus principale)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notebooks/genere.ipynb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 educazione (transizione istruzione→lavoro)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notebooks/educazione.ipynb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proposal unificata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docs/POLICY_PONTE_19.md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Decisioni editoriali (tesi, figure, limiti)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docs/RELAZIONE.md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delle fonti (URL, date, query, trappole)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(PNG 300dpi + SVG)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Interfaccia dati Python→R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</w:t>
            </w:r>
          </w:p>
        </w:tc>
      </w:tr>
    </w:tbl>
    <w:p>
      <w:pPr>
        <w:pStyle w:val="BodyText"/>
      </w:pPr>
      <w:r>
        <w:t xml:space="preserve">Stato delle verifiche al 2026-08-28: sensore</w:t>
      </w:r>
      <w:r>
        <w:t xml:space="preserve"> </w:t>
      </w:r>
      <w:r>
        <w:rPr>
          <w:rStyle w:val="VerbatimChar"/>
        </w:rPr>
        <w:t xml:space="preserve">nbconvert</w:t>
      </w:r>
      <w:r>
        <w:t xml:space="preserve"> </w:t>
      </w:r>
      <w:r>
        <w:rPr>
          <w:b/>
          <w:bCs/>
        </w:rPr>
        <w:t xml:space="preserve">verde sui tre notebook</w:t>
      </w:r>
      <w:r>
        <w:t xml:space="preserve">;</w:t>
      </w:r>
      <w:r>
        <w:t xml:space="preserve"> </w:t>
      </w:r>
      <w:r>
        <w:rPr>
          <w:rStyle w:val="VerbatimChar"/>
        </w:rPr>
        <w:t xml:space="preserve">pipeline.verifica</w:t>
      </w:r>
      <w:r>
        <w:t xml:space="preserve"> </w:t>
      </w:r>
      <w:r>
        <w:rPr>
          <w:b/>
          <w:bCs/>
        </w:rPr>
        <w:t xml:space="preserve">650/650 PASS</w:t>
      </w:r>
      <w:r>
        <w:t xml:space="preserve">; nessun numero di questa relazione è scritto a</w:t>
      </w:r>
      <w:r>
        <w:t xml:space="preserve"> </w:t>
      </w:r>
      <w:r>
        <w:t xml:space="preserve">mano - ogni cifra ha accanto il file o la cella che la rigenera.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-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it-IT</dc:language>
  <cp:keywords/>
  <dcterms:created xsi:type="dcterms:W3CDTF">2026-08-28T14:51:34Z</dcterms:created>
  <dcterms:modified xsi:type="dcterms:W3CDTF">2026-08-28T14:51:34Z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