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4.png" ContentType="image/png"/>
  <Override PartName="/word/media/rId18.png" ContentType="image/png"/>
  <Override PartName="/word/media/rId22.png" ContentType="image/png"/>
  <Override PartName="/word/media/rId146.png" ContentType="image/png"/>
  <Override PartName="/word/media/rId149.png" ContentType="image/png"/>
  <Override PartName="/word/media/rId152.png" ContentType="image/png"/>
  <Override PartName="/word/media/rId89.png" ContentType="image/png"/>
  <Override PartName="/word/media/rId155.png" ContentType="image/png"/>
  <Override PartName="/word/media/rId158.png" ContentType="image/png"/>
  <Override PartName="/word/media/rId44.png" ContentType="image/png"/>
  <Override PartName="/word/media/rId52.png" ContentType="image/png"/>
  <Override PartName="/word/media/rId110.png" ContentType="image/png"/>
  <Override PartName="/word/media/rId113.png" ContentType="image/png"/>
  <Override PartName="/word/media/rId56.png" ContentType="image/png"/>
  <Override PartName="/word/media/rId29.png" ContentType="image/png"/>
  <Override PartName="/word/media/rId116.png" ContentType="image/png"/>
  <Override PartName="/word/media/rId119.png" ContentType="image/png"/>
  <Override PartName="/word/media/rId41.png" ContentType="image/png"/>
  <Override PartName="/word/media/rId122.png" ContentType="image/png"/>
  <Override PartName="/word/media/rId125.png" ContentType="image/png"/>
  <Override PartName="/word/media/rId128.png" ContentType="image/png"/>
  <Override PartName="/word/media/rId59.png" ContentType="image/png"/>
  <Override PartName="/word/media/rId131.png" ContentType="image/png"/>
  <Override PartName="/word/media/rId36.png" ContentType="image/png"/>
  <Override PartName="/word/media/rId92.png" ContentType="image/png"/>
  <Override PartName="/word/media/rId100.png" ContentType="image/png"/>
  <Override PartName="/word/media/rId32.png" ContentType="image/png"/>
  <Override PartName="/word/media/rId47.png" ContentType="image/png"/>
  <Override PartName="/word/media/rId134.png" ContentType="image/png"/>
  <Override PartName="/word/media/rId75.png" ContentType="image/png"/>
  <Override PartName="/word/media/rId137.png" ContentType="image/png"/>
  <Override PartName="/word/media/rId140.png" ContentType="image/png"/>
  <Override PartName="/word/media/rId143.png" ContentType="image/png"/>
  <Override PartName="/word/media/rId68.png" ContentType="image/png"/>
  <Override PartName="/word/media/rId72.png" ContentType="image/png"/>
  <Override PartName="/word/media/rId83.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La transizione dalla formazione al lavoro dei giovani di Bagheria</w:t>
      </w:r>
    </w:p>
    <w:p>
      <w:pPr>
        <w:pStyle w:val="CopertinaSottotitolo"/>
      </w:pPr>
      <w:r>
        <w:t xml:space="preserve">Profilo statistico, divario di genere e proposta di intervento. Relazione tecnica, DataPolis 2026</w:t>
      </w:r>
    </w:p>
    <w:p>
      <w:pPr>
        <w:pStyle w:val="CopertinaAutori"/>
      </w:pPr>
      <w:r>
        <w:t xml:space="preserve">Alessandro Carosia · Saverio Randazzo</w:t>
      </w:r>
    </w:p>
    <w:p>
      <w:pPr>
        <w:pStyle w:val="Copertina"/>
      </w:pPr>
      <w:r>
        <w:t xml:space="preserve">Bagheria, 2026-08-29, versione rivista del 2026-09-24</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38 figure · 986 controlli di regressione indipendenti, tutti superati</w:t>
      </w:r>
    </w:p>
    <w:p>
      <w:pPr>
        <w:pStyle w:val="Copertina"/>
      </w:pPr>
      <w:r>
        <w:t xml:space="preserve"> </w:t>
      </w:r>
    </w:p>
    <w:p>
      <w:pPr>
        <w:pStyle w:val="Didascalia"/>
      </w:pPr>
      <w:r>
        <w:t xml:space="preserve">Ogni cifra in questo documento è riconducibile alle analisi svolte in ambiente Jupyter:</w:t>
      </w:r>
      <w:r>
        <w:t xml:space="preserve"> </w:t>
      </w:r>
      <w:r>
        <w:t xml:space="preserve">proviene da una cella di notebook o da un file di</w:t>
      </w:r>
      <w:r>
        <w:t xml:space="preserve"> </w:t>
      </w:r>
      <w:r>
        <w:rPr>
          <w:rStyle w:val="VerbatimChar"/>
        </w:rPr>
        <w:t xml:space="preserve">data/processed/</w:t>
      </w:r>
      <w:r>
        <w:t xml:space="preserve">. Il controllo di</w:t>
      </w:r>
      <w:r>
        <w:t xml:space="preserve"> </w:t>
      </w:r>
      <w:r>
        <w:t xml:space="preserve">regressione</w:t>
      </w:r>
      <w:r>
        <w:t xml:space="preserve"> </w:t>
      </w:r>
      <w:r>
        <w:rPr>
          <w:rStyle w:val="VerbatimChar"/>
        </w:rPr>
        <w:t xml:space="preserve">pipeline/verifica.py</w:t>
      </w:r>
      <w:r>
        <w:t xml:space="preserve"> </w:t>
      </w:r>
      <w:r>
        <w:t xml:space="preserve">ricalcola ogni cifra dai dati grezzi, con</w:t>
      </w:r>
      <w:r>
        <w:t xml:space="preserve"> </w:t>
      </w:r>
      <w:r>
        <w:t xml:space="preserve">un’implementazione indipendente, e verifica che il testo la riporti alla lettera. Il</w:t>
      </w:r>
      <w:r>
        <w:t xml:space="preserve"> </w:t>
      </w:r>
      <w:r>
        <w:t xml:space="preserve">documento può essere rigenerato tramite</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3.1-bis Dopo i 25 anni il divario non si chiude, e diventa locale</w:t>
      </w:r>
    </w:p>
    <w:p>
      <w:pPr>
        <w:pStyle w:val="IndiceDue"/>
      </w:pPr>
      <w:r>
        <w:t xml:space="preserve">3.2 Dentro l’inattività: le casalinghe ventenni, non sposate</w:t>
      </w:r>
    </w:p>
    <w:p>
      <w:pPr>
        <w:pStyle w:val="IndiceDue"/>
      </w:pPr>
      <w:r>
        <w:t xml:space="preserve">3.3 La fuga avviene all’uscita dal percorso formativo, per entrambi i generi</w:t>
      </w:r>
    </w:p>
    <w:p>
      <w:pPr>
        <w:pStyle w:val="IndiceUno"/>
      </w:pPr>
      <w:r>
        <w:t xml:space="preserve">4. Titolo e condizione: la domanda a cui i dati comunali non rispondono</w:t>
      </w:r>
    </w:p>
    <w:p>
      <w:pPr>
        <w:pStyle w:val="IndiceUno"/>
      </w:pPr>
      <w:r>
        <w:t xml:space="preserve">5. Il pendolarismo verso Palermo: una sola destinazione, e un divario di genere che si apre col lavoro</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è una lettura sbagliata di un numero giusto</w:t>
      </w:r>
    </w:p>
    <w:p>
      <w:pPr>
        <w:pStyle w:val="IndiceDue"/>
      </w:pPr>
      <w:r>
        <w:t xml:space="preserve">5.4 Il treno è il canale femminile, e il vincolo non è l’offerta di trasporto</w:t>
      </w:r>
    </w:p>
    <w:p>
      <w:pPr>
        <w:pStyle w:val="IndiceDue"/>
      </w:pPr>
      <w:r>
        <w:t xml:space="preserve">5.5 Il bersaglio, in persone</w:t>
      </w:r>
    </w:p>
    <w:p>
      <w:pPr>
        <w:pStyle w:val="IndiceUno"/>
      </w:pPr>
      <w:r>
        <w:t xml:space="preserve">6. Il denominatore si muove: la platea giovane si restringe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versione rivista del 2026-09-24. La relazione accompagna i tre</w:t>
      </w:r>
      <w:r>
        <w:t xml:space="preserve"> </w:t>
      </w:r>
      <w:r>
        <w:t xml:space="preserve">deliverable richiesti dal 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docs/policy/POLICY_PONTE_19.md</w:t>
      </w:r>
      <w:r>
        <w:t xml:space="preserve">).</w:t>
      </w:r>
    </w:p>
    <w:p>
      <w:pPr>
        <w:pStyle w:val="BodyText"/>
      </w:pPr>
      <w:r>
        <w:t xml:space="preserve">Una nota per la lettura. Le frecce (→) in chiusura dei paragrafi indicano il file di</w:t>
      </w:r>
      <w:r>
        <w:t xml:space="preserve"> </w:t>
      </w:r>
      <w:r>
        <w:rPr>
          <w:rStyle w:val="VerbatimChar"/>
        </w:rPr>
        <w:t xml:space="preserve">data/processed/</w:t>
      </w:r>
      <w:r>
        <w:t xml:space="preserve"> </w:t>
      </w:r>
      <w:r>
        <w:t xml:space="preserve">o la cella di notebook che produce le cifre appena citate; la pipeline</w:t>
      </w:r>
      <w:r>
        <w:t xml:space="preserve"> </w:t>
      </w:r>
      <w:r>
        <w:t xml:space="preserve">che le rigenera è descritta nella sezione 1. Quando un numero richiede una cautela, la</w:t>
      </w:r>
      <w:r>
        <w:t xml:space="preserve"> </w:t>
      </w:r>
      <w:r>
        <w:t xml:space="preserve">cautela compare accanto al numero, non in fondo al documento.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A Bagheria il diploma arriva, il lavoro no. La conversione fallisce soprattutto per le</w:t>
      </w:r>
      <w:r>
        <w:rPr>
          <w:b/>
          <w:bCs/>
        </w:rPr>
        <w:t xml:space="preserve"> </w:t>
      </w:r>
      <w:r>
        <w:rPr>
          <w:b/>
          <w:bCs/>
        </w:rPr>
        <w:t xml:space="preserve">ragazze: sono più istruite dei coetanei, ma il loro tasso di occupazione 15-24 è</w:t>
      </w:r>
      <w:r>
        <w:rPr>
          <w:b/>
          <w:bCs/>
        </w:rPr>
        <w:t xml:space="preserve"> </w:t>
      </w:r>
      <w:r>
        <w:rPr>
          <w:b/>
          <w:bCs/>
        </w:rPr>
        <w:t xml:space="preserve">dell’8,2%, il minimo dei quattro territori in 6 anni su 6. Dopo i 25 anni il divario non</w:t>
      </w:r>
      <w:r>
        <w:rPr>
          <w:b/>
          <w:bCs/>
        </w:rPr>
        <w:t xml:space="preserve"> </w:t>
      </w:r>
      <w:r>
        <w:rPr>
          <w:b/>
          <w:bCs/>
        </w:rPr>
        <w:t xml:space="preserve">si chiude e diventa un tratto locale:</w:t>
      </w:r>
      <w:r>
        <w:rPr>
          <w:b/>
          <w:bCs/>
        </w:rPr>
        <w:t xml:space="preserve"> </w:t>
      </w:r>
      <w:r>
        <w:rPr>
          <w:b/>
          <w:bCs/>
        </w:rPr>
        <w:t xml:space="preserve">le donne di 25-49 anni lavorano al 39,6%, 8,4 punti sotto Palermo, gli uomini a 1,3 punti.</w:t>
      </w:r>
      <w:r>
        <w:rPr>
          <w:b/>
          <w:bCs/>
        </w:rPr>
        <w:t xml:space="preserve"> </w:t>
      </w:r>
      <w:r>
        <w:rPr>
          <w:b/>
          <w:bCs/>
        </w:rPr>
        <w:t xml:space="preserve">Nemmeno la generazione più giovane fa eccezione. Chi resta fuori, inoltre, non è chi</w:t>
      </w:r>
      <w:r>
        <w:rPr>
          <w:b/>
          <w:bCs/>
        </w:rPr>
        <w:t xml:space="preserve"> </w:t>
      </w:r>
      <w:r>
        <w:rPr>
          <w:b/>
          <w:bCs/>
        </w:rPr>
        <w:t xml:space="preserve">cerca lavoro: dei 15-24enni fuori da lavoro e studio, il 70,6% non lo cerca nemmeno.</w:t>
      </w:r>
    </w:p>
    <w:p>
      <w:pPr>
        <w:pStyle w:val="FirstParagraph"/>
      </w:pPr>
      <w:r>
        <w:t xml:space="preserve">I tre thread di analisi (genere, educazione, mobilità) non producono tre diagnosi diverse:</w:t>
      </w:r>
      <w:r>
        <w:t xml:space="preserve"> </w:t>
      </w:r>
      <w:r>
        <w:t xml:space="preserve">leggono</w:t>
      </w:r>
      <w:r>
        <w:t xml:space="preserve"> </w:t>
      </w:r>
      <w:r>
        <w:rPr>
          <w:b/>
          <w:bCs/>
        </w:rPr>
        <w:t xml:space="preserve">lo stesso passaggio, dalla formazione al lavoro, su tre tavole diverse</w:t>
      </w:r>
      <w:r>
        <w:t xml:space="preserve">. Sono</w:t>
      </w:r>
      <w:r>
        <w:t xml:space="preserve"> </w:t>
      </w:r>
      <w:r>
        <w:t xml:space="preserve">misure aggregate sullo stesso territorio e non seguono la traiettoria delle stesse</w:t>
      </w:r>
      <w:r>
        <w:t xml:space="preserve"> </w:t>
      </w:r>
      <w:r>
        <w:t xml:space="preserve">persone, perché l’incrocio individuale non è pubblicato (sezione 4). Vengono però da fonti</w:t>
      </w:r>
      <w:r>
        <w:t xml:space="preserve"> </w:t>
      </w:r>
      <w:r>
        <w:t xml:space="preserve">distinte, quindi nessuna è la riformulazione di un’altra.</w:t>
      </w:r>
    </w:p>
    <w:p>
      <w:pPr>
        <w:pStyle w:val="BodyText"/>
      </w:pPr>
      <w:r>
        <w:t xml:space="preserve">La proposta (sezione 7) è</w:t>
      </w:r>
      <w:r>
        <w:t xml:space="preserve"> </w:t>
      </w:r>
      <w:r>
        <w:rPr>
          <w:b/>
          <w:bCs/>
        </w:rPr>
        <w:t xml:space="preserve">Ponte 19</w:t>
      </w:r>
      <w:r>
        <w:t xml:space="preserve">: un servizio comunale di transizione e</w:t>
      </w:r>
      <w:r>
        <w:t xml:space="preserve"> </w:t>
      </w:r>
      <w:r>
        <w:t xml:space="preserve">riattivazione per i 18-25enni, con due finestre di ingaggio e un target esplicito sul</w:t>
      </w:r>
      <w:r>
        <w:t xml:space="preserve"> </w:t>
      </w:r>
      <w:r>
        <w:t xml:space="preserve">genere. Il nome richiama l’età di uscita dalla scuola superiore, 19 anni; l’analisi ha poi</w:t>
      </w:r>
      <w:r>
        <w:t xml:space="preserve"> </w:t>
      </w:r>
      <w:r>
        <w:t xml:space="preserve">fatto emergere una seconda finestra, fra i 22 e i 25 anni. La proposta ha anche un vincolo</w:t>
      </w:r>
      <w:r>
        <w:t xml:space="preserve"> </w:t>
      </w:r>
      <w:r>
        <w:t xml:space="preserve">di misura, che la distingue da un auspicio:</w:t>
      </w:r>
    </w:p>
    <w:p>
      <w:pPr>
        <w:pStyle w:val="BlockText"/>
      </w:pPr>
      <w:r>
        <w:rPr>
          <w:b/>
          <w:bCs/>
        </w:rPr>
        <w:t xml:space="preserve">La platea femminile 15-24 cala del 15,5% entro il 2034, e chi ne farà parte è già nata.</w:t>
      </w:r>
      <w:r>
        <w:rPr>
          <w:b/>
          <w:bCs/>
        </w:rPr>
        <w:t xml:space="preserve"> </w:t>
      </w:r>
      <w:r>
        <w:rPr>
          <w:b/>
          <w:bCs/>
        </w:rPr>
        <w:t xml:space="preserve">Portare il tasso di occupazione delle ragazze al livello di Palermo vale oggi 40 occupate</w:t>
      </w:r>
      <w:r>
        <w:rPr>
          <w:b/>
          <w:bCs/>
        </w:rPr>
        <w:t xml:space="preserve"> </w:t>
      </w:r>
      <w:r>
        <w:rPr>
          <w:b/>
          <w:bCs/>
        </w:rPr>
        <w:t xml:space="preserve">in più. Lo stesso obiettivo, misurato sulla platea del 2029 e del 2034, vale +18 e −2</w:t>
      </w:r>
      <w:r>
        <w:rPr>
          <w:b/>
          <w:bCs/>
        </w:rPr>
        <w:t xml:space="preserve"> </w:t>
      </w:r>
      <w:r>
        <w:rPr>
          <w:b/>
          <w:bCs/>
        </w:rPr>
        <w:t xml:space="preserve">(fig09). Per questo il KPI si scrive in tasso, non in teste.</w:t>
      </w:r>
    </w:p>
    <w:bookmarkStart w:id="10" w:name="la-risposta-al-bando-in-breve"/>
    <w:p>
      <w:pPr>
        <w:pStyle w:val="Heading2"/>
      </w:pPr>
      <w:r>
        <w:t xml:space="preserve">La risposta al bando,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 bando</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con intervalli di confidenza, percentili sui 390 comuni siciliani e due gruppi dichiarati di comuni pari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l’incrocio non esiste nei dati comunali (verificato); la domanda è risolta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misurato con la matrice origine-destinazione ISTAT: va a Palermo il</w:t>
            </w:r>
            <w:r>
              <w:t xml:space="preserve"> </w:t>
            </w:r>
            <w:r>
              <w:rPr>
                <w:b/>
                <w:bCs/>
              </w:rPr>
              <w:t xml:space="preserve">91,1%</w:t>
            </w:r>
            <w:r>
              <w:t xml:space="preserve"> </w:t>
            </w:r>
            <w:r>
              <w:t xml:space="preserve">di chi esce per studio (2011) e il</w:t>
            </w:r>
            <w:r>
              <w:t xml:space="preserve"> </w:t>
            </w:r>
            <w:r>
              <w:rPr>
                <w:b/>
                <w:bCs/>
              </w:rPr>
              <w:t xml:space="preserve">65,1%</w:t>
            </w:r>
            <w:r>
              <w:t xml:space="preserve"> </w:t>
            </w:r>
            <w:r>
              <w:t xml:space="preserve">di chi esce per lavoro (2021),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In parte</w:t>
            </w:r>
            <w:r>
              <w:t xml:space="preserve">: non calcolabile a livello comunale: si usano due misure etichettate e mai fuse, con il valore regionale della rilevazione sulle forze di lavoro come riferimento</w:t>
            </w:r>
          </w:p>
        </w:tc>
        <w:tc>
          <w:tcPr/>
          <w:p>
            <w:pPr>
              <w:pStyle w:val="Compact"/>
            </w:pPr>
            <w:r>
              <w:t xml:space="preserve">sezione 1.1</w:t>
            </w:r>
          </w:p>
        </w:tc>
      </w:tr>
      <w:tr>
        <w:tc>
          <w:tcPr/>
          <w:p>
            <w:pPr>
              <w:pStyle w:val="Compact"/>
            </w:pPr>
            <w:r>
              <w:t xml:space="preserve">Proposta di intervento</w:t>
            </w:r>
          </w:p>
        </w:tc>
        <w:tc>
          <w:tcPr/>
          <w:p>
            <w:pPr>
              <w:pStyle w:val="Compact"/>
            </w:pPr>
            <w:r>
              <w:rPr>
                <w:b/>
                <w:bCs/>
              </w:rPr>
              <w:t xml:space="preserve">Sì</w:t>
            </w:r>
            <w:r>
              <w:t xml:space="preserve">, 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i quattro notebook girano da zero senza errori; i controlli automatici sono tutti superati</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tre figure principali e sei di supporto</w:t>
            </w:r>
          </w:p>
        </w:tc>
        <w:tc>
          <w:tcPr/>
          <w:p>
            <w:pPr>
              <w:pStyle w:val="Compact"/>
            </w:pPr>
            <w:r>
              <w:t xml:space="preserve">sezione 8</w:t>
            </w:r>
          </w:p>
        </w:tc>
      </w:tr>
    </w:tbl>
    <w:p>
      <w:pPr>
        <w:pStyle w:val="BodyText"/>
      </w:pPr>
      <w:r>
        <w:t xml:space="preserve">Le risposte parziali non sono lavori a metà: indicano i punti in cui i dati pubblici finiscono, dichiarati</w:t>
      </w:r>
      <w:r>
        <w:t xml:space="preserve"> </w:t>
      </w:r>
      <w:r>
        <w:t xml:space="preserve">invece che aggirati. In un concorso sulla cultura del dato, sapere dove i dati non arrivano</w:t>
      </w:r>
      <w:r>
        <w:t xml:space="preserve"> </w:t>
      </w:r>
      <w:r>
        <w:t xml:space="preserve">è parte della risposta. È anche uno dei motivi della proposta, che quei dati mancanti li</w:t>
      </w:r>
      <w:r>
        <w:t xml:space="preserve"> </w:t>
      </w:r>
      <w:r>
        <w:t xml:space="preserve">produce (sezione 7.5).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un ambiente pulito, la sequenza è:</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AttributeTok"/>
        </w:rPr>
        <w:t xml:space="preserve">--skip-download</w:t>
      </w:r>
      <w:r>
        <w:rPr>
          <w:rStyle w:val="NormalTok"/>
        </w:rPr>
        <w:t xml:space="preserve">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notebooks/mobilita.ipynb</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controlli automatici</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pipeline.policy_docx           </w:t>
      </w:r>
      <w:r>
        <w:rPr>
          <w:rStyle w:val="CommentTok"/>
        </w:rPr>
        <w:t xml:space="preserve"># la policy proposal in .docx</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pipeline.pdf                   </w:t>
      </w:r>
      <w:r>
        <w:rPr>
          <w:rStyle w:val="CommentTok"/>
        </w:rPr>
        <w:t xml:space="preserve"># i PDF, i notebook in HTML e lo zip di dist/</w:t>
      </w:r>
    </w:p>
    <w:p>
      <w:pPr>
        <w:pStyle w:val="FirstParagraph"/>
      </w:pPr>
      <w:r>
        <w:t xml:space="preserve">I dati grezzi sono già in</w:t>
      </w:r>
      <w:r>
        <w:t xml:space="preserve"> </w:t>
      </w:r>
      <w:r>
        <w:rPr>
          <w:rStyle w:val="VerbatimChar"/>
        </w:rPr>
        <w:t xml:space="preserve">data/raw/</w:t>
      </w:r>
      <w:r>
        <w:t xml:space="preserve">, quindi la sequenza gira senza rete.</w:t>
      </w:r>
      <w:r>
        <w:t xml:space="preserve"> </w:t>
      </w:r>
      <w:r>
        <w:rPr>
          <w:rStyle w:val="VerbatimChar"/>
        </w:rPr>
        <w:t xml:space="preserve">pipeline.fetch</w:t>
      </w:r>
      <w:r>
        <w:t xml:space="preserve"> </w:t>
      </w:r>
      <w:r>
        <w:t xml:space="preserve">serve solo ad aggiornarli: scarica file nuovi, datati al giorno del download. L’ordine dei</w:t>
      </w:r>
      <w:r>
        <w:t xml:space="preserve"> </w:t>
      </w:r>
      <w:r>
        <w:t xml:space="preserve">passaggi non è arbitrario:</w:t>
      </w:r>
      <w:r>
        <w:t xml:space="preserve"> </w:t>
      </w:r>
      <w:r>
        <w:rPr>
          <w:rStyle w:val="VerbatimChar"/>
        </w:rPr>
        <w:t xml:space="preserve">genere.ipynb</w:t>
      </w:r>
      <w:r>
        <w:t xml:space="preserve"> </w:t>
      </w:r>
      <w:r>
        <w:t xml:space="preserve">legge tavole prodotte da</w:t>
      </w:r>
      <w:r>
        <w:t xml:space="preserve"> </w:t>
      </w:r>
      <w:r>
        <w:rPr>
          <w:rStyle w:val="VerbatimChar"/>
        </w:rPr>
        <w:t xml:space="preserve">analisi.ipynb</w:t>
      </w:r>
      <w:r>
        <w:t xml:space="preserve"> </w:t>
      </w:r>
      <w:r>
        <w:t xml:space="preserve">e da</w:t>
      </w:r>
      <w:r>
        <w:t xml:space="preserve"> </w:t>
      </w:r>
      <w:r>
        <w:rPr>
          <w:rStyle w:val="VerbatimChar"/>
        </w:rPr>
        <w:t xml:space="preserve">pipeline.edu</w:t>
      </w:r>
      <w:r>
        <w:t xml:space="preserve">, e</w:t>
      </w:r>
      <w:r>
        <w:t xml:space="preserve"> </w:t>
      </w:r>
      <w:r>
        <w:rPr>
          <w:rStyle w:val="VerbatimChar"/>
        </w:rPr>
        <w:t xml:space="preserve">mobilita.ipynb</w:t>
      </w:r>
      <w:r>
        <w:t xml:space="preserve"> </w:t>
      </w:r>
      <w:r>
        <w:t xml:space="preserve">ne legge due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w:t>
      </w:r>
    </w:p>
    <w:p>
      <w:pPr>
        <w:pStyle w:val="BodyText"/>
      </w:pPr>
      <w:r>
        <w:t xml:space="preserve">La pipeline ha tre proprietà sostanziali:</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stanno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esegue</w:t>
      </w:r>
      <w:r>
        <w:t xml:space="preserve"> </w:t>
      </w:r>
      <w:r>
        <w:rPr>
          <w:b/>
          <w:bCs/>
        </w:rPr>
        <w:t xml:space="preserve">986 controlli automatici</w:t>
      </w:r>
      <w:r>
        <w:t xml:space="preserve">,</w:t>
      </w:r>
      <w:r>
        <w:t xml:space="preserve"> </w:t>
      </w:r>
      <w:r>
        <w:t xml:space="preserve">tutti superati. Ricalcola i numeri chiave</w:t>
      </w:r>
      <w:r>
        <w:t xml:space="preserve"> </w:t>
      </w:r>
      <w:r>
        <w:rPr>
          <w:b/>
          <w:bCs/>
        </w:rPr>
        <w:t xml:space="preserve">direttamente dai raw, con implementazioni</w:t>
      </w:r>
      <w:r>
        <w:rPr>
          <w:b/>
          <w:bCs/>
        </w:rPr>
        <w:t xml:space="preserve"> </w:t>
      </w:r>
      <w:r>
        <w:rPr>
          <w:b/>
          <w:bCs/>
        </w:rPr>
        <w:t xml:space="preserve">alternative</w:t>
      </w:r>
      <w:r>
        <w:t xml:space="preserve">: intervalli di Wilson e Newcombe riscritti, modello lineare di probabilità</w:t>
      </w:r>
      <w:r>
        <w:t xml:space="preserve"> </w:t>
      </w:r>
      <w:r>
        <w:t xml:space="preserve">in forma analitica, matching rifatto, coorti dalle classi quinquennali. Anche la matrice</w:t>
      </w:r>
      <w:r>
        <w:t xml:space="preserve"> </w:t>
      </w:r>
      <w:r>
        <w:t xml:space="preserve">del pendolarismo ha un parser proprio, che la legge in streaming dagli zip. Il modulo</w:t>
      </w:r>
      <w:r>
        <w:t xml:space="preserve"> </w:t>
      </w:r>
      <w:r>
        <w:t xml:space="preserve">controlla poi che le tavole di</w:t>
      </w:r>
      <w:r>
        <w:t xml:space="preserve"> </w:t>
      </w:r>
      <w:r>
        <w:rPr>
          <w:rStyle w:val="VerbatimChar"/>
        </w:rPr>
        <w:t xml:space="preserve">data/processed/</w:t>
      </w:r>
      <w:r>
        <w:t xml:space="preserve"> </w:t>
      </w:r>
      <w:r>
        <w:t xml:space="preserve">coincidano con quei ricalcoli e che le cifre</w:t>
      </w:r>
      <w:r>
        <w:t xml:space="preserve"> </w:t>
      </w:r>
      <w:r>
        <w:t xml:space="preserve">scritte in questa relazione e nella policy compaiano alla lettera. Se un raw cambia, il</w:t>
      </w:r>
      <w:r>
        <w:t xml:space="preserve"> </w:t>
      </w:r>
      <w:r>
        <w:t xml:space="preserve">controllo fallisce finché notebook, tavole e testo non vengono riallineati.</w:t>
      </w:r>
    </w:p>
    <w:p>
      <w:pPr>
        <w:pStyle w:val="Compact"/>
        <w:numPr>
          <w:ilvl w:val="0"/>
          <w:numId w:val="1001"/>
        </w:numPr>
      </w:pPr>
      <w:r>
        <w:rPr>
          <w:b/>
          <w:bCs/>
        </w:rPr>
        <w:t xml:space="preserve">Separazione dei ruoli.</w:t>
      </w:r>
      <w:r>
        <w:t xml:space="preserve"> </w:t>
      </w:r>
      <w:r>
        <w:t xml:space="preserve">Python trasforma, R disegna. L’interfaccia fra i due sono i</w:t>
      </w:r>
      <w:r>
        <w:t xml:space="preserve"> </w:t>
      </w:r>
      <w:r>
        <w:t xml:space="preserve">CSV di</w:t>
      </w:r>
      <w:r>
        <w:t xml:space="preserve"> </w:t>
      </w:r>
      <w:r>
        <w:rPr>
          <w:rStyle w:val="VerbatimChar"/>
        </w:rPr>
        <w:t xml:space="preserve">data/processed/</w:t>
      </w:r>
      <w:r>
        <w:t xml:space="preserve">, e negli script delle figure non c’è logica di trasformazione.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 e</w:t>
      </w:r>
      <w:r>
        <w:t xml:space="preserve"> </w:t>
      </w:r>
      <w:r>
        <w:t xml:space="preserve">Italia (</w:t>
      </w:r>
      <w:r>
        <w:rPr>
          <w:rStyle w:val="VerbatimChar"/>
        </w:rPr>
        <w:t xml:space="preserve">IT</w:t>
      </w:r>
      <w:r>
        <w:t xml:space="preserve">). A questi si aggiungono i</w:t>
      </w:r>
      <w:r>
        <w:t xml:space="preserve"> </w:t>
      </w:r>
      <w:r>
        <w:rPr>
          <w:b/>
          <w:bCs/>
        </w:rPr>
        <w:t xml:space="preserve">390 comuni siciliani</w:t>
      </w:r>
      <w:r>
        <w:t xml:space="preserve">, per i percentili, e</w:t>
      </w:r>
      <w:r>
        <w:t xml:space="preserve"> </w:t>
      </w:r>
      <w:r>
        <w:t xml:space="preserve">due gruppi di comuni pari (sezione 2.4).</w:t>
      </w:r>
    </w:p>
    <w:p>
      <w:pPr>
        <w:pStyle w:val="Compact"/>
        <w:numPr>
          <w:ilvl w:val="0"/>
          <w:numId w:val="1002"/>
        </w:numPr>
      </w:pPr>
      <w:r>
        <w:rPr>
          <w:b/>
          <w:bCs/>
        </w:rPr>
        <w:t xml:space="preserve">Fasce d’età</w:t>
      </w:r>
      <w:r>
        <w:t xml:space="preserve">: dipendono dal dominio, perché le fonti non danno il 15-34 ovunque. Per</w:t>
      </w:r>
      <w:r>
        <w:t xml:space="preserve"> </w:t>
      </w:r>
      <w:r>
        <w:t xml:space="preserve">lavoro e istruzione la fascia è</w:t>
      </w:r>
      <w:r>
        <w:t xml:space="preserve"> </w:t>
      </w:r>
      <w:r>
        <w:rPr>
          <w:b/>
          <w:bCs/>
        </w:rPr>
        <w:t xml:space="preserve">15-24</w:t>
      </w:r>
      <w:r>
        <w:t xml:space="preserve">, l’unica classe giovanile comunale del</w:t>
      </w:r>
      <w:r>
        <w:t xml:space="preserve"> </w:t>
      </w:r>
      <w:r>
        <w:t xml:space="preserve">censimento permanente. La tavola istruzione usa anche il</w:t>
      </w:r>
      <w:r>
        <w:t xml:space="preserve"> </w:t>
      </w:r>
      <w:r>
        <w:rPr>
          <w:b/>
          <w:bCs/>
        </w:rPr>
        <w:t xml:space="preserve">9-24</w:t>
      </w:r>
      <w:r>
        <w:t xml:space="preserve">, fascia propria della</w:t>
      </w:r>
      <w:r>
        <w:t xml:space="preserve"> </w:t>
      </w:r>
      <w:r>
        <w:t xml:space="preserve">fonte e sempre dichiarata. Per la demografia il</w:t>
      </w:r>
      <w:r>
        <w:t xml:space="preserve"> </w:t>
      </w:r>
      <w:r>
        <w:rPr>
          <w:b/>
          <w:bCs/>
        </w:rPr>
        <w:t xml:space="preserve">15-34</w:t>
      </w:r>
      <w:r>
        <w:t xml:space="preserve"> </w:t>
      </w:r>
      <w:r>
        <w:t xml:space="preserve">è esatto, ricostruito dalle</w:t>
      </w:r>
      <w:r>
        <w:t xml:space="preserve"> </w:t>
      </w:r>
      <w:r>
        <w:t xml:space="preserve">età singole. Ogni figura dichiara la fascia.</w:t>
      </w:r>
    </w:p>
    <w:p>
      <w:pPr>
        <w:pStyle w:val="Compact"/>
        <w:numPr>
          <w:ilvl w:val="0"/>
          <w:numId w:val="1002"/>
        </w:numPr>
      </w:pPr>
      <w:r>
        <w:rPr>
          <w:b/>
          <w:bCs/>
        </w:rPr>
        <w:t xml:space="preserve">Anni</w:t>
      </w:r>
      <w:r>
        <w:t xml:space="preserve">: il censimento permanente copre il 2018-2024. Sulla classe 15-24 il</w:t>
      </w:r>
      <w:r>
        <w:t xml:space="preserve"> </w:t>
      </w:r>
      <w:r>
        <w:rPr>
          <w:b/>
          <w:bCs/>
        </w:rPr>
        <w:t xml:space="preserve">2020</w:t>
      </w:r>
      <w:r>
        <w:rPr>
          <w:b/>
          <w:bCs/>
        </w:rPr>
        <w:t xml:space="preserve"> </w:t>
      </w:r>
      <w:r>
        <w:rPr>
          <w:b/>
          <w:bCs/>
        </w:rPr>
        <w:t xml:space="preserve">manca</w:t>
      </w:r>
      <w:r>
        <w:t xml:space="preserve"> </w:t>
      </w:r>
      <w:r>
        <w:t xml:space="preserve">e resta mancante, mai interpolato. 8milaCensus (1991/2001/2011) è una fonte</w:t>
      </w:r>
      <w:r>
        <w:t xml:space="preserve"> </w:t>
      </w:r>
      <w:r>
        <w:t xml:space="preserve">storica separata e sempre etichettata. Fra il 2019 e il 2021 c’è una</w:t>
      </w:r>
      <w:r>
        <w:t xml:space="preserve"> </w:t>
      </w:r>
      <w:r>
        <w:rPr>
          <w:b/>
          <w:bCs/>
        </w:rPr>
        <w:t xml:space="preserve">rottura di</w:t>
      </w:r>
      <w:r>
        <w:rPr>
          <w:b/>
          <w:bCs/>
        </w:rPr>
        <w:t xml:space="preserve"> </w:t>
      </w:r>
      <w:r>
        <w:rPr>
          <w:b/>
          <w:bCs/>
        </w:rPr>
        <w:t xml:space="preserve">misura</w:t>
      </w:r>
      <w:r>
        <w:t xml:space="preserve"> </w:t>
      </w:r>
      <w:r>
        <w:t xml:space="preserve">sulla componente «in cerca di occupazione»: i gap fra territori restano</w:t>
      </w:r>
      <w:r>
        <w:t xml:space="preserve"> </w:t>
      </w:r>
      <w:r>
        <w:t xml:space="preserve">confrontabili, i livelli delle componenti no (</w:t>
      </w:r>
      <w:r>
        <w:rPr>
          <w:rStyle w:val="VerbatimChar"/>
        </w:rPr>
        <w:t xml:space="preserve">docs/sources.md</w:t>
      </w:r>
      <w:r>
        <w:t xml:space="preserve"> </w:t>
      </w:r>
      <w:r>
        <w:t xml:space="preserve">§7).</w:t>
      </w:r>
    </w:p>
    <w:p>
      <w:pPr>
        <w:pStyle w:val="Compact"/>
        <w:numPr>
          <w:ilvl w:val="0"/>
          <w:numId w:val="1002"/>
        </w:numPr>
      </w:pPr>
      <w:r>
        <w:rPr>
          <w:b/>
          <w:bCs/>
        </w:rPr>
        <w:t xml:space="preserve">NEET</w:t>
      </w:r>
      <w:r>
        <w:t xml:space="preserve">: il NEET 15-34 del bando</w:t>
      </w:r>
      <w:r>
        <w:t xml:space="preserve"> </w:t>
      </w:r>
      <w:r>
        <w:rPr>
          <w:b/>
          <w:bCs/>
        </w:rPr>
        <w:t xml:space="preserve">non è calcolabile a livello comunale</w:t>
      </w:r>
      <w:r>
        <w:t xml:space="preserve">, perché la</w:t>
      </w:r>
      <w:r>
        <w:t xml:space="preserve"> </w:t>
      </w:r>
      <w:r>
        <w:t xml:space="preserve">fascia non esiste nei dati. Si usano quindi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studio» 15-24,</w:t>
      </w:r>
      <w:r>
        <w:rPr>
          <w:b/>
          <w:bCs/>
        </w:rPr>
        <w:t xml:space="preserve"> </w:t>
      </w:r>
      <w:r>
        <w:rPr>
          <w:b/>
          <w:bCs/>
        </w:rPr>
        <w:t xml:space="preserve">2018-2024</w:t>
      </w:r>
      <w:r>
        <w:t xml:space="preserve"> </w:t>
      </w:r>
      <w:r>
        <w:t xml:space="preserve">(censimento permanente). Hanno fasce e definizioni diverse, quindi si</w:t>
      </w:r>
      <w:r>
        <w:t xml:space="preserve"> </w:t>
      </w:r>
      <w:r>
        <w:t xml:space="preserve">affiancano e non si mettono mai in serie. La cifra del bando esiste solo a scala</w:t>
      </w:r>
      <w:r>
        <w:t xml:space="preserve"> </w:t>
      </w:r>
      <w:r>
        <w:t xml:space="preserve">regionale, nella rilevazione sulle forze di lavoro, fonte campionaria con definizione</w:t>
      </w:r>
      <w:r>
        <w:t xml:space="preserve"> </w:t>
      </w:r>
      <w:r>
        <w:t xml:space="preserve">europea. Secondo questa rilevazione, nel 2024 il NEET 15-34 della Sicilia è al 30,1%</w:t>
      </w:r>
      <w:r>
        <w:t xml:space="preserve"> </w:t>
      </w:r>
      <w:r>
        <w:t xml:space="preserve">(35,3% fra le donne, 25,2% fra gli uomini), contro il 17,3% dell’Italia. Sul 15-24 la</w:t>
      </w:r>
      <w:r>
        <w:t xml:space="preserve"> </w:t>
      </w:r>
      <w:r>
        <w:t xml:space="preserve">stessa fonte dà 19,5% per la Sicilia, dove il proxy censuario dà 22,3%. L’ordine di</w:t>
      </w:r>
      <w:r>
        <w:t xml:space="preserve"> </w:t>
      </w:r>
      <w:r>
        <w:t xml:space="preserve">grandezza è lo stesso, e questo fa da controllo esterno del proxy. Il dato regionale è</w:t>
      </w:r>
      <w:r>
        <w:t xml:space="preserve"> </w:t>
      </w:r>
      <w:r>
        <w:t xml:space="preserve">un riferimento, non una misura di Bagheria. →</w:t>
      </w:r>
      <w:r>
        <w:t xml:space="preserve"> </w:t>
      </w:r>
      <w:r>
        <w:rPr>
          <w:rStyle w:val="VerbatimChar"/>
        </w:rPr>
        <w:t xml:space="preserve">genere_neet_rcfl.csv</w:t>
      </w:r>
    </w:p>
    <w:p>
      <w:pPr>
        <w:pStyle w:val="Compact"/>
        <w:numPr>
          <w:ilvl w:val="0"/>
          <w:numId w:val="1002"/>
        </w:numPr>
      </w:pPr>
      <w:r>
        <w:rPr>
          <w:b/>
          <w:bCs/>
        </w:rPr>
        <w:t xml:space="preserve">Percentili</w:t>
      </w:r>
      <w:r>
        <w:t xml:space="preserve">: la posizione di Bagheria fra i 390 comuni siciliani, ordinati dal valore</w:t>
      </w:r>
      <w:r>
        <w:t xml:space="preserve"> </w:t>
      </w:r>
      <w:r>
        <w:t xml:space="preserve">più basso al più alto (100° = valore più alto). Su occupazione, istruzione e mobilità un</w:t>
      </w:r>
      <w:r>
        <w:t xml:space="preserve"> </w:t>
      </w:r>
      <w:r>
        <w:t xml:space="preserve">percentile alto è favorevole; su NEET, uscita precoce e disoccupazione è sfavorevole.</w:t>
      </w:r>
    </w:p>
    <w:p>
      <w:pPr>
        <w:pStyle w:val="Compact"/>
        <w:numPr>
          <w:ilvl w:val="0"/>
          <w:numId w:val="1002"/>
        </w:numPr>
      </w:pPr>
      <w:r>
        <w:rPr>
          <w:b/>
          <w:bCs/>
        </w:rPr>
        <w:t xml:space="preserve">Scarti</w:t>
      </w:r>
      <w:r>
        <w:t xml:space="preserve">: sono calcolati sui valori non arrotondati, quindi possono differire di un</w:t>
      </w:r>
      <w:r>
        <w:t xml:space="preserve"> </w:t>
      </w:r>
      <w:r>
        <w:t xml:space="preserve">decimale dalla differenza fra le cifre stampate.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cifra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Un manifesto (</w:t>
      </w:r>
      <w:r>
        <w:rPr>
          <w:rStyle w:val="VerbatimChar"/>
        </w:rPr>
        <w:t xml:space="preserve">data/raw/manifest.csv</w:t>
      </w:r>
      <w:r>
        <w:t xml:space="preserve">) registra per ogni file l’istante del</w:t>
      </w:r>
      <w:r>
        <w:t xml:space="preserve"> </w:t>
      </w:r>
      <w:r>
        <w:t xml:space="preserve">download e l’URL esatto. Le fonti entrate nell’analisi sono sette, e una di queste (il</w:t>
      </w:r>
      <w:r>
        <w:t xml:space="preserve"> </w:t>
      </w:r>
      <w:r>
        <w:t xml:space="preserve">GTFS di AMAT) serve solo come controllo. Il portale open data della Regione Siciliana è</w:t>
      </w:r>
      <w:r>
        <w:t xml:space="preserve"> </w:t>
      </w:r>
      <w:r>
        <w:t xml:space="preserve">stato esplorato con esito negativo, dichiarato come tale.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w:t>
            </w:r>
          </w:p>
        </w:tc>
        <w:tc>
          <w:tcPr/>
          <w:p>
            <w:pPr>
              <w:pStyle w:val="Compact"/>
            </w:pPr>
            <w:r>
              <w:t xml:space="preserve">Fotografia recente, serie annuale, tutti gli incroci di genere</w:t>
            </w:r>
          </w:p>
        </w:tc>
      </w:tr>
      <w:tr>
        <w:tc>
          <w:tcPr/>
          <w:p>
            <w:pPr>
              <w:pStyle w:val="Compact"/>
            </w:pPr>
            <w:r>
              <w:rPr>
                <w:b/>
                <w:bCs/>
              </w:rPr>
              <w:t xml:space="preserve">ISTAT,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Matrici del pendolarismo</w:t>
            </w:r>
          </w:p>
        </w:tc>
        <w:tc>
          <w:tcPr/>
          <w:p>
            <w:pPr>
              <w:pStyle w:val="Compact"/>
            </w:pPr>
            <w:r>
              <w:t xml:space="preserve">Origine-destinazione comune per comune, con sesso, motivo, mezzo, fascia oraria e durata</w:t>
            </w:r>
          </w:p>
        </w:tc>
        <w:tc>
          <w:tcPr/>
          <w:p>
            <w:pPr>
              <w:pStyle w:val="Compact"/>
            </w:pPr>
            <w:r>
              <w:t xml:space="preserve">1991, 2001, 2011; solo lavoro nel 2021</w:t>
            </w:r>
          </w:p>
        </w:tc>
        <w:tc>
          <w:tcPr/>
          <w:p>
            <w:pPr>
              <w:pStyle w:val="Compact"/>
            </w:pPr>
            <w:r>
              <w:t xml:space="preserve">La destinazione degli spostamenti (sezione 5)</w:t>
            </w:r>
          </w:p>
        </w:tc>
      </w:tr>
      <w:tr>
        <w:tc>
          <w:tcPr/>
          <w:p>
            <w:pPr>
              <w:pStyle w:val="Compact"/>
            </w:pPr>
            <w:r>
              <w:rPr>
                <w:b/>
                <w:bCs/>
              </w:rPr>
              <w:t xml:space="preserve">ISTAT,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 e del Merito</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 (CKAN)</w:t>
            </w:r>
          </w:p>
        </w:tc>
        <w:tc>
          <w:tcPr/>
          <w:p>
            <w:pPr>
              <w:pStyle w:val="Compact"/>
            </w:pPr>
            <w:r>
              <w:t xml:space="preserve">Nessun indicatore sulla popolazione giovanile di Bagheria (ricognizioni del 2026-08-12 e del 2026-08-29); i due dataset sui servizi al lavoro hanno risposto HTTP 502 al download del 2026-08-25</w:t>
            </w:r>
          </w:p>
        </w:tc>
        <w:tc>
          <w:tcPr/>
          <w:p>
            <w:pPr>
              <w:pStyle w:val="Compact"/>
            </w:pPr>
            <w:r>
              <w:t xml:space="preserve">-</w:t>
            </w:r>
          </w:p>
        </w:tc>
        <w:tc>
          <w:tcPr/>
          <w:p>
            <w:pPr>
              <w:pStyle w:val="Compact"/>
            </w:pPr>
            <w:r>
              <w:rPr>
                <w:b/>
                <w:bCs/>
              </w:rPr>
              <w:t xml:space="preserve">Esito negativo</w:t>
            </w:r>
            <w:r>
              <w:t xml:space="preserve">, documentato in</w:t>
            </w:r>
            <w:r>
              <w:t xml:space="preserve"> </w:t>
            </w:r>
            <w:r>
              <w:rPr>
                <w:rStyle w:val="VerbatimChar"/>
              </w:rPr>
              <w:t xml:space="preserve">docs/sources.md</w:t>
            </w:r>
            <w:r>
              <w:t xml:space="preserve"> </w:t>
            </w:r>
            <w:r>
              <w:t xml:space="preserve">§3: esclusa da ogni conclusione</w:t>
            </w:r>
          </w:p>
        </w:tc>
      </w:tr>
    </w:tbl>
    <w:p>
      <w:pPr>
        <w:pStyle w:val="BodyText"/>
      </w:pPr>
      <w:r>
        <w:t xml:space="preserve">Due precisazioni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con le query eseguite e i conteggi ottenuti. Chi rifà il lavoro sa così</w:t>
      </w:r>
      <w:r>
        <w:t xml:space="preserve"> </w:t>
      </w:r>
      <w:r>
        <w:t xml:space="preserve">dove non conviene tornare. Il portale del Comune di Palermo, per esempio, non è un CKAN:</w:t>
      </w:r>
      <w:r>
        <w:t xml:space="preserve"> </w:t>
      </w:r>
      <w:r>
        <w:t xml:space="preserve">espone il catalogo in DCAT Turtle, e chi vi cerca le API standard ottiene 404. Sono</w:t>
      </w:r>
      <w:r>
        <w:t xml:space="preserve"> </w:t>
      </w:r>
      <w:r>
        <w:t xml:space="preserve">dettagli operativi, ma fanno la differenza fra «non c’è» e «non l’abbiamo 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con definizioni che non coincidono. Fra il 2019 e</w:t>
      </w:r>
      <w:r>
        <w:t xml:space="preserve"> </w:t>
      </w:r>
      <w:r>
        <w:t xml:space="preserve">il 2021, inoltre, c’è una rottura di misura sulla componente «in cerca di occupazione».</w:t>
      </w:r>
      <w:r>
        <w:t xml:space="preserve"> </w:t>
      </w:r>
      <w:r>
        <w:t xml:space="preserve">Per questo, quando le due fonti compaiono insieme, sono affiancate ed etichettate con</w:t>
      </w:r>
      <w:r>
        <w:t xml:space="preserve"> </w:t>
      </w:r>
      <w:r>
        <w:t xml:space="preserve">l’anno, 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in un piccolo insieme di</w:t>
      </w:r>
      <w:r>
        <w:t xml:space="preserve"> </w:t>
      </w:r>
      <w:r>
        <w:rPr>
          <w:b/>
          <w:bCs/>
        </w:rPr>
        <w:t xml:space="preserve">tabelle lunghe, più alcune</w:t>
      </w:r>
      <w:r>
        <w:rPr>
          <w:b/>
          <w:bCs/>
        </w:rPr>
        <w:t xml:space="preserve"> </w:t>
      </w:r>
      <w:r>
        <w:rPr>
          <w:b/>
          <w:bCs/>
        </w:rPr>
        <w:t xml:space="preserve">tabelle di lookup</w:t>
      </w:r>
      <w:r>
        <w:t xml:space="preserve">, e in nient’altro. Nessuna scelta di analisi è incorporata</w:t>
      </w:r>
      <w:r>
        <w:t xml:space="preserve"> </w:t>
      </w:r>
      <w:r>
        <w:t xml:space="preserve">nell’interfaccia: ogni thread filtra ciò che gli serve. È questo che rende confrontabili</w:t>
      </w:r>
      <w:r>
        <w:t xml:space="preserve"> </w:t>
      </w:r>
      <w:r>
        <w:t xml:space="preserve">tre analisi indipendenti.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sono tutte in</w:t>
      </w:r>
      <w:r>
        <w:t xml:space="preserve"> </w:t>
      </w:r>
      <w:r>
        <w:rPr>
          <w:rStyle w:val="VerbatimChar"/>
        </w:rPr>
        <w:t xml:space="preserve">pipeline/</w:t>
      </w:r>
      <w:r>
        <w:t xml:space="preserve">; nessuna è fatta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Tutti i codici sono portati a sei</w:t>
      </w:r>
      <w:r>
        <w:t xml:space="preserve"> </w:t>
      </w:r>
      <w:r>
        <w:t xml:space="preserve">cifre con lo zero iniziale, così le tabelle si uniscono senza mappature. Sicilia e</w:t>
      </w:r>
      <w:r>
        <w:t xml:space="preserve"> </w:t>
      </w:r>
      <w:r>
        <w:t xml:space="preserve">Italia mantengono 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 Sistema</w:t>
      </w:r>
      <w:r>
        <w:t xml:space="preserve"> </w:t>
      </w:r>
      <w:r>
        <w:t xml:space="preserve">Locale del Lavoro e un Distretto con lo stesso nome. Sono territori diversi dal comune, e</w:t>
      </w:r>
      <w:r>
        <w:t xml:space="preserve"> </w:t>
      </w:r>
      <w:r>
        <w:t xml:space="preserve">confonderli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quindi 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Si ottiene</w:t>
      </w:r>
      <w:r>
        <w:t xml:space="preserve"> </w:t>
      </w:r>
      <w:r>
        <w:t xml:space="preserve">sommando le età singole, quindi solo dove queste esistono, cioè dal 2021.</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richiede librerie di sistema</w:t>
      </w:r>
      <w:r>
        <w:t xml:space="preserve"> </w:t>
      </w:r>
      <w:r>
        <w:t xml:space="preserve">(GDAL, GEOS, PROJ) che non si installano senza privilegi di amministratore. Per non</w:t>
      </w:r>
      <w:r>
        <w:t xml:space="preserve"> </w:t>
      </w:r>
      <w:r>
        <w:t xml:space="preserve">imporle a chi riproduce, la geometria è calcolata in Python con geopandas, che esporta i</w:t>
      </w:r>
      <w:r>
        <w:t xml:space="preserve"> </w:t>
      </w:r>
      <w:r>
        <w:t xml:space="preserve">poligoni già proiettati (EPSG:32633) come tabella di vertici. R li disegna poi come</w:t>
      </w:r>
      <w:r>
        <w:t xml:space="preserve"> </w:t>
      </w:r>
      <w:r>
        <w:t xml:space="preserve">poligoni, con isole e buchi.</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ma sbagliati. I file sono</w:t>
      </w:r>
      <w:r>
        <w:t xml:space="preserve"> </w:t>
      </w:r>
      <w:r>
        <w:t xml:space="preserve">letti in streaming dagli zip, senza mai espanderli, e il tracciato è controllato per</w:t>
      </w:r>
      <w:r>
        <w:t xml:space="preserve"> </w:t>
      </w:r>
      <w:r>
        <w:t xml:space="preserve">prova (sezione 5).</w:t>
      </w:r>
    </w:p>
    <w:p>
      <w:pPr>
        <w:pStyle w:val="Compact"/>
        <w:numPr>
          <w:ilvl w:val="0"/>
          <w:numId w:val="1003"/>
        </w:numPr>
      </w:pPr>
      <w:r>
        <w:rPr>
          <w:b/>
          <w:bCs/>
        </w:rPr>
        <w:t xml:space="preserve">Descrizioni fuori dalle tabelle.</w:t>
      </w:r>
      <w:r>
        <w:t xml:space="preserve"> </w:t>
      </w:r>
      <w:r>
        <w:t xml:space="preserve">Le etichette lunghe stanno nelle tabelle di lookup</w:t>
      </w:r>
      <w:r>
        <w:t xml:space="preserve"> </w:t>
      </w:r>
      <w:r>
        <w:t xml:space="preserve">invece di ripetersi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le tavole non contengono. Ogni passaggio usa un</w:t>
      </w:r>
      <w:r>
        <w:t xml:space="preserve"> </w:t>
      </w:r>
      <w:r>
        <w:t xml:space="preserve">metodo dichiarato, e ogni metodo è riscritto una seconda volta, in forma diversa, in</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w:t>
            </w:r>
            <w:r>
              <w:t xml:space="preserve">su covariate strutturali, mai su esiti</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residui,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 con due metri: il modello binomiale e la variabilità osservata, senza interventi, nei 33 comuni siciliani di taglia simile</w:t>
            </w:r>
          </w:p>
        </w:tc>
        <w:tc>
          <w:tcPr/>
          <w:p>
            <w:pPr>
              <w:pStyle w:val="Compact"/>
            </w:pPr>
            <w:r>
              <w:t xml:space="preserve">sezione 7.4</w:t>
            </w:r>
          </w:p>
        </w:tc>
      </w:tr>
      <w:tr>
        <w:tc>
          <w:tcPr/>
          <w:p>
            <w:pPr>
              <w:pStyle w:val="Compact"/>
            </w:pPr>
            <w:r>
              <w:t xml:space="preserve">Il pilota vede il proprio effetto?</w:t>
            </w:r>
          </w:p>
        </w:tc>
        <w:tc>
          <w:tcPr/>
          <w:p>
            <w:pPr>
              <w:pStyle w:val="Compact"/>
            </w:pPr>
            <w:r>
              <w:t xml:space="preserve">Potenza del confronto fra due coorti da 100 partecipanti</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 ripetuto senza modello binomiale contro le pendenze dei comuni simili</w:t>
            </w:r>
          </w:p>
        </w:tc>
        <w:tc>
          <w:tcPr/>
          <w:p>
            <w:pPr>
              <w:pStyle w:val="Compact"/>
            </w:pPr>
            <w:r>
              <w:t xml:space="preserve">sezione 7.4</w:t>
            </w:r>
          </w:p>
        </w:tc>
      </w:tr>
      <w:tr>
        <w:tc>
          <w:tcPr/>
          <w:p>
            <w:pPr>
              <w:pStyle w:val="Compact"/>
            </w:pPr>
            <w:r>
              <w:t xml:space="preserve">Quante diplomate lavorano, senza l’incrocio individuale?</w:t>
            </w:r>
          </w:p>
        </w:tc>
        <w:tc>
          <w:tcPr/>
          <w:p>
            <w:pPr>
              <w:pStyle w:val="Compact"/>
            </w:pPr>
            <w:r>
              <w:rPr>
                <w:b/>
                <w:bCs/>
              </w:rPr>
              <w:t xml:space="preserve">Limiti di Fréchet</w:t>
            </w:r>
            <w:r>
              <w:t xml:space="preserve"> </w:t>
            </w:r>
            <w:r>
              <w:t xml:space="preserve">sui margini delle due tavole</w:t>
            </w:r>
          </w:p>
        </w:tc>
        <w:tc>
          <w:tcPr/>
          <w:p>
            <w:pPr>
              <w:pStyle w:val="Compact"/>
            </w:pPr>
            <w:r>
              <w:t xml:space="preserve">sezione 4</w:t>
            </w:r>
          </w:p>
        </w:tc>
      </w:tr>
      <w:tr>
        <w:tc>
          <w:tcPr/>
          <w:p>
            <w:pPr>
              <w:pStyle w:val="Compact"/>
            </w:pPr>
            <w:r>
              <w:t xml:space="preserve">Una quota censuaria è un conteggio o una stima?</w:t>
            </w:r>
          </w:p>
        </w:tc>
        <w:tc>
          <w:tcPr/>
          <w:p>
            <w:pPr>
              <w:pStyle w:val="Compact"/>
            </w:pPr>
            <w:r>
              <w:t xml:space="preserve">Quota di celle intere per condizione e anno sui 390 comuni</w:t>
            </w:r>
          </w:p>
        </w:tc>
        <w:tc>
          <w:tcPr/>
          <w:p>
            <w:pPr>
              <w:pStyle w:val="Compact"/>
            </w:pPr>
            <w:r>
              <w:t xml:space="preserve">sezioni 1.5 e 3.2</w:t>
            </w:r>
          </w:p>
        </w:tc>
      </w:tr>
    </w:tbl>
    <w:p>
      <w:pPr>
        <w:pStyle w:val="BodyText"/>
      </w:pPr>
      <w:r>
        <w:t xml:space="preserve">Due proprietà rendono questi conti verificabili, e non solo dichiarati. La prima:</w:t>
      </w:r>
      <w:r>
        <w:t xml:space="preserve"> </w:t>
      </w:r>
      <w:r>
        <w:rPr>
          <w:b/>
          <w:bCs/>
        </w:rPr>
        <w:t xml:space="preserve">il</w:t>
      </w:r>
      <w:r>
        <w:rPr>
          <w:b/>
          <w:bCs/>
        </w:rPr>
        <w:t xml:space="preserve"> </w:t>
      </w:r>
      <w:r>
        <w:rPr>
          <w:b/>
          <w:bCs/>
        </w:rPr>
        <w:t xml:space="preserve">controllo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Riscrive da zero</w:t>
      </w:r>
      <w:r>
        <w:t xml:space="preserve"> </w:t>
      </w:r>
      <w:r>
        <w:t xml:space="preserve">gli intervalli, stima il modello in forma analitica, rifà il matching, prende le coorti</w:t>
      </w:r>
      <w:r>
        <w:t xml:space="preserve"> </w:t>
      </w:r>
      <w:r>
        <w:t xml:space="preserve">dalle classi quinquennali invece che dalle età singole e usa un secondo parser della</w:t>
      </w:r>
      <w:r>
        <w:t xml:space="preserve"> </w:t>
      </w:r>
      <w:r>
        <w:t xml:space="preserve">matrice del pendolarismo. Se le due strade divergono, il controllo fallisce.</w:t>
      </w:r>
    </w:p>
    <w:p>
      <w:pPr>
        <w:pStyle w:val="BodyText"/>
      </w:pPr>
      <w:r>
        <w:t xml:space="preserve">La seconda:</w:t>
      </w:r>
      <w:r>
        <w:t xml:space="preserve"> </w:t>
      </w:r>
      <w:r>
        <w:rPr>
          <w:b/>
          <w:bCs/>
        </w:rPr>
        <w:t xml:space="preserve">il documento rientra nel perimetro dei controlli</w:t>
      </w:r>
      <w:r>
        <w:t xml:space="preserve">. L’ultimo blocco rilegge</w:t>
      </w:r>
      <w:r>
        <w:t xml:space="preserve"> </w:t>
      </w:r>
      <w:r>
        <w:t xml:space="preserve">le cifre da</w:t>
      </w:r>
      <w:r>
        <w:t xml:space="preserve"> </w:t>
      </w:r>
      <w:r>
        <w:rPr>
          <w:rStyle w:val="VerbatimChar"/>
        </w:rPr>
        <w:t xml:space="preserve">data/processed/</w:t>
      </w:r>
      <w:r>
        <w:t xml:space="preserve">, le formatta all’italiana e pretende che la frase compaia</w:t>
      </w:r>
      <w:r>
        <w:t xml:space="preserve"> </w:t>
      </w:r>
      <w:r>
        <w:t xml:space="preserve">alla lettera in questa relazione. Un numero ritoccato a mano nel testo fa fallire la</w:t>
      </w:r>
      <w:r>
        <w:t xml:space="preserve"> </w:t>
      </w:r>
      <w:r>
        <w:t xml:space="preserve">pipeline esattamente come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Distinguerli è la premessa per</w:t>
      </w:r>
      <w:r>
        <w:t xml:space="preserve"> </w:t>
      </w:r>
      <w:r>
        <w:t xml:space="preserve">leggerli senza sopravvalutarli.</w:t>
      </w:r>
    </w:p>
    <w:p>
      <w:pPr>
        <w:pStyle w:val="Compact"/>
        <w:numPr>
          <w:ilvl w:val="0"/>
          <w:numId w:val="1004"/>
        </w:numPr>
      </w:pPr>
      <w:r>
        <w:rPr>
          <w:b/>
          <w:bCs/>
        </w:rPr>
        <w:t xml:space="preserve">Descrittivo.</w:t>
      </w:r>
      <w:r>
        <w:t xml:space="preserve"> </w:t>
      </w:r>
      <w:r>
        <w:t xml:space="preserve">Conteggi e quote censuarie su Bagheria. Il censimento permanente li</w:t>
      </w:r>
      <w:r>
        <w:t xml:space="preserve"> </w:t>
      </w:r>
      <w:r>
        <w:t xml:space="preserve">produce integrando registri amministrativi e rilevazioni campionarie, e a livello</w:t>
      </w:r>
      <w:r>
        <w:t xml:space="preserve"> </w:t>
      </w:r>
      <w:r>
        <w:t xml:space="preserve">comunale ISTAT non pubblica un errore di stima. Dove compare un intervallo, quindi,</w:t>
      </w:r>
      <w:r>
        <w:t xml:space="preserve"> </w:t>
      </w:r>
      <w:r>
        <w:t xml:space="preserve">misura la variabilità binomiale della proporzione, non l’incertezza della rilevazione.</w:t>
      </w:r>
      <w:r>
        <w:t xml:space="preserve"> </w:t>
      </w:r>
      <w:r>
        <w:t xml:space="preserve">Dal 2021, inoltre, solo occupati e residenti sono conteggi. Le condizioni non</w:t>
      </w:r>
      <w:r>
        <w:t xml:space="preserve"> </w:t>
      </w:r>
      <w:r>
        <w:t xml:space="preserve">professionali (in cerca, casalinga, studente, pensionato, altra condizione) sono stime</w:t>
      </w:r>
      <w:r>
        <w:t xml:space="preserve"> </w:t>
      </w:r>
      <w:r>
        <w:t xml:space="preserve">di modello: somme di probabilità individuali di cui ISTAT non calcola l’errore standard.</w:t>
      </w:r>
      <w:r>
        <w:t xml:space="preserve"> </w:t>
      </w:r>
      <w:r>
        <w:t xml:space="preserve">Lo si vede nei dati, dove quelle celle non sono intere (sezione 3.2). Il censimento 2011</w:t>
      </w:r>
      <w:r>
        <w:t xml:space="preserve"> </w:t>
      </w:r>
      <w:r>
        <w:t xml:space="preserve">è invece un’enumerazione, salvo le variabili rilevate su campione (sezione 5.4).</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è robusta l’affermazione che</w:t>
      </w:r>
      <w:r>
        <w:t xml:space="preserve"> </w:t>
      </w:r>
      <w:r>
        <w:rPr>
          <w:b/>
          <w:bCs/>
        </w:rPr>
        <w:t xml:space="preserve">sopravvive al cambio di lente</w:t>
      </w:r>
      <w:r>
        <w:t xml:space="preserve">.</w:t>
      </w:r>
      <w:r>
        <w:t xml:space="preserve"> </w:t>
      </w:r>
      <w:r>
        <w:t xml:space="preserve">Dove i due gruppi di pari divergono, la relazione lo dice invece di scegliere il più</w:t>
      </w:r>
      <w:r>
        <w:t xml:space="preserve"> </w:t>
      </w:r>
      <w:r>
        <w:t xml:space="preserve">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sempre citate con questo limite,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consentirebbe. Per questo la proposta include un</w:t>
      </w:r>
      <w:r>
        <w:t xml:space="preserve"> </w:t>
      </w:r>
      <w:r>
        <w:t xml:space="preserve">proprio disegno di valutazione (sezione 7.4), che serve a produrre l’evidenza che oggi</w:t>
      </w:r>
      <w:r>
        <w:t xml:space="preserve"> </w:t>
      </w:r>
      <w:r>
        <w:t xml:space="preserve">manca, non a confermare quella che c’è.</w:t>
      </w:r>
    </w:p>
    <w:p>
      <w:pPr>
        <w:pStyle w:val="FirstParagraph"/>
      </w:pPr>
      <w:r>
        <w:t xml:space="preserve">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Nel 2024 Bagheria conta</w:t>
      </w:r>
      <w:r>
        <w:t xml:space="preserve"> </w:t>
      </w:r>
      <w:r>
        <w:rPr>
          <w:b/>
          <w:bCs/>
        </w:rPr>
        <w:t xml:space="preserve">5.904 residenti di 15-24 anni</w:t>
      </w:r>
      <w:r>
        <w:t xml:space="preserve">. Per condizione prevalente si</w:t>
      </w:r>
      <w:r>
        <w:t xml:space="preserve"> </w:t>
      </w:r>
      <w:r>
        <w:t xml:space="preserve">distribuiscono così: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Lo stesso profilo sui quattro territori del bando: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15-24, 2024</w:t>
            </w:r>
          </w:p>
        </w:tc>
        <w:tc>
          <w:tcPr/>
          <w:p>
            <w:pPr>
              <w:pStyle w:val="Compact"/>
              <w:jc w:val="right"/>
            </w:pPr>
            <w: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Occupati</w:t>
            </w:r>
          </w:p>
        </w:tc>
        <w:tc>
          <w:tcPr/>
          <w:p>
            <w:pPr>
              <w:pStyle w:val="Compact"/>
              <w:jc w:val="right"/>
            </w:pPr>
            <w:r>
              <w:rPr>
                <w:b/>
                <w:bCs/>
              </w:rPr>
              <w:t xml:space="preserve">12,4%</w:t>
            </w:r>
          </w:p>
        </w:tc>
        <w:tc>
          <w:tcPr/>
          <w:p>
            <w:pPr>
              <w:pStyle w:val="Compact"/>
              <w:jc w:val="right"/>
            </w:pPr>
            <w:r>
              <w:t xml:space="preserve">13,2%</w:t>
            </w:r>
          </w:p>
        </w:tc>
        <w:tc>
          <w:tcPr/>
          <w:p>
            <w:pPr>
              <w:pStyle w:val="Compact"/>
              <w:jc w:val="right"/>
            </w:pPr>
            <w:r>
              <w:t xml:space="preserve">15,6%</w:t>
            </w:r>
          </w:p>
        </w:tc>
        <w:tc>
          <w:tcPr/>
          <w:p>
            <w:pPr>
              <w:pStyle w:val="Compact"/>
              <w:jc w:val="right"/>
            </w:pPr>
            <w:r>
              <w:t xml:space="preserve">22,3%</w:t>
            </w:r>
          </w:p>
        </w:tc>
      </w:tr>
      <w:tr>
        <w:tc>
          <w:tcPr/>
          <w:p>
            <w:pPr>
              <w:pStyle w:val="Compact"/>
            </w:pPr>
            <w:r>
              <w:t xml:space="preserve">In cerca di occupazione</w:t>
            </w:r>
          </w:p>
        </w:tc>
        <w:tc>
          <w:tcPr/>
          <w:p>
            <w:pPr>
              <w:pStyle w:val="Compact"/>
              <w:jc w:val="right"/>
            </w:pPr>
            <w:r>
              <w:rPr>
                <w:b/>
                <w:bCs/>
              </w:rPr>
              <w:t xml:space="preserve">7,9%</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6,2%</w:t>
            </w:r>
          </w:p>
        </w:tc>
      </w:tr>
      <w:tr>
        <w:tc>
          <w:tcPr/>
          <w:p>
            <w:pPr>
              <w:pStyle w:val="Compact"/>
            </w:pPr>
            <w:r>
              <w:t xml:space="preserve">Studenti</w:t>
            </w:r>
          </w:p>
        </w:tc>
        <w:tc>
          <w:tcPr/>
          <w:p>
            <w:pPr>
              <w:pStyle w:val="Compact"/>
              <w:jc w:val="right"/>
            </w:pPr>
            <w:r>
              <w:rPr>
                <w:b/>
                <w:bCs/>
              </w:rPr>
              <w:t xml:space="preserve">60,7%</w:t>
            </w:r>
          </w:p>
        </w:tc>
        <w:tc>
          <w:tcPr/>
          <w:p>
            <w:pPr>
              <w:pStyle w:val="Compact"/>
              <w:jc w:val="right"/>
            </w:pPr>
            <w:r>
              <w:t xml:space="preserve">63,2%</w:t>
            </w:r>
          </w:p>
        </w:tc>
        <w:tc>
          <w:tcPr/>
          <w:p>
            <w:pPr>
              <w:pStyle w:val="Compact"/>
              <w:jc w:val="right"/>
            </w:pPr>
            <w:r>
              <w:t xml:space="preserve">62,2%</w:t>
            </w:r>
          </w:p>
        </w:tc>
        <w:tc>
          <w:tcPr/>
          <w:p>
            <w:pPr>
              <w:pStyle w:val="Compact"/>
              <w:jc w:val="right"/>
            </w:pPr>
            <w:r>
              <w:t xml:space="preserve">62,3%</w:t>
            </w:r>
          </w:p>
        </w:tc>
      </w:tr>
      <w:tr>
        <w:tc>
          <w:tcPr/>
          <w:p>
            <w:pPr>
              <w:pStyle w:val="Compact"/>
            </w:pPr>
            <w:r>
              <w:t xml:space="preserve">Inattivi non studenti</w:t>
            </w:r>
          </w:p>
        </w:tc>
        <w:tc>
          <w:tcPr/>
          <w:p>
            <w:pPr>
              <w:pStyle w:val="Compact"/>
              <w:jc w:val="right"/>
            </w:pPr>
            <w:r>
              <w:rPr>
                <w:b/>
                <w:bCs/>
              </w:rPr>
              <w:t xml:space="preserve">19,0%</w:t>
            </w:r>
          </w:p>
        </w:tc>
        <w:tc>
          <w:tcPr/>
          <w:p>
            <w:pPr>
              <w:pStyle w:val="Compact"/>
              <w:jc w:val="right"/>
            </w:pPr>
            <w:r>
              <w:t xml:space="preserve">15,3%</w:t>
            </w:r>
          </w:p>
        </w:tc>
        <w:tc>
          <w:tcPr/>
          <w:p>
            <w:pPr>
              <w:pStyle w:val="Compact"/>
              <w:jc w:val="right"/>
            </w:pPr>
            <w:r>
              <w:t xml:space="preserve">14,8%</w:t>
            </w:r>
          </w:p>
        </w:tc>
        <w:tc>
          <w:tcPr/>
          <w:p>
            <w:pPr>
              <w:pStyle w:val="Compact"/>
              <w:jc w:val="right"/>
            </w:pPr>
            <w:r>
              <w:t xml:space="preserve">9,2%</w:t>
            </w:r>
          </w:p>
        </w:tc>
      </w:tr>
      <w:tr>
        <w:tc>
          <w:tcPr/>
          <w:p>
            <w:pPr>
              <w:pStyle w:val="Compact"/>
            </w:pPr>
            <w:r>
              <w:t xml:space="preserve">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non cercano lavoro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bl>
    <w:p>
      <w:pPr>
        <w:pStyle w:val="BodyText"/>
      </w:pPr>
      <w:r>
        <w:t xml:space="preserve">→</w:t>
      </w:r>
      <w:r>
        <w:t xml:space="preserve"> </w:t>
      </w:r>
      <w:r>
        <w:rPr>
          <w:rStyle w:val="VerbatimChar"/>
        </w:rPr>
        <w:t xml:space="preserve">edu_youth_states_2018_2024.csv</w:t>
      </w:r>
    </w:p>
    <w:p>
      <w:pPr>
        <w:pStyle w:val="BodyText"/>
      </w:pPr>
      <w:r>
        <w:t xml:space="preserve">Il confronto individua subito il punto critico. L’occupazione 15-24 di Bagheria (12,4%) è</w:t>
      </w:r>
      <w:r>
        <w:t xml:space="preserve"> </w:t>
      </w:r>
      <w:r>
        <w:rPr>
          <w:b/>
          <w:bCs/>
        </w:rPr>
        <w:t xml:space="preserve">3,1 punti sotto la Sicilia</w:t>
      </w:r>
      <w:r>
        <w:t xml:space="preserve"> </w:t>
      </w:r>
      <w:r>
        <w:t xml:space="preserve">(15,6%), mentre gli inattivi non studenti (19,0%) sono</w:t>
      </w:r>
      <w:r>
        <w:t xml:space="preserve"> </w:t>
      </w:r>
      <w:r>
        <w:rPr>
          <w:b/>
          <w:bCs/>
        </w:rPr>
        <w:t xml:space="preserve">4,2</w:t>
      </w:r>
      <w:r>
        <w:rPr>
          <w:b/>
          <w:bCs/>
        </w:rPr>
        <w:t xml:space="preserve"> </w:t>
      </w:r>
      <w:r>
        <w:rPr>
          <w:b/>
          <w:bCs/>
        </w:rPr>
        <w:t xml:space="preserve">punti sopra</w:t>
      </w:r>
      <w:r>
        <w:t xml:space="preserve"> </w:t>
      </w:r>
      <w:r>
        <w:t xml:space="preserve">(14,8%). Nel complesso il 26,9% dei giovani è fuori sia dal lavoro sia dallo</w:t>
      </w:r>
      <w:r>
        <w:t xml:space="preserve"> </w:t>
      </w:r>
      <w:r>
        <w:t xml:space="preserve">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più che a Palermo (64,9%), in Sicilia</w:t>
      </w:r>
      <w:r>
        <w:t xml:space="preserve"> </w:t>
      </w:r>
      <w:r>
        <w:t xml:space="preserve">(66,4%) e in Italia (59,8%). Il livello di questa quota dipende dal metodo di stima in</w:t>
      </w:r>
      <w:r>
        <w:t xml:space="preserve"> </w:t>
      </w:r>
      <w:r>
        <w:t xml:space="preserve">vigore dal 2021 (sezione 2.2): si confronta quindi fra territori nello stesso anno, non</w:t>
      </w:r>
      <w:r>
        <w:t xml:space="preserve"> </w:t>
      </w:r>
      <w:r>
        <w:t xml:space="preserve">lungo la serie. Non sono giovani che cercano e non trovano: sono giovani che non arrivano</w:t>
      </w:r>
      <w:r>
        <w:t xml:space="preserve"> </w:t>
      </w:r>
      <w:r>
        <w:t xml:space="preserve">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bookmarkEnd w:id="21"/>
    <w:bookmarkStart w:id="25" w:name="il-recupero-cè-la-convergenza-no"/>
    <w:p>
      <w:pPr>
        <w:pStyle w:val="Heading2"/>
      </w:pPr>
      <w:r>
        <w:t xml:space="preserve">2.2 Il recupero c’è, la convergenza no</w:t>
      </w:r>
    </w:p>
    <w:p>
      <w:pPr>
        <w:pStyle w:val="FirstParagraph"/>
      </w:pPr>
      <w:r>
        <w:t xml:space="preserve">Fra il 2018 e il 2024 l’occupazione 15-24 (maschi e femmine insieme) sale dall’8,2% al</w:t>
      </w:r>
      <w:r>
        <w:t xml:space="preserve"> </w:t>
      </w:r>
      <w:r>
        <w:t xml:space="preserve">12,4%. Lo scarto dalla Sicilia, però, è di</w:t>
      </w:r>
      <w:r>
        <w:t xml:space="preserve"> </w:t>
      </w:r>
      <w:r>
        <w:rPr>
          <w:b/>
          <w:bCs/>
        </w:rPr>
        <w:t xml:space="preserve">−3,1 punti sia nel 2018 sia nel 2024</w:t>
      </w:r>
      <w:r>
        <w:t xml:space="preserve">.</w:t>
      </w:r>
      <w:r>
        <w:t xml:space="preserve"> </w:t>
      </w:r>
      <w:r>
        <w:t xml:space="preserve">Bagheria 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p>
    <w:p>
      <w:pPr>
        <w:pStyle w:val="BodyText"/>
      </w:pPr>
      <w:r>
        <w:t xml:space="preserve">Le componenti di chi è fuori da lavoro e studio richiedono una cautela. Fra il 2019 e il</w:t>
      </w:r>
      <w:r>
        <w:t xml:space="preserve"> </w:t>
      </w:r>
      <w:r>
        <w:t xml:space="preserve">2021 cambia la misura della condizione «in cerca di occupazione», e la sua quota cade in</w:t>
      </w:r>
      <w:r>
        <w:t xml:space="preserve"> </w:t>
      </w:r>
      <w:r>
        <w:t xml:space="preserve">un solo passaggio di 7,5 punti a Bagheria e di 7,1 in Sicilia (</w:t>
      </w:r>
      <w:r>
        <w:rPr>
          <w:rStyle w:val="VerbatimChar"/>
        </w:rPr>
        <w:t xml:space="preserve">docs/sources.md</w:t>
      </w:r>
      <w:r>
        <w:t xml:space="preserve"> </w:t>
      </w:r>
      <w:r>
        <w:t xml:space="preserve">§7). Il</w:t>
      </w:r>
      <w:r>
        <w:t xml:space="preserve"> </w:t>
      </w:r>
      <w:r>
        <w:t xml:space="preserve">confronto corretto resta quindi dentro la stessa definizione, cioè nel 2021-2024. In quel</w:t>
      </w:r>
      <w:r>
        <w:t xml:space="preserve"> </w:t>
      </w:r>
      <w:r>
        <w:t xml:space="preserve">periodo</w:t>
      </w:r>
      <w:r>
        <w:t xml:space="preserve"> </w:t>
      </w:r>
      <w:r>
        <w:rPr>
          <w:b/>
          <w:bCs/>
        </w:rPr>
        <w:t xml:space="preserve">chi cerca lavoro scende da 10,6% a 7,9%, gli inattivi non studenti restano fermi</w:t>
      </w:r>
      <w:r>
        <w:rPr>
          <w:b/>
          <w:bCs/>
        </w:rPr>
        <w:t xml:space="preserve"> </w:t>
      </w:r>
      <w:r>
        <w:rPr>
          <w:b/>
          <w:bCs/>
        </w:rPr>
        <w:t xml:space="preserve">(19,2% → 19,0%)</w:t>
      </w:r>
      <w:r>
        <w:t xml:space="preserve">, e il loro scarto dalla Sicilia sale da 2,7 a 4,2 punti. Il</w:t>
      </w:r>
      <w:r>
        <w:t xml:space="preserve"> </w:t>
      </w:r>
      <w:r>
        <w:t xml:space="preserve">miglioramento, dove c’è, non raggiunge chi non cerca. →</w:t>
      </w:r>
      <w:r>
        <w:t xml:space="preserve"> </w:t>
      </w:r>
      <w:r>
        <w:rPr>
          <w:rStyle w:val="VerbatimChar"/>
        </w:rPr>
        <w:t xml:space="preserve">edu_youth_states_2018_2024.csv</w:t>
      </w:r>
    </w:p>
    <w:p>
      <w:pPr>
        <w:pStyle w:val="BodyText"/>
      </w:pPr>
      <w:r>
        <w:t xml:space="preserve">La fascia adulta segue lo stesso schema. Fra i 25-49enni la quota con almeno il diploma</w:t>
      </w:r>
      <w:r>
        <w:t xml:space="preserve"> </w:t>
      </w:r>
      <w:r>
        <w:t xml:space="preserve">passa dal 56,2% al 62,4% e l’occupazione dal 43,0% al 53,6%. Nel 2024, però, gli scarti</w:t>
      </w:r>
      <w:r>
        <w:t xml:space="preserve"> </w:t>
      </w:r>
      <w:r>
        <w:t xml:space="preserve">dalla Sicilia restano rispettivamente di</w:t>
      </w:r>
      <w:r>
        <w:t xml:space="preserve"> </w:t>
      </w:r>
      <w:r>
        <w:rPr>
          <w:b/>
          <w:bCs/>
        </w:rPr>
        <w:t xml:space="preserve">−4,1 e −5,7 punti</w:t>
      </w:r>
      <w:r>
        <w:t xml:space="preserve">. →</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censimenti del 1991, 2001 e 2011, con il ponte verso il censimento permanente, separano</w:t>
      </w:r>
      <w:r>
        <w:t xml:space="preserve"> </w:t>
      </w:r>
      <w:r>
        <w:t xml:space="preserve">due cose che di solito si confondono: Bagheria</w:t>
      </w:r>
      <w:r>
        <w:t xml:space="preserve"> </w:t>
      </w:r>
      <w:r>
        <w:rPr>
          <w:b/>
          <w:bCs/>
        </w:rPr>
        <w:t xml:space="preserve">migliora in assoluto e arretra in</w:t>
      </w:r>
      <w:r>
        <w:rPr>
          <w:b/>
          <w:bCs/>
        </w:rPr>
        <w:t xml:space="preserve"> </w:t>
      </w:r>
      <w:r>
        <w:rPr>
          <w:b/>
          <w:bCs/>
        </w:rPr>
        <w:t xml:space="preserve">posizione</w:t>
      </w:r>
      <w:r>
        <w:t xml:space="preserve">.</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Compact"/>
        <w:numPr>
          <w:ilvl w:val="0"/>
          <w:numId w:val="1005"/>
        </w:numPr>
      </w:pPr>
      <w:r>
        <w:t xml:space="preserve">NEET 15-29: scende dal 42,9% (1991) al 40,1% (2011), ma fra i 390 comuni siciliani</w:t>
      </w:r>
      <w:r>
        <w:t xml:space="preserve"> </w:t>
      </w:r>
      <w:r>
        <w:t xml:space="preserve">Bagheria passa</w:t>
      </w:r>
      <w:r>
        <w:t xml:space="preserve"> </w:t>
      </w:r>
      <w:r>
        <w:rPr>
          <w:b/>
          <w:bCs/>
        </w:rPr>
        <w:t xml:space="preserve">circa dal 17° all’88° percentile</w:t>
      </w:r>
      <w:r>
        <w:t xml:space="preserve">. Qui un percentile alto è</w:t>
      </w:r>
      <w:r>
        <w:t xml:space="preserve"> </w:t>
      </w:r>
      <w:r>
        <w:t xml:space="preserve">sfavorevole: molti altri comuni hanno ridotto il problema molto più in fretta.</w:t>
      </w:r>
      <w:r>
        <w:t xml:space="preserve"> </w:t>
      </w:r>
      <w:r>
        <w:t xml:space="preserve">→</w:t>
      </w:r>
      <w:r>
        <w:t xml:space="preserve"> </w:t>
      </w:r>
      <w:r>
        <w:rPr>
          <w:rStyle w:val="VerbatimChar"/>
        </w:rPr>
        <w:t xml:space="preserve">edu_historical_bagheria.csv</w:t>
      </w:r>
      <w:r>
        <w:t xml:space="preserve">, verifica incrociata 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15-24): scende dal 40,8% al 28,6%. Nei censimenti del</w:t>
      </w:r>
      <w:r>
        <w:t xml:space="preserve"> </w:t>
      </w:r>
      <w:r>
        <w:t xml:space="preserve">1991, 2001 e 2011, però, il percentile passa dal</w:t>
      </w:r>
      <w:r>
        <w:t xml:space="preserve"> </w:t>
      </w:r>
      <w:r>
        <w:rPr>
          <w:b/>
          <w:bCs/>
        </w:rPr>
        <w:t xml:space="preserve">56° al 70° e poi all’83°</w:t>
      </w:r>
      <w:r>
        <w:t xml:space="preserve">, e anche</w:t>
      </w:r>
      <w:r>
        <w:t xml:space="preserve"> </w:t>
      </w:r>
      <w:r>
        <w:t xml:space="preserve">qui un percentile alto è sfavorevole. →</w:t>
      </w:r>
      <w:r>
        <w:t xml:space="preserve"> </w:t>
      </w:r>
      <w:r>
        <w:rPr>
          <w:rStyle w:val="VerbatimChar"/>
        </w:rPr>
        <w:t xml:space="preserve">genere_frattura_istruzione.csv</w:t>
      </w:r>
    </w:p>
    <w:p>
      <w:pPr>
        <w:pStyle w:val="Compact"/>
        <w:numPr>
          <w:ilvl w:val="0"/>
          <w:numId w:val="1005"/>
        </w:numPr>
      </w:pPr>
      <w:r>
        <w:t xml:space="preserve">Occupazione femminile 15+: sale dal 18,1% (2011) al 23,7% (2024), mentre la mediana</w:t>
      </w:r>
      <w:r>
        <w:t xml:space="preserve"> </w:t>
      </w:r>
      <w:r>
        <w:t xml:space="preserve">regionale passa dal 23,6% al 28,3%.</w:t>
      </w:r>
      <w:r>
        <w:t xml:space="preserve"> </w:t>
      </w:r>
      <w:r>
        <w:rPr>
          <w:b/>
          <w:bCs/>
        </w:rPr>
        <w:t xml:space="preserve">Nel 2024 Bagheria arriva dove stava la mediana</w:t>
      </w:r>
      <w:r>
        <w:rPr>
          <w:b/>
          <w:bCs/>
        </w:rPr>
        <w:t xml:space="preserve"> </w:t>
      </w:r>
      <w:r>
        <w:rPr>
          <w:b/>
          <w:bCs/>
        </w:rPr>
        <w:t xml:space="preserve">siciliana nel 2011</w:t>
      </w:r>
      <w:r>
        <w:t xml:space="preserve"> </w:t>
      </w:r>
      <w:r>
        <w:t xml:space="preserve">(fig04). Su questo indicatore il confronto fra le due rilevazioni</w:t>
      </w:r>
      <w:r>
        <w:t xml:space="preserve"> </w:t>
      </w:r>
      <w:r>
        <w:t xml:space="preserve">regge: nel 2018 il censimento permanente dà a Bagheria il 18,8%, a meno di un punto dal</w:t>
      </w:r>
    </w:p>
    <w:p>
      <w:pPr>
        <w:pStyle w:val="Compact"/>
        <w:numPr>
          <w:ilvl w:val="1"/>
          <w:numId w:val="1006"/>
        </w:numPr>
      </w:pPr>
      <w:r>
        <w:t xml:space="preserve">Lo scarto resta entro un punto anche per Palermo, Sicilia e Italia (sezione «Il</w:t>
      </w:r>
      <w:r>
        <w:t xml:space="preserve"> </w:t>
      </w:r>
      <w:r>
        <w:t xml:space="preserve">ponte fra i due censimenti» di</w:t>
      </w:r>
      <w:r>
        <w:t xml:space="preserve"> </w:t>
      </w:r>
      <w:r>
        <w:rPr>
          <w:rStyle w:val="VerbatimChar"/>
        </w:rPr>
        <w:t xml:space="preserve">notebooks/genere.ipynb</w:t>
      </w:r>
      <w:r>
        <w:t xml:space="preserve">).</w:t>
      </w:r>
    </w:p>
    <w:p>
      <w:pPr>
        <w:pStyle w:val="Compact"/>
        <w:numPr>
          <w:ilvl w:val="0"/>
          <w:numId w:val="1005"/>
        </w:numPr>
      </w:pPr>
      <w:r>
        <w:t xml:space="preserve">Graduatoria dell’occupazione femminile: quella dei 390 comuni del 2011 predice quella del</w:t>
      </w:r>
      <w:r>
        <w:t xml:space="preserve"> </w:t>
      </w:r>
      <w:r>
        <w:t xml:space="preserve">2024 con rho di Spearman</w:t>
      </w:r>
      <w:r>
        <w:t xml:space="preserve"> </w:t>
      </w:r>
      <w:r>
        <w:rPr>
          <w:b/>
          <w:bCs/>
        </w:rPr>
        <w:t xml:space="preserve">0,848</w:t>
      </w:r>
      <w:r>
        <w:t xml:space="preserve">, e il 74% del quintile più basso del 2011 è ancora</w:t>
      </w:r>
      <w:r>
        <w:t xml:space="preserve"> </w:t>
      </w:r>
      <w:r>
        <w:t xml:space="preserve">lì, Bagheria compresa. Il posizionamento del 2011 non era una fotografia scaduta, ma una</w:t>
      </w:r>
      <w:r>
        <w:t xml:space="preserve"> </w:t>
      </w:r>
      <w:r>
        <w:t xml:space="preserve">previsione verificata. →</w:t>
      </w:r>
      <w:r>
        <w:t xml:space="preserve"> </w:t>
      </w:r>
      <w:r>
        <w:rPr>
          <w:rStyle w:val="VerbatimChar"/>
        </w:rPr>
        <w:t xml:space="preserve">genere_mappa_2011_2024.csv</w:t>
      </w:r>
      <w:r>
        <w:t xml:space="preserve">, sezione «I claim reggono al</w:t>
      </w:r>
      <w:r>
        <w:t xml:space="preserve"> </w:t>
      </w:r>
      <w:r>
        <w:t xml:space="preserve">2024?» di</w:t>
      </w:r>
      <w:r>
        <w:t xml:space="preserve"> </w:t>
      </w:r>
      <w:r>
        <w:rPr>
          <w:rStyle w:val="VerbatimChar"/>
        </w:rPr>
        <w:t xml:space="preserve">notebooks/genere.ipynb</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8,1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risultato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Su questo indicatore il confronto fra livelli regge: nel 2018 il permanente dà valori entro un punto da quelli del 2011 su Bagheria, Palermo, Sicilia e Italia (notebooks/genere.ipynb, «Il ponte fra i due censimenti»). Per prudenza la persistenza della graduatoria, in fig04b, usa comunque i percentili.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Compact"/>
        <w:numPr>
          <w:ilvl w:val="0"/>
          <w:numId w:val="1007"/>
        </w:numPr>
      </w:pPr>
      <w:r>
        <w:t xml:space="preserve">Datazione: due domini indipendenti convergono. Sia il muro sull’occupazione femminile</w:t>
      </w:r>
      <w:r>
        <w:t xml:space="preserve"> </w:t>
      </w:r>
      <w:r>
        <w:t xml:space="preserve">sia la frattura sull’uscita precoce si aprono</w:t>
      </w:r>
      <w:r>
        <w:t xml:space="preserve"> </w:t>
      </w:r>
      <w:r>
        <w:rPr>
          <w:b/>
          <w:bCs/>
        </w:rPr>
        <w:t xml:space="preserve">nel decennio 2001-2011</w:t>
      </w:r>
      <w:r>
        <w:t xml:space="preserve"> </w:t>
      </w:r>
      <w:r>
        <w:t xml:space="preserve">e non si</w:t>
      </w:r>
      <w:r>
        <w:t xml:space="preserve"> </w:t>
      </w:r>
      <w:r>
        <w:t xml:space="preserve">richiudono (fig10). →</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FirstParagraph"/>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bando, il benchmarking usa i</w:t>
      </w:r>
      <w:r>
        <w:t xml:space="preserve"> </w:t>
      </w:r>
      <w:r>
        <w:rPr>
          <w:b/>
          <w:bCs/>
        </w:rPr>
        <w:t xml:space="preserve">390 comuni siciliani</w:t>
      </w:r>
      <w:r>
        <w:t xml:space="preserve"> </w:t>
      </w:r>
      <w:r>
        <w:t xml:space="preserve">e due</w:t>
      </w:r>
      <w:r>
        <w:t xml:space="preserve"> </w:t>
      </w:r>
      <w:r>
        <w:t xml:space="preserve">gruppi di comuni pari, costruiti per rispondere a domande diverse. Le</w:t>
      </w:r>
      <w:r>
        <w:t xml:space="preserve"> </w:t>
      </w:r>
      <w:r>
        <w:rPr>
          <w:b/>
          <w:bCs/>
        </w:rPr>
        <w:t xml:space="preserve">10 gemelle</w:t>
      </w:r>
      <w:r>
        <w:rPr>
          <w:b/>
          <w:bCs/>
        </w:rPr>
        <w:t xml:space="preserve"> </w:t>
      </w:r>
      <w:r>
        <w:rPr>
          <w:b/>
          <w:bCs/>
        </w:rPr>
        <w:t xml:space="preserve">strutturali</w:t>
      </w:r>
      <w:r>
        <w:t xml:space="preserve"> </w:t>
      </w:r>
      <w:r>
        <w:t xml:space="preserve">vengono da un matching su dimensione, densità, età, stranieri, abitazioni e</w:t>
      </w:r>
      <w:r>
        <w:t xml:space="preserve"> </w:t>
      </w:r>
      <w:r>
        <w:t xml:space="preserve">distanza da Palermo, mai su esiti. I</w:t>
      </w:r>
      <w:r>
        <w:t xml:space="preserve"> </w:t>
      </w:r>
      <w:r>
        <w:rPr>
          <w:b/>
          <w:bCs/>
        </w:rPr>
        <w:t xml:space="preserve">10 pari a pari istruzione</w:t>
      </w:r>
      <w:r>
        <w:t xml:space="preserve"> </w:t>
      </w:r>
      <w:r>
        <w:t xml:space="preserve">vengono dal thread</w:t>
      </w:r>
      <w:r>
        <w:t xml:space="preserve"> </w:t>
      </w:r>
      <w:r>
        <w:t xml:space="preserve">educazione. I due gruppi si sovrappongono su un solo comune (Misilmeri). La figura di</w:t>
      </w:r>
      <w:r>
        <w:t xml:space="preserve"> </w:t>
      </w:r>
      <w:r>
        <w:t xml:space="preserve">posizionamento (fig08) li mostra affiancati, e da qui viene il criterio di lettura:</w:t>
      </w:r>
      <w:r>
        <w:t xml:space="preserve"> </w:t>
      </w:r>
      <w:r>
        <w:rPr>
          <w:b/>
          <w:bCs/>
        </w:rPr>
        <w:t xml:space="preserve">ciò</w:t>
      </w:r>
      <w:r>
        <w:rPr>
          <w:b/>
          <w:bCs/>
        </w:rPr>
        <w:t xml:space="preserve"> </w:t>
      </w:r>
      <w:r>
        <w:rPr>
          <w:b/>
          <w:bCs/>
        </w:rPr>
        <w:t xml:space="preserve">che si può affermare senza scegliere una lente è ciò che sopravvive a entrambe</w:t>
      </w:r>
      <w:r>
        <w:t xml:space="preserve">. Su 8</w:t>
      </w:r>
      <w:r>
        <w:t xml:space="preserve"> </w:t>
      </w:r>
      <w:r>
        <w:t xml:space="preserve">indicatori, 6 danno lo stesso giudizio.</w:t>
      </w:r>
    </w:p>
    <w:p>
      <w:pPr>
        <w:pStyle w:val="BodyText"/>
      </w:pPr>
      <w:r>
        <w:t xml:space="preserve">Il confronto usa gli indicatori 8milaCensus del 2011, e il numero fra parentesi indica</w:t>
      </w:r>
      <w:r>
        <w:t xml:space="preserve"> </w:t>
      </w:r>
      <w:r>
        <w:t xml:space="preserve">quanti dei 10 comuni pari hanno un valore più basso di Bagheria. Tre tratti reggono in</w:t>
      </w:r>
      <w:r>
        <w:t xml:space="preserve"> </w:t>
      </w:r>
      <w:r>
        <w:t xml:space="preserve">entrambe le letture, e per questo entrano nella proposta. Sono la disoccupazione femminile</w:t>
      </w:r>
      <w:r>
        <w:t xml:space="preserve"> </w:t>
      </w:r>
      <w:r>
        <w:t xml:space="preserve">estrema (8 su 10 sotto Bagheria, in entrambi i gruppi), l’occupazione 15-29 bassa (2 su</w:t>
      </w:r>
      <w:r>
        <w:t xml:space="preserve"> </w:t>
      </w:r>
      <w:r>
        <w:t xml:space="preserve">10) e la quota minima di giovani che vivono da soli (0 su 10).</w:t>
      </w:r>
    </w:p>
    <w:p>
      <w:pPr>
        <w:pStyle w:val="BodyText"/>
      </w:pPr>
      <w:r>
        <w:t xml:space="preserve">La divergenza più informativa riguarda l’occupazione femminile 15+. Fra le gemelle</w:t>
      </w:r>
      <w:r>
        <w:t xml:space="preserve"> </w:t>
      </w:r>
      <w:r>
        <w:t xml:space="preserve">strutturali Bagheria è nella norma (3 su 10 sotto); fra i comuni ugualmente scolarizzati è</w:t>
      </w:r>
      <w:r>
        <w:t xml:space="preserve"> </w:t>
      </w:r>
      <w:r>
        <w:rPr>
          <w:b/>
          <w:bCs/>
        </w:rPr>
        <w:t xml:space="preserve">penultima</w:t>
      </w:r>
      <w:r>
        <w:t xml:space="preserve"> </w:t>
      </w:r>
      <w:r>
        <w:t xml:space="preserve">(1 su 10).</w:t>
      </w:r>
      <w:r>
        <w:t xml:space="preserve"> </w:t>
      </w:r>
      <w:r>
        <w:rPr>
          <w:b/>
          <w:bCs/>
        </w:rPr>
        <w:t xml:space="preserve">A pari istruzione, il lavoro femminile non arriva: non è un</w:t>
      </w:r>
      <w:r>
        <w:rPr>
          <w:b/>
          <w:bCs/>
        </w:rPr>
        <w:t xml:space="preserve"> </w:t>
      </w:r>
      <w:r>
        <w:rPr>
          <w:b/>
          <w:bCs/>
        </w:rPr>
        <w:t xml:space="preserve">tratto di fascia territoriale.</w:t>
      </w:r>
    </w:p>
    <w:p>
      <w:pPr>
        <w:pStyle w:val="BodyText"/>
      </w:pPr>
      <w:r>
        <w:t xml:space="preserve">I modelli comunali del thread educazione confermano il segno: lo scarto fra occupazione</w:t>
      </w:r>
      <w:r>
        <w:t xml:space="preserve"> </w:t>
      </w:r>
      <w:r>
        <w:t xml:space="preserve">giovanile osservata e prevista è di</w:t>
      </w:r>
      <w:r>
        <w:t xml:space="preserve"> </w:t>
      </w:r>
      <w:r>
        <w:rPr>
          <w:b/>
          <w:bCs/>
        </w:rPr>
        <w:t xml:space="preserve">−5,9 punti</w:t>
      </w:r>
      <w:r>
        <w:t xml:space="preserve"> </w:t>
      </w:r>
      <w:r>
        <w:t xml:space="preserve">(intervallo bootstrap da −7,7 a −4,3).</w:t>
      </w:r>
      <w:r>
        <w:t xml:space="preserve"> </w:t>
      </w:r>
      <w:r>
        <w:t xml:space="preserve">Il loro potere esplicativo, però, è quasi nullo (R² in validazione incrociata 0,05). Il</w:t>
      </w:r>
      <w:r>
        <w:t xml:space="preserve"> </w:t>
      </w:r>
      <w:r>
        <w:t xml:space="preserve">risultato si cita quindi come conferma di 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3"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 M − F</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Almeno diploma (15-24)</w:t>
            </w:r>
          </w:p>
        </w:tc>
        <w:tc>
          <w:tcPr/>
          <w:p>
            <w:pPr>
              <w:pStyle w:val="Compact"/>
              <w:jc w:val="right"/>
            </w:pPr>
            <w:r>
              <w:t xml:space="preserve">46,2%</w:t>
            </w:r>
          </w:p>
        </w:tc>
        <w:tc>
          <w:tcPr/>
          <w:p>
            <w:pPr>
              <w:pStyle w:val="Compact"/>
              <w:jc w:val="right"/>
            </w:pPr>
            <w:r>
              <w:t xml:space="preserve">51,0%</w:t>
            </w:r>
          </w:p>
        </w:tc>
        <w:tc>
          <w:tcPr/>
          <w:p>
            <w:pPr>
              <w:pStyle w:val="Compact"/>
              <w:jc w:val="right"/>
            </w:pPr>
            <w:r>
              <w:t xml:space="preserve">−4,8 pp (F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r>
        <w:t xml:space="preserve">,</w:t>
      </w:r>
      <w:r>
        <w:t xml:space="preserve"> </w:t>
      </w:r>
      <w:r>
        <w:rPr>
          <w:rStyle w:val="VerbatimChar"/>
        </w:rPr>
        <w:t xml:space="preserve">genere_forbice_quadrante.csv</w:t>
      </w:r>
    </w:p>
    <w:p>
      <w:pPr>
        <w:pStyle w:val="BodyText"/>
      </w:pPr>
      <w:r>
        <w:drawing>
          <wp:inline>
            <wp:extent cx="6108700" cy="459210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Il diploma compare su due fasce perché la tavola istruzione del censimento permanente</w:t>
      </w:r>
      <w:r>
        <w:t xml:space="preserve"> </w:t>
      </w:r>
      <w:r>
        <w:t xml:space="preserve">comincia a 9 anni. Sulla fascia 9-24 il vantaggio femminile di Bagheria (4,2 punti) è il</w:t>
      </w:r>
      <w:r>
        <w:t xml:space="preserve"> </w:t>
      </w:r>
      <w:r>
        <w:t xml:space="preserve">più ampio del panel: 1,8 punti a Palermo, 2,7 in Sicilia, 2,2 in Italia. Quella fascia,</w:t>
      </w:r>
      <w:r>
        <w:t xml:space="preserve"> </w:t>
      </w:r>
      <w:r>
        <w:t xml:space="preserve">però, comprende età in cui il diploma non può ancora esserci, e il suo valore risente della</w:t>
      </w:r>
      <w:r>
        <w:t xml:space="preserve"> </w:t>
      </w:r>
      <w:r>
        <w:t xml:space="preserve">composizione per età. Sulla</w:t>
      </w:r>
      <w:r>
        <w:t xml:space="preserve"> </w:t>
      </w:r>
      <w:r>
        <w:rPr>
          <w:b/>
          <w:bCs/>
        </w:rPr>
        <w:t xml:space="preserve">stessa fascia 15-24 dell’occupazione</w:t>
      </w:r>
      <w:r>
        <w:t xml:space="preserve"> </w:t>
      </w:r>
      <w:r>
        <w:t xml:space="preserve">il vantaggio è +4,8</w:t>
      </w:r>
      <w:r>
        <w:t xml:space="preserve"> </w:t>
      </w:r>
      <w:r>
        <w:t xml:space="preserve">punti, pari alla Sicilia (+4,7). Il gap di occupazione è di 8,3 punti [IC 95% 6,6-10,0].</w:t>
      </w:r>
      <w:r>
        <w:t xml:space="preserve"> </w:t>
      </w:r>
      <w:r>
        <w:t xml:space="preserve">→</w:t>
      </w:r>
      <w:r>
        <w:t xml:space="preserve"> </w:t>
      </w:r>
      <w:r>
        <w:rPr>
          <w:rStyle w:val="VerbatimChar"/>
        </w:rPr>
        <w:t xml:space="preserve">genere_gap_occupazione_ci.csv</w:t>
      </w:r>
    </w:p>
    <w:p>
      <w:pPr>
        <w:pStyle w:val="BodyText"/>
      </w:pPr>
      <w:r>
        <w:t xml:space="preserve">La scala su cui leggere il gap è stata scelta con un modello, non a occhio (fig01).</w:t>
      </w:r>
      <w:r>
        <w:t xml:space="preserve"> </w:t>
      </w:r>
      <w:r>
        <w:rPr>
          <w:b/>
          <w:bCs/>
        </w:rPr>
        <w:t xml:space="preserve">In punti</w:t>
      </w:r>
      <w:r>
        <w:t xml:space="preserve">, il gap di Bagheria non è un’anomalia locale: sul pooled 2022-24 è 1,1 punti</w:t>
      </w:r>
      <w:r>
        <w:t xml:space="preserve"> </w:t>
      </w:r>
      <w:r>
        <w:t xml:space="preserve">più ampio di quello di Palermo (p=0,03) e 1,8-1,9 punti più stretto di quelli di Sicilia e</w:t>
      </w:r>
      <w:r>
        <w:t xml:space="preserve"> </w:t>
      </w:r>
      <w:r>
        <w:t xml:space="preserve">Italia.</w:t>
      </w:r>
      <w:r>
        <w:t xml:space="preserve"> </w:t>
      </w:r>
      <w:r>
        <w:rPr>
          <w:b/>
          <w:bCs/>
        </w:rPr>
        <w:t xml:space="preserve">In rapporto</w:t>
      </w:r>
      <w:r>
        <w:t xml:space="preserve"> </w:t>
      </w:r>
      <w:r>
        <w:t xml:space="preserve">Bagheria è la peggiore del panel (M/F = 2,01 contro 1,56</w:t>
      </w:r>
      <w:r>
        <w:t xml:space="preserve"> </w:t>
      </w:r>
      <w:r>
        <w:t xml:space="preserve">nazionale), ma il rapporto oscilla da un’annata all’altra.</w:t>
      </w:r>
    </w:p>
    <w:p>
      <w:pPr>
        <w:pStyle w:val="BodyText"/>
      </w:pP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w:t>
      </w:r>
      <w:r>
        <w:t xml:space="preserve">La</w:t>
      </w:r>
      <w:r>
        <w:t xml:space="preserve"> </w:t>
      </w:r>
      <w:r>
        <w:t xml:space="preserve">differenza è testata: il tasso è sotto Palermo di 1,2 punti, sotto la Sicilia di 1,9 e</w:t>
      </w:r>
      <w:r>
        <w:t xml:space="preserve"> </w:t>
      </w:r>
      <w:r>
        <w:t xml:space="preserve">sotto l’Italia di 8,9 (p ≤ 0,0001, pooled 2022-24). Il gap in punti tende ad allargarsi,</w:t>
      </w:r>
      <w:r>
        <w:t xml:space="preserve"> </w:t>
      </w:r>
      <w:r>
        <w:t xml:space="preserve">con una stima di +0,21 punti l’anno sul 2018-2024. Su sei annate, però, ciascuna con il</w:t>
      </w:r>
      <w:r>
        <w:t xml:space="preserve"> </w:t>
      </w:r>
      <w:r>
        <w:t xml:space="preserve">proprio errore campionario, la tendenza non è acquisita: è una direzione, non un risultato.</w:t>
      </w:r>
      <w:r>
        <w:t xml:space="preserve"> </w:t>
      </w:r>
      <w:r>
        <w:t xml:space="preserve">→ sezioni «Punti percentuali o rapporto?», «Modello lineare di probabilità» e «Trend</w:t>
      </w:r>
      <w:r>
        <w:t xml:space="preserve"> </w:t>
      </w:r>
      <w:r>
        <w:t xml:space="preserve">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Il primato vale nel panel e fra i comuni della stessa taglia, non in tutta la Sicilia. Fra</w:t>
      </w:r>
      <w:r>
        <w:t xml:space="preserve"> </w:t>
      </w:r>
      <w:r>
        <w:t xml:space="preserve">i 34 comuni siciliani con un numero di ragazze 15-24 fra la metà e il doppio di quello di</w:t>
      </w:r>
      <w:r>
        <w:t xml:space="preserve"> </w:t>
      </w:r>
      <w:r>
        <w:t xml:space="preserve">Bagheria, il comune è</w:t>
      </w:r>
      <w:r>
        <w:t xml:space="preserve"> </w:t>
      </w:r>
      <w:r>
        <w:rPr>
          <w:b/>
          <w:bCs/>
        </w:rPr>
        <w:t xml:space="preserve">secondo dal basso</w:t>
      </w:r>
      <w:r>
        <w:t xml:space="preserve"> </w:t>
      </w:r>
      <w:r>
        <w:t xml:space="preserve">(mediana 10,6%), fra tutti i 390 comuni è 112°</w:t>
      </w:r>
      <w:r>
        <w:t xml:space="preserve"> </w:t>
      </w:r>
      <w:r>
        <w:t xml:space="preserve">dal basso (mediana 9,7%). Sui 390 la posizione è meno estrema perché molti comuni piccoli</w:t>
      </w:r>
      <w:r>
        <w:t xml:space="preserve"> </w:t>
      </w:r>
      <w:r>
        <w:t xml:space="preserve">stanno sotto.</w:t>
      </w:r>
      <w:r>
        <w:t xml:space="preserve"> </w:t>
      </w:r>
      <w:r>
        <w:t xml:space="preserve">→</w:t>
      </w:r>
      <w:r>
        <w:t xml:space="preserve"> </w:t>
      </w:r>
      <w:r>
        <w:rPr>
          <w:rStyle w:val="VerbatimChar"/>
        </w:rPr>
        <w:t xml:space="preserve">genere_rango_390_15_24.csv</w:t>
      </w:r>
      <w:r>
        <w:t xml:space="preserve">; sezione «Bagheria è anomala fra i comuni siciliani?» di</w:t>
      </w:r>
      <w:r>
        <w:t xml:space="preserve"> </w:t>
      </w:r>
      <w:r>
        <w:rPr>
          <w:rStyle w:val="VerbatimChar"/>
        </w:rPr>
        <w:t xml:space="preserve">notebooks/genere.ipynb</w:t>
      </w:r>
    </w:p>
    <w:p>
      <w:pPr>
        <w:pStyle w:val="BodyText"/>
      </w:pPr>
      <w:r>
        <w:t xml:space="preserve">Anche il vantaggio femminile nell’istruzione va letto con cura. Le ragazze di Bagheria sono</w:t>
      </w:r>
      <w:r>
        <w:t xml:space="preserve"> </w:t>
      </w:r>
      <w:r>
        <w:t xml:space="preserve">più istruite dei coetanei su ogni fascia, ma non più delle ragazze siciliane: sulla fascia</w:t>
      </w:r>
      <w:r>
        <w:t xml:space="preserve"> </w:t>
      </w:r>
      <w:r>
        <w:t xml:space="preserve">18-24 Sicilia e Italia hanno un vantaggio femminile più ampio. Su ogni fascia regge invece</w:t>
      </w:r>
      <w:r>
        <w:t xml:space="preserve"> </w:t>
      </w:r>
      <w:r>
        <w:t xml:space="preserve">la coppia</w:t>
      </w:r>
      <w:r>
        <w:t xml:space="preserve"> </w:t>
      </w:r>
      <w:r>
        <w:rPr>
          <w:b/>
          <w:bCs/>
        </w:rPr>
        <w:t xml:space="preserve">distacco dal vicinato e mancata conversione</w:t>
      </w:r>
      <w:r>
        <w:t xml:space="preserve">. Sui 18-24 il vantaggio femminile</w:t>
      </w:r>
      <w:r>
        <w:t xml:space="preserve"> </w:t>
      </w:r>
      <w:r>
        <w:t xml:space="preserve">è di +5,7 punti a Bagheria contro +2,5 nei cinque comuni più vicini; il tasso di</w:t>
      </w:r>
      <w:r>
        <w:t xml:space="preserve"> </w:t>
      </w:r>
      <w:r>
        <w:t xml:space="preserve">occupazione femminile, invece, è il più basso del panel.</w:t>
      </w:r>
    </w:p>
    <w:p>
      <w:pPr>
        <w:pStyle w:val="BodyText"/>
      </w:pPr>
      <w:r>
        <w:t xml:space="preserve">Su 1.000 ragazze 15-24 di Bagheria, 510 hanno almeno il diploma e 82 lavorano; fra i</w:t>
      </w:r>
      <w:r>
        <w:t xml:space="preserve"> </w:t>
      </w:r>
      <w:r>
        <w:t xml:space="preserve">coetanei, 462 e 165 (fig11). Le due barre della figura hanno la stessa base ma</w:t>
      </w:r>
      <w:r>
        <w:t xml:space="preserve"> </w:t>
      </w:r>
      <w:r>
        <w:rPr>
          <w:b/>
          <w:bCs/>
        </w:rPr>
        <w:t xml:space="preserve">non sono</w:t>
      </w:r>
      <w:r>
        <w:rPr>
          <w:b/>
          <w:bCs/>
        </w:rPr>
        <w:t xml:space="preserve"> </w:t>
      </w:r>
      <w:r>
        <w:rPr>
          <w:b/>
          <w:bCs/>
        </w:rPr>
        <w:t xml:space="preserve">un funnel</w:t>
      </w:r>
      <w:r>
        <w:t xml:space="preserve">: non dicono quante diplomate lavorano, perché l’incrocio individuale non è</w:t>
      </w:r>
      <w:r>
        <w:t xml:space="preserve"> </w:t>
      </w:r>
      <w:r>
        <w:t xml:space="preserve">pubblicato. I margini fissano solo un tetto (sezione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p>
      <w:pPr>
        <w:pStyle w:val="BodyText"/>
      </w:pPr>
      <w:r>
        <w:t xml:space="preserve">A 15-24 anni, però, la forbice si osserverebbe anche se il vantaggio si convertisse più</w:t>
      </w:r>
      <w:r>
        <w:t xml:space="preserve"> </w:t>
      </w:r>
      <w:r>
        <w:t xml:space="preserve">tardi. Le ragazze studiano più a lungo (studentesse il 65,1% contro il 56,4% dei</w:t>
      </w:r>
      <w:r>
        <w:t xml:space="preserve"> </w:t>
      </w:r>
      <w:r>
        <w:t xml:space="preserve">coetanei), quindi a quell’età lavorano meno per costruzione. La prova della mancata</w:t>
      </w:r>
      <w:r>
        <w:t xml:space="preserve"> </w:t>
      </w:r>
      <w:r>
        <w:t xml:space="preserve">conversione va cercata dopo il percorso formativo (sezione 3.1-bis).</w:t>
      </w:r>
      <w:r>
        <w:t xml:space="preserve"> </w:t>
      </w:r>
      <w:r>
        <w:t xml:space="preserve">→</w:t>
      </w:r>
      <w:r>
        <w:t xml:space="preserve"> </w:t>
      </w:r>
      <w:r>
        <w:rPr>
          <w:rStyle w:val="VerbatimChar"/>
        </w:rPr>
        <w:t xml:space="preserve">genere_composizione_stato.csv</w:t>
      </w:r>
    </w:p>
    <w:bookmarkEnd w:id="50"/>
    <w:bookmarkStart w:id="51" w:name="X5d60b0d35766642cafeec3cf48dfc0fe94e3dd4"/>
    <w:p>
      <w:pPr>
        <w:pStyle w:val="Heading2"/>
      </w:pPr>
      <w:r>
        <w:t xml:space="preserve">3.1-bis Dopo i 25 anni il divario non si chiude, e diventa locale</w:t>
      </w:r>
    </w:p>
    <w:p>
      <w:pPr>
        <w:pStyle w:val="FirstParagraph"/>
      </w:pPr>
      <w:r>
        <w:t xml:space="preserve">Sul 15-24 due ipotesi sono compatibili con gli stessi dati. La prima è il</w:t>
      </w:r>
      <w:r>
        <w:t xml:space="preserve"> </w:t>
      </w:r>
      <w:r>
        <w:rPr>
          <w:b/>
          <w:bCs/>
        </w:rPr>
        <w:t xml:space="preserve">ritardo</w:t>
      </w:r>
      <w:r>
        <w:t xml:space="preserve">: le</w:t>
      </w:r>
      <w:r>
        <w:t xml:space="preserve"> </w:t>
      </w:r>
      <w:r>
        <w:t xml:space="preserve">ragazze studiano più a lungo e recuperano dopo. La seconda è la</w:t>
      </w:r>
      <w:r>
        <w:t xml:space="preserve"> </w:t>
      </w:r>
      <w:r>
        <w:rPr>
          <w:b/>
          <w:bCs/>
        </w:rPr>
        <w:t xml:space="preserve">mancata conversione</w:t>
      </w:r>
      <w:r>
        <w:t xml:space="preserve">:</w:t>
      </w:r>
      <w:r>
        <w:t xml:space="preserve"> </w:t>
      </w:r>
      <w:r>
        <w:t xml:space="preserve">finito lo studio, il lavoro non arriva. Per distinguerle serve guardare oltre la fascia</w:t>
      </w:r>
      <w:r>
        <w:t xml:space="preserve"> </w:t>
      </w:r>
      <w:r>
        <w:t xml:space="preserve">target. La tavola lavoro comunale ha una sola classe adulta sotto i 50 anni, 25-49: qui non</w:t>
      </w:r>
      <w:r>
        <w:t xml:space="preserve"> </w:t>
      </w:r>
      <w:r>
        <w:t xml:space="preserve">fa da proxy dei giovani, ma da test di che cosa succede dopo.</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Scarto di Bagheria sul tasso di occupazione, 2024 (punti)</w:t>
            </w:r>
          </w:p>
        </w:tc>
        <w:tc>
          <w:tcPr/>
          <w:p>
            <w:pPr>
              <w:pStyle w:val="Compact"/>
              <w:jc w:val="right"/>
            </w:pPr>
            <w:r>
              <w:t xml:space="preserve">F vs Palermo</w:t>
            </w:r>
          </w:p>
        </w:tc>
        <w:tc>
          <w:tcPr/>
          <w:p>
            <w:pPr>
              <w:pStyle w:val="Compact"/>
              <w:jc w:val="right"/>
            </w:pPr>
            <w:r>
              <w:t xml:space="preserve">M vs Palermo</w:t>
            </w:r>
          </w:p>
        </w:tc>
        <w:tc>
          <w:tcPr/>
          <w:p>
            <w:pPr>
              <w:pStyle w:val="Compact"/>
              <w:jc w:val="right"/>
            </w:pPr>
            <w:r>
              <w:t xml:space="preserve">F vs Sicilia</w:t>
            </w:r>
          </w:p>
        </w:tc>
        <w:tc>
          <w:tcPr/>
          <w:p>
            <w:pPr>
              <w:pStyle w:val="Compact"/>
              <w:jc w:val="right"/>
            </w:pPr>
            <w:r>
              <w:t xml:space="preserve">M vs Sicilia</w:t>
            </w:r>
          </w:p>
        </w:tc>
      </w:tr>
      <w:tr>
        <w:tc>
          <w:tcPr/>
          <w:p>
            <w:pPr>
              <w:pStyle w:val="Compact"/>
            </w:pPr>
            <w:r>
              <w:t xml:space="preserve">15-24</w:t>
            </w:r>
          </w:p>
        </w:tc>
        <w:tc>
          <w:tcPr/>
          <w:p>
            <w:pPr>
              <w:pStyle w:val="Compact"/>
              <w:jc w:val="right"/>
            </w:pPr>
            <w:r>
              <w:t xml:space="preserve">−1,4</w:t>
            </w:r>
          </w:p>
        </w:tc>
        <w:tc>
          <w:tcPr/>
          <w:p>
            <w:pPr>
              <w:pStyle w:val="Compact"/>
              <w:jc w:val="right"/>
            </w:pPr>
            <w:r>
              <w:t xml:space="preserve">−0,1</w:t>
            </w:r>
          </w:p>
        </w:tc>
        <w:tc>
          <w:tcPr/>
          <w:p>
            <w:pPr>
              <w:pStyle w:val="Compact"/>
              <w:jc w:val="right"/>
            </w:pPr>
            <w:r>
              <w:t xml:space="preserve">−2,2</w:t>
            </w:r>
          </w:p>
        </w:tc>
        <w:tc>
          <w:tcPr/>
          <w:p>
            <w:pPr>
              <w:pStyle w:val="Compact"/>
              <w:jc w:val="right"/>
            </w:pPr>
            <w:r>
              <w:t xml:space="preserve">−3,8</w:t>
            </w:r>
          </w:p>
        </w:tc>
      </w:tr>
      <w:tr>
        <w:tc>
          <w:tcPr/>
          <w:p>
            <w:pPr>
              <w:pStyle w:val="Compact"/>
            </w:pPr>
            <w:r>
              <w:t xml:space="preserve">25-49</w:t>
            </w:r>
          </w:p>
        </w:tc>
        <w:tc>
          <w:tcPr/>
          <w:p>
            <w:pPr>
              <w:pStyle w:val="Compact"/>
              <w:jc w:val="right"/>
            </w:pPr>
            <w:r>
              <w:rPr>
                <w:b/>
                <w:bCs/>
              </w:rPr>
              <w:t xml:space="preserve">−8,4</w:t>
            </w:r>
          </w:p>
        </w:tc>
        <w:tc>
          <w:tcPr/>
          <w:p>
            <w:pPr>
              <w:pStyle w:val="Compact"/>
              <w:jc w:val="right"/>
            </w:pPr>
            <w:r>
              <w:t xml:space="preserve">−1,3</w:t>
            </w:r>
          </w:p>
        </w:tc>
        <w:tc>
          <w:tcPr/>
          <w:p>
            <w:pPr>
              <w:pStyle w:val="Compact"/>
              <w:jc w:val="right"/>
            </w:pPr>
            <w:r>
              <w:rPr>
                <w:b/>
                <w:bCs/>
              </w:rPr>
              <w:t xml:space="preserve">−8,0</w:t>
            </w:r>
          </w:p>
        </w:tc>
        <w:tc>
          <w:tcPr/>
          <w:p>
            <w:pPr>
              <w:pStyle w:val="Compact"/>
              <w:jc w:val="right"/>
            </w:pPr>
            <w:r>
              <w:t xml:space="preserve">−3,1</w:t>
            </w:r>
          </w:p>
        </w:tc>
      </w:tr>
    </w:tbl>
    <w:p>
      <w:pPr>
        <w:pStyle w:val="BodyText"/>
      </w:pPr>
      <w:r>
        <w:t xml:space="preserve">Fino ai 24 anni lo scarto locale non è di genere: rispetto alla Sicilia, anzi, i ragazzi</w:t>
      </w:r>
      <w:r>
        <w:t xml:space="preserve"> </w:t>
      </w:r>
      <w:r>
        <w:t xml:space="preserve">stanno più indietro delle ragazze. Fra i 25 e i 49 anni lo diventa. Le donne di Bagheria</w:t>
      </w:r>
      <w:r>
        <w:t xml:space="preserve"> </w:t>
      </w:r>
      <w:r>
        <w:t xml:space="preserve">lavorano al 39,6% contro il 48,0% di Palermo e il 47,6% della Sicilia, gli uomini al 67,7%.</w:t>
      </w:r>
      <w:r>
        <w:t xml:space="preserve"> </w:t>
      </w:r>
      <w:r>
        <w:t xml:space="preserve">Lo scarto femminile sta fra −8,0 e −10,2 punti in ogni anno dal 2018 e non è un effetto</w:t>
      </w:r>
      <w:r>
        <w:t xml:space="preserve"> </w:t>
      </w:r>
      <w:r>
        <w:t xml:space="preserve">della composizione per età. Al tasso femminile di Palermo le occupate 25-49 sarebbero</w:t>
      </w:r>
      <w:r>
        <w:t xml:space="preserve"> </w:t>
      </w:r>
      <w:r>
        <w:rPr>
          <w:b/>
          <w:bCs/>
        </w:rPr>
        <w:t xml:space="preserve">695</w:t>
      </w:r>
      <w:r>
        <w:rPr>
          <w:b/>
          <w:bCs/>
        </w:rPr>
        <w:t xml:space="preserve"> </w:t>
      </w:r>
      <w:r>
        <w:rPr>
          <w:b/>
          <w:bCs/>
        </w:rPr>
        <w:t xml:space="preserve">in più</w:t>
      </w:r>
      <w:r>
        <w:t xml:space="preserve">, contro le 40 in più della fascia 15-24. A Bagheria le casalinghe sono il 42,2%</w:t>
      </w:r>
      <w:r>
        <w:t xml:space="preserve"> </w:t>
      </w:r>
      <w:r>
        <w:t xml:space="preserve">delle donne 25-49 (Palermo 33,8%, Sicilia 33,2%, Italia 18,1%). →</w:t>
      </w:r>
      <w:r>
        <w:t xml:space="preserve"> </w:t>
      </w:r>
      <w:r>
        <w:rPr>
          <w:rStyle w:val="VerbatimChar"/>
        </w:rPr>
        <w:t xml:space="preserve">genere_dopo_25.csv</w:t>
      </w:r>
      <w:r>
        <w:t xml:space="preserve">,</w:t>
      </w:r>
      <w:r>
        <w:t xml:space="preserve"> </w:t>
      </w:r>
      <w:r>
        <w:rPr>
          <w:rStyle w:val="VerbatimChar"/>
        </w:rPr>
        <w:t xml:space="preserve">genere_dopo_25_scarti.csv</w:t>
      </w:r>
      <w:r>
        <w:t xml:space="preserve">, fig13b</w:t>
      </w:r>
    </w:p>
    <w:p>
      <w:pPr>
        <w:pStyle w:val="BodyText"/>
      </w:pPr>
      <w:r>
        <w:rPr>
          <w:b/>
          <w:bCs/>
        </w:rPr>
        <w:t xml:space="preserve">La generazione giovane non ne è risparmiata.</w:t>
      </w:r>
      <w:r>
        <w:t xml:space="preserve"> </w:t>
      </w:r>
      <w:r>
        <w:t xml:space="preserve">La classe 25-49 mescola chi ha appena</w:t>
      </w:r>
      <w:r>
        <w:t xml:space="preserve"> </w:t>
      </w:r>
      <w:r>
        <w:t xml:space="preserve">finito di studiare con le generazioni precedenti, e sul 50-64 lo scarto femminile è ancora</w:t>
      </w:r>
      <w:r>
        <w:t xml:space="preserve"> </w:t>
      </w:r>
      <w:r>
        <w:t xml:space="preserve">più ampio. Lo scarto del 25-49 potrebbe quindi appartenere solo alle donne più anziane, e</w:t>
      </w:r>
      <w:r>
        <w:t xml:space="preserve"> </w:t>
      </w:r>
      <w:r>
        <w:t xml:space="preserve">il ricambio delle coorti permette di verificarlo. Se lo scarto fosse tutto delle donne che</w:t>
      </w:r>
      <w:r>
        <w:t xml:space="preserve"> </w:t>
      </w:r>
      <w:r>
        <w:t xml:space="preserve">nel 2018 avevano 35-49 anni, il ricambio l’avrebbe portato nel 2024 a −6,3 punti da</w:t>
      </w:r>
      <w:r>
        <w:t xml:space="preserve"> </w:t>
      </w:r>
      <w:r>
        <w:t xml:space="preserve">Palermo; è a −8,4 (z −3,3). Le nate dal 1984 in poi portano uno scarto di circa −6 punti,</w:t>
      </w:r>
      <w:r>
        <w:t xml:space="preserve"> </w:t>
      </w:r>
      <w:r>
        <w:t xml:space="preserve">i coetanei maschi −0,4.</w:t>
      </w:r>
      <w:r>
        <w:t xml:space="preserve"> </w:t>
      </w:r>
      <w:r>
        <w:rPr>
          <w:b/>
          <w:bCs/>
        </w:rPr>
        <w:t xml:space="preserve">Cautela.</w:t>
      </w:r>
      <w:r>
        <w:t xml:space="preserve"> </w:t>
      </w:r>
      <w:r>
        <w:t xml:space="preserve">Il test non separa l’età dalla coorte, e lo scarto per</w:t>
      </w:r>
      <w:r>
        <w:t xml:space="preserve"> </w:t>
      </w:r>
      <w:r>
        <w:t xml:space="preserve">generazione viene da un modello a due gradini: si cita come ordine di grandezza.</w:t>
      </w:r>
    </w:p>
    <w:p>
      <w:pPr>
        <w:pStyle w:val="BodyText"/>
      </w:pPr>
      <w:r>
        <w:t xml:space="preserve">A scala regionale, su un’altra fonte, il NEET femminile cambia posizione rispetto a quello</w:t>
      </w:r>
      <w:r>
        <w:t xml:space="preserve"> </w:t>
      </w:r>
      <w:r>
        <w:t xml:space="preserve">maschile fra le due fasce.</w:t>
      </w:r>
      <w:r>
        <w:t xml:space="preserve"> </w:t>
      </w:r>
      <w:r>
        <w:t xml:space="preserve">In Sicilia la rilevazione sulle forze di lavoro lo dà sotto quello maschile a 15-24 anni</w:t>
      </w:r>
      <w:r>
        <w:t xml:space="preserve"> </w:t>
      </w:r>
      <w:r>
        <w:t xml:space="preserve">(17,4% contro 21,5%) e quasi il doppio a 25-34 (52,2% contro 28,9%, ricavato per</w:t>
      </w:r>
      <w:r>
        <w:t xml:space="preserve"> </w:t>
      </w:r>
      <w:r>
        <w:t xml:space="preserve">differenza). →</w:t>
      </w:r>
      <w:r>
        <w:t xml:space="preserve"> </w:t>
      </w:r>
      <w:r>
        <w:rPr>
          <w:rStyle w:val="VerbatimChar"/>
        </w:rPr>
        <w:t xml:space="preserve">genere_dopo_25_generazioni.csv</w:t>
      </w:r>
      <w:r>
        <w:t xml:space="preserve">,</w:t>
      </w:r>
      <w:r>
        <w:t xml:space="preserve"> </w:t>
      </w:r>
      <w:r>
        <w:rPr>
          <w:rStyle w:val="VerbatimChar"/>
        </w:rPr>
        <w:t xml:space="preserve">genere_neet_25_34.csv</w:t>
      </w:r>
      <w:r>
        <w:t xml:space="preserve">; sezioni «Dopo i</w:t>
      </w:r>
      <w:r>
        <w:t xml:space="preserve"> </w:t>
      </w:r>
      <w:r>
        <w:t xml:space="preserve">25 anni» e «La generazione successiva» di</w:t>
      </w:r>
      <w:r>
        <w:t xml:space="preserve"> </w:t>
      </w:r>
      <w:r>
        <w:rPr>
          <w:rStyle w:val="VerbatimChar"/>
        </w:rPr>
        <w:t xml:space="preserve">notebooks/genere.ipynb</w:t>
      </w:r>
    </w:p>
    <w:p>
      <w:pPr>
        <w:pStyle w:val="BodyText"/>
      </w:pPr>
      <w:r>
        <w:t xml:space="preserve">Per la proposta la conseguenza è di perimetro. La parte più grande del problema femminile</w:t>
      </w:r>
      <w:r>
        <w:t xml:space="preserve"> </w:t>
      </w:r>
      <w:r>
        <w:t xml:space="preserve">di Bagheria riguarda donne sopra i 25 anni, oltre la fascia che il censimento comunale</w:t>
      </w:r>
      <w:r>
        <w:t xml:space="preserve"> </w:t>
      </w:r>
      <w:r>
        <w:t xml:space="preserve">permette di seguire (sezione 7).</w:t>
      </w:r>
    </w:p>
    <w:bookmarkEnd w:id="51"/>
    <w:bookmarkStart w:id="55" w:name="X71d93bd3470cbad8fd0c7718d53669c4dabcaf7"/>
    <w:p>
      <w:pPr>
        <w:pStyle w:val="Heading2"/>
      </w:pPr>
      <w:r>
        <w:t xml:space="preserve">3.2 Dentro l’inattività: le casalinghe ventenni, non sposate</w:t>
      </w:r>
    </w:p>
    <w:p>
      <w:pPr>
        <w:pStyle w:val="FirstParagraph"/>
      </w:pPr>
      <w:r>
        <w:t xml:space="preserve">Nelle stime del censimento risulta</w:t>
      </w:r>
      <w:r>
        <w:t xml:space="preserve"> </w:t>
      </w:r>
      <w:r>
        <w:rPr>
          <w:b/>
          <w:bCs/>
        </w:rPr>
        <w:t xml:space="preserve">casalinga</w:t>
      </w:r>
      <w:r>
        <w:t xml:space="preserve"> </w:t>
      </w:r>
      <w:r>
        <w:t xml:space="preserve">il 13,4% delle ragazze 15-24 di Bagheria,</w:t>
      </w:r>
      <w:r>
        <w:t xml:space="preserve"> </w:t>
      </w:r>
      <w:r>
        <w:t xml:space="preserve">387 persone, contro l’11,3% di Palermo, il 10,1% della Sicilia e il 4,6% dell’Italia. Il</w:t>
      </w:r>
      <w:r>
        <w:t xml:space="preserve"> </w:t>
      </w:r>
      <w:r>
        <w:t xml:space="preserve">livello tiene nel tempo: dal 2021 la quota sta fra il 12,8% e il 14,8%.</w:t>
      </w:r>
    </w:p>
    <w:p>
      <w:pPr>
        <w:pStyle w:val="BodyText"/>
      </w:pPr>
      <w:r>
        <w:rPr>
          <w:b/>
          <w:bCs/>
        </w:rPr>
        <w:t xml:space="preserve">È una stima, non un conteggio né una dichiarazione.</w:t>
      </w:r>
      <w:r>
        <w:t xml:space="preserve"> </w:t>
      </w:r>
      <w:r>
        <w:t xml:space="preserve">Dal 2021 ISTAT stabilisce chi è</w:t>
      </w:r>
      <w:r>
        <w:t xml:space="preserve"> </w:t>
      </w:r>
      <w:r>
        <w:t xml:space="preserve">occupato; per chi non lo è, stima con un modello la probabilità di ciascuna altra</w:t>
      </w:r>
      <w:r>
        <w:t xml:space="preserve"> </w:t>
      </w:r>
      <w:r>
        <w:t xml:space="preserve">condizione. Il modello è un logit multinomiale addestrato sulle risposte del campione</w:t>
      </w:r>
      <w:r>
        <w:t xml:space="preserve"> </w:t>
      </w:r>
      <w:r>
        <w:t xml:space="preserve">censuario, con covariate amministrative come età, istruzione, segnali di lavoro, pensione e</w:t>
      </w:r>
      <w:r>
        <w:t xml:space="preserve"> </w:t>
      </w:r>
      <w:r>
        <w:t xml:space="preserve">redditi. Il numero comunale è la somma di quelle probabilità, a Bagheria 386,84 ragazze, e</w:t>
      </w:r>
      <w:r>
        <w:t xml:space="preserve"> </w:t>
      </w:r>
      <w:r>
        <w:t xml:space="preserve">il suo errore standard non è calcolato. La natura di stima si vede nei dati: sui 390</w:t>
      </w:r>
      <w:r>
        <w:t xml:space="preserve"> </w:t>
      </w:r>
      <w:r>
        <w:t xml:space="preserve">comuni, dal 2021 le celle di occupati e residenti sono tutte intere, quelle delle condizioni</w:t>
      </w:r>
      <w:r>
        <w:t xml:space="preserve"> </w:t>
      </w:r>
      <w:r>
        <w:t xml:space="preserve">non professionali quasi mai. Nel 2018-2019, con un altro metodo, erano tutte intere.</w:t>
      </w:r>
    </w:p>
    <w:p>
      <w:pPr>
        <w:pStyle w:val="BodyText"/>
      </w:pPr>
      <w:r>
        <w:t xml:space="preserve">Ne seguono tre conseguenze. La prima: nessuna covariata del modello misura il lavoro</w:t>
      </w:r>
      <w:r>
        <w:t xml:space="preserve"> </w:t>
      </w:r>
      <w:r>
        <w:t xml:space="preserve">domestico, quindi «casalinga» è l’etichetta che la stima assegna, non una misura della</w:t>
      </w:r>
      <w:r>
        <w:t xml:space="preserve"> </w:t>
      </w:r>
      <w:r>
        <w:t xml:space="preserve">cura. La seconda: la serie si legge solo dal 2021, perché fra il 2019 e il 2021 la quota dei</w:t>
      </w:r>
      <w:r>
        <w:t xml:space="preserve"> </w:t>
      </w:r>
      <w:r>
        <w:t xml:space="preserve">comuni di taglia simile salta in mediana di 2,87 punti per il solo cambio di metodo. La</w:t>
      </w:r>
      <w:r>
        <w:t xml:space="preserve"> </w:t>
      </w:r>
      <w:r>
        <w:t xml:space="preserve">terza: la stabilità della quota dal 2021 è in parte costruita dal metodo, che fra le</w:t>
      </w:r>
      <w:r>
        <w:t xml:space="preserve"> </w:t>
      </w:r>
      <w:r>
        <w:t xml:space="preserve">covariate usa le stime comunali del censimento precedente.</w:t>
      </w:r>
      <w:r>
        <w:t xml:space="preserve"> </w:t>
      </w:r>
      <w:r>
        <w:t xml:space="preserve">→</w:t>
      </w:r>
      <w:r>
        <w:t xml:space="preserve"> </w:t>
      </w:r>
      <w:r>
        <w:rPr>
          <w:rStyle w:val="VerbatimChar"/>
        </w:rPr>
        <w:t xml:space="preserve">genere_interi_condizione.csv</w:t>
      </w:r>
      <w:r>
        <w:t xml:space="preserve">,</w:t>
      </w:r>
      <w:r>
        <w:t xml:space="preserve"> </w:t>
      </w:r>
      <w:r>
        <w:rPr>
          <w:rStyle w:val="VerbatimChar"/>
        </w:rPr>
        <w:t xml:space="preserve">genere_mde.csv</w:t>
      </w:r>
      <w:r>
        <w:t xml:space="preserve">; fonti del metodo: metadati ESMS del</w:t>
      </w:r>
      <w:r>
        <w:t xml:space="preserve"> </w:t>
      </w:r>
      <w:r>
        <w:t xml:space="preserve">censimento 2021 (ISTAT per Eurostat) e Chianella, Ciccaglioni, Ercolani, RIEDS 2024</w:t>
      </w:r>
    </w:p>
    <w:p>
      <w:pPr>
        <w:pStyle w:val="BodyText"/>
      </w:pPr>
      <w:r>
        <w:t xml:space="preserve">La tavola non dà l’età dentro la fascia, e sull’aggregato pesano le 15-17enni, quasi tutte</w:t>
      </w:r>
      <w:r>
        <w:t xml:space="preserve"> </w:t>
      </w:r>
      <w:r>
        <w:t xml:space="preserve">studenti. Due casi limite: se nessuna delle 387 avesse meno di 18 anni, la quota sulle</w:t>
      </w:r>
      <w:r>
        <w:t xml:space="preserve"> </w:t>
      </w:r>
      <w:r>
        <w:t xml:space="preserve">18-24enni sarebbe del 18,8%; se nessuna ne avesse meno di 20, sarebbe del 25,8% sulle</w:t>
      </w:r>
      <w:r>
        <w:t xml:space="preserve"> </w:t>
      </w:r>
      <w:r>
        <w:t xml:space="preserve">20-24enni. Rispetto all’incidenza italiana, l’eccesso vale 254 ragazze.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queste ragazze? Il canale del matrimonio precoce</w:t>
      </w:r>
      <w:r>
        <w:t xml:space="preserve"> </w:t>
      </w:r>
      <w:r>
        <w:rPr>
          <w:b/>
          <w:bCs/>
        </w:rPr>
        <w:t xml:space="preserve">non regge i numeri</w:t>
      </w:r>
      <w:r>
        <w:t xml:space="preserve">. Al</w:t>
      </w:r>
      <w:r>
        <w:t xml:space="preserve"> </w:t>
      </w:r>
      <w:r>
        <w:t xml:space="preserve">1.1.2025 le già coniugate 15-24 sono 41 (1,4%) contro 387 casalinghe:</w:t>
      </w:r>
      <w:r>
        <w:t xml:space="preserve"> </w:t>
      </w:r>
      <w:r>
        <w:rPr>
          <w:b/>
          <w:bCs/>
        </w:rPr>
        <w:t xml:space="preserve">almeno l’89% delle</w:t>
      </w:r>
      <w:r>
        <w:rPr>
          <w:b/>
          <w:bCs/>
        </w:rPr>
        <w:t xml:space="preserve"> </w:t>
      </w:r>
      <w:r>
        <w:rPr>
          <w:b/>
          <w:bCs/>
        </w:rPr>
        <w:t xml:space="preserve">casalinghe non è sposata</w:t>
      </w:r>
      <w:r>
        <w:t xml:space="preserve">. La quota di coniugate 20-24 di Bagheria (2,7%) sta inoltre</w:t>
      </w:r>
      <w:r>
        <w:t xml:space="preserve"> </w:t>
      </w:r>
      <w:r>
        <w:rPr>
          <w:i/>
          <w:iCs/>
        </w:rPr>
        <w:t xml:space="preserve">sotto</w:t>
      </w:r>
      <w:r>
        <w:t xml:space="preserve"> </w:t>
      </w:r>
      <w:r>
        <w:t xml:space="preserve">Palermo (3,2%) e Sicilia (2,9%). Lo stato civile esclude il matrimonio come</w:t>
      </w:r>
      <w:r>
        <w:t xml:space="preserve"> </w:t>
      </w:r>
      <w:r>
        <w:t xml:space="preserve">spiegazione, ma non osserva convivenze né figli: che cosa tenga a casa queste ragazze, i</w:t>
      </w:r>
      <w:r>
        <w:t xml:space="preserve"> </w:t>
      </w:r>
      <w:r>
        <w:t xml:space="preserve">dati pubblici non lo dicono. Per la policy basta il primo fatto: serve un servizio di</w:t>
      </w:r>
      <w:r>
        <w:t xml:space="preserve"> </w:t>
      </w:r>
      <w:r>
        <w:rPr>
          <w:b/>
          <w:bCs/>
        </w:rPr>
        <w:t xml:space="preserve">attivazione</w:t>
      </w:r>
      <w:r>
        <w:t xml:space="preserve">, non solo di conciliazione. →</w:t>
      </w:r>
      <w:r>
        <w:t xml:space="preserve"> </w:t>
      </w:r>
      <w:r>
        <w:rPr>
          <w:rStyle w:val="VerbatimChar"/>
        </w:rPr>
        <w:t xml:space="preserve">genere_stato_civile.csv</w:t>
      </w:r>
      <w:r>
        <w:t xml:space="preserve"> </w:t>
      </w:r>
      <w:r>
        <w:t xml:space="preserve">(fonte</w:t>
      </w:r>
      <w:r>
        <w:t xml:space="preserve"> </w:t>
      </w:r>
      <w:r>
        <w:t xml:space="preserve">DCIS_POPRES1, denominatori coincidenti alla singola unità con la tavola censuaria)</w:t>
      </w:r>
    </w:p>
    <w:p>
      <w:pPr>
        <w:pStyle w:val="BodyText"/>
      </w:pPr>
      <w:r>
        <w:t xml:space="preserve">Il gruppo degli «invisibili» (fuori da lavoro, studio e ricerca)</w:t>
      </w:r>
      <w:r>
        <w:t xml:space="preserve"> </w:t>
      </w:r>
      <w:r>
        <w:rPr>
          <w:b/>
          <w:bCs/>
        </w:rPr>
        <w:t xml:space="preserve">non è femminile nelle</w:t>
      </w:r>
      <w:r>
        <w:rPr>
          <w:b/>
          <w:bCs/>
        </w:rPr>
        <w:t xml:space="preserve"> </w:t>
      </w:r>
      <w:r>
        <w:rPr>
          <w:b/>
          <w:bCs/>
        </w:rPr>
        <w:t xml:space="preserve">dimensioni</w:t>
      </w:r>
      <w:r>
        <w:t xml:space="preserve">: 573 ragazze e 549 ragazzi (51% F). È femminile</w:t>
      </w:r>
      <w:r>
        <w:t xml:space="preserve"> </w:t>
      </w:r>
      <w:r>
        <w:rPr>
          <w:b/>
          <w:bCs/>
        </w:rPr>
        <w:t xml:space="preserve">nell’etichetta</w:t>
      </w:r>
      <w:r>
        <w:t xml:space="preserve">. Fra le</w:t>
      </w:r>
      <w:r>
        <w:t xml:space="preserve"> </w:t>
      </w:r>
      <w:r>
        <w:t xml:space="preserve">ragazze prevale un’etichetta precisa: 387 casalinghe, contro 50 casalinghi fra i ragazzi.</w:t>
      </w:r>
      <w:r>
        <w:t xml:space="preserve"> </w:t>
      </w:r>
      <w:r>
        <w:t xml:space="preserve">Fra i ragazzi prevale il residuo senza nome, «altra condizione»: 485 ragazzi contro 183</w:t>
      </w:r>
      <w:r>
        <w:t xml:space="preserve"> </w:t>
      </w:r>
      <w:r>
        <w:t xml:space="preserve">ragazze.</w:t>
      </w:r>
    </w:p>
    <w:p>
      <w:pPr>
        <w:pStyle w:val="BodyText"/>
      </w:pPr>
      <w:r>
        <w:t xml:space="preserve">Anche questi numeri sono stime di modello, non conteggi. Nel modello «casalinga» e «altra</w:t>
      </w:r>
      <w:r>
        <w:t xml:space="preserve"> </w:t>
      </w:r>
      <w:r>
        <w:t xml:space="preserve">condizione» sono una sola categoria, e la regola che le separa non è descritta nelle fonti</w:t>
      </w:r>
      <w:r>
        <w:t xml:space="preserve"> </w:t>
      </w:r>
      <w:r>
        <w:t xml:space="preserve">lette. La stessa divisione per genere c’era però già nel 2018-2019, con l’altro metodo</w:t>
      </w:r>
      <w:r>
        <w:t xml:space="preserve"> </w:t>
      </w:r>
      <w:r>
        <w:t xml:space="preserve">(casalinghe il 12,4% delle ragazze e lo 0,8% dei ragazzi nel 2018): non è un artefatto del</w:t>
      </w:r>
      <w:r>
        <w:t xml:space="preserve"> </w:t>
      </w:r>
      <w:r>
        <w:t xml:space="preserve">solo modello 2021.</w:t>
      </w:r>
    </w:p>
    <w:p>
      <w:pPr>
        <w:pStyle w:val="BodyText"/>
      </w:pPr>
      <w:r>
        <w:t xml:space="preserve">A 15-24 anni, quindi, i dati sostengono</w:t>
      </w:r>
      <w:r>
        <w:t xml:space="preserve"> </w:t>
      </w:r>
      <w:r>
        <w:rPr>
          <w:b/>
          <w:bCs/>
        </w:rPr>
        <w:t xml:space="preserve">la stessa inattività con etichette diverse</w:t>
      </w:r>
      <w:r>
        <w:t xml:space="preserve">, non</w:t>
      </w:r>
      <w:r>
        <w:t xml:space="preserve"> </w:t>
      </w:r>
      <w:r>
        <w:t xml:space="preserve">più inattività femminile; l’eccesso femminile compare dopo i 25 anni (sezione 3.1-bis).</w:t>
      </w:r>
      <w:r>
        <w:t xml:space="preserve"> </w:t>
      </w:r>
      <w:r>
        <w:t xml:space="preserve">L’outreach deve perciò coprire entrambi i generi, con agganci diversi.</w:t>
      </w:r>
      <w:r>
        <w:t xml:space="preserve"> </w:t>
      </w:r>
      <w:r>
        <w:t xml:space="preserve">→</w:t>
      </w:r>
      <w:r>
        <w:t xml:space="preserve"> </w:t>
      </w:r>
      <w:r>
        <w:rPr>
          <w:rStyle w:val="VerbatimChar"/>
        </w:rPr>
        <w:t xml:space="preserve">genere_composizione_stato_dettaglio.csv</w:t>
      </w:r>
      <w:r>
        <w:t xml:space="preserve"> </w:t>
      </w:r>
      <w:r>
        <w:t xml:space="preserve">(fig02)</w:t>
      </w:r>
    </w:p>
    <w:p>
      <w:pPr>
        <w:pStyle w:val="BodyText"/>
      </w:pPr>
      <w:r>
        <w:drawing>
          <wp:inline>
            <wp:extent cx="6108700" cy="3998327"/>
            <wp:effectExtent b="0" l="0" r="0" t="0"/>
            <wp:docPr descr="" title="" id="53" name="Picture"/>
            <a:graphic>
              <a:graphicData uri="http://schemas.openxmlformats.org/drawingml/2006/picture">
                <pic:pic>
                  <pic:nvPicPr>
                    <pic:cNvPr descr="/home/kiycoh/Documents/dev/datapolis-2026-hackathon/.docx-build/fig02_composizione_stato.png" id="54" name="Picture"/>
                    <pic:cNvPicPr>
                      <a:picLocks noChangeArrowheads="1" noChangeAspect="1"/>
                    </pic:cNvPicPr>
                  </pic:nvPicPr>
                  <pic:blipFill>
                    <a:blip r:embed="rId52"/>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5"/>
    <w:bookmarkStart w:id="62" w:name="Xbdaa8ef344774b64680d27be3e2ed988b34bb6b"/>
    <w:p>
      <w:pPr>
        <w:pStyle w:val="Heading2"/>
      </w:pPr>
      <w:r>
        <w:t xml:space="preserve">3.3 La fuga avviene all’uscita dal percorso formativo, per entrambi i generi</w:t>
      </w:r>
    </w:p>
    <w:p>
      <w:pPr>
        <w:pStyle w:val="FirstParagraph"/>
      </w:pPr>
      <w:r>
        <w:t xml:space="preserve">La</w:t>
      </w:r>
      <w:r>
        <w:t xml:space="preserve"> </w:t>
      </w:r>
      <w:r>
        <w:rPr>
          <w:b/>
          <w:bCs/>
        </w:rPr>
        <w:t xml:space="preserve">ritenzione di coorte</w:t>
      </w:r>
      <w:r>
        <w:t xml:space="preserve"> </w:t>
      </w:r>
      <w:r>
        <w:t xml:space="preserve">misura la fuga senza bisogno di dati sulle migrazioni. È il</w:t>
      </w:r>
      <w:r>
        <w:t xml:space="preserve"> </w:t>
      </w:r>
      <w:r>
        <w:t xml:space="preserve">numero di residenti di una certa età nel 2024 in percentuale di quelli che avevano tre anni</w:t>
      </w:r>
      <w:r>
        <w:t xml:space="preserve"> </w:t>
      </w:r>
      <w:r>
        <w:t xml:space="preserve">di meno nel 2021: sotto 100 la coorte si è ridotta, sopra è cresciuta. È un saldo netto, e</w:t>
      </w:r>
      <w:r>
        <w:t xml:space="preserve"> </w:t>
      </w:r>
      <w:r>
        <w:t xml:space="preserve">non distingue chi parte da chi arriva. Sul 2021-2024 la ritenzione mostra due uscite</w:t>
      </w:r>
      <w:r>
        <w:t xml:space="preserve"> </w:t>
      </w:r>
      <w:r>
        <w:t xml:space="preserve">diverse per genere (fig03, fig07):</w:t>
      </w:r>
    </w:p>
    <w:p>
      <w:pPr>
        <w:pStyle w:val="Compact"/>
        <w:numPr>
          <w:ilvl w:val="0"/>
          <w:numId w:val="1008"/>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8"/>
        </w:numPr>
      </w:pPr>
      <w:r>
        <w:rPr>
          <w:b/>
          <w:bCs/>
        </w:rPr>
        <w:t xml:space="preserve">le ragazze tengono fino ai 23-24 anni e si perdono dai 24-25 in poi, senza</w:t>
      </w:r>
      <w:r>
        <w:rPr>
          <w:b/>
          <w:bCs/>
        </w:rPr>
        <w:t xml:space="preserve"> </w:t>
      </w:r>
      <w:r>
        <w:rPr>
          <w:b/>
          <w:bCs/>
        </w:rPr>
        <w:t xml:space="preserve">rientri.</w:t>
      </w:r>
      <w:r>
        <w:t xml:space="preserve"> </w:t>
      </w:r>
      <w:r>
        <w:t xml:space="preserve">La coorte femminile che nel 2021 aveva 25-29 anni è a</w:t>
      </w:r>
      <w:r>
        <w:t xml:space="preserve"> </w:t>
      </w:r>
      <w:r>
        <w:rPr>
          <w:b/>
          <w:bCs/>
        </w:rPr>
        <w:t xml:space="preserve">96,3</w:t>
      </w:r>
      <w:r>
        <w:t xml:space="preserve">, contro 101,2</w:t>
      </w:r>
      <w:r>
        <w:t xml:space="preserve"> </w:t>
      </w:r>
      <w:r>
        <w:t xml:space="preserve">dei coetanei maschi, 97,6 in Sicilia, 98,8 a Palermo e 103,0 in Italia (dove la coorte</w:t>
      </w:r>
      <w:r>
        <w:t xml:space="preserve"> </w:t>
      </w:r>
      <w:r>
        <w:t xml:space="preserve">cresce per immigrazione). È proprio l’età in cui il vantaggio educativo dovrebbe</w:t>
      </w:r>
      <w:r>
        <w:t xml:space="preserve"> </w:t>
      </w:r>
      <w:r>
        <w:t xml:space="preserve">convertirsi in 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7" name="Picture"/>
            <a:graphic>
              <a:graphicData uri="http://schemas.openxmlformats.org/drawingml/2006/picture">
                <pic:pic>
                  <pic:nvPicPr>
                    <pic:cNvPr descr="/home/kiycoh/Documents/dev/datapolis-2026-hackathon/.docx-build/fig03_coorti.png" id="58" name="Picture"/>
                    <pic:cNvPicPr>
                      <a:picLocks noChangeArrowheads="1" noChangeAspect="1"/>
                    </pic:cNvPicPr>
                  </pic:nvPicPr>
                  <pic:blipFill>
                    <a:blip r:embed="rId56"/>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Nel triennio la coorte femminile cede fra i 22 e i 25 anni</w:t>
      </w:r>
      <w:r>
        <w:t xml:space="preserve"> </w:t>
      </w:r>
      <w:r>
        <w:t xml:space="preserve">(età nel 2021). Prima di</w:t>
      </w:r>
      <w:r>
        <w:t xml:space="preserve"> </w:t>
      </w:r>
      <w:r>
        <w:t xml:space="preserve">quelle età la curva sta sopra la parità; dopo, la perdita è già avvenuta. Chi aveva 22-25</w:t>
      </w:r>
      <w:r>
        <w:t xml:space="preserve"> </w:t>
      </w:r>
      <w:r>
        <w:t xml:space="preserve">anni nel 2021 se ne va quindi fra i 25 e i 28.</w:t>
      </w:r>
      <w:r>
        <w:t xml:space="preserve"> </w:t>
      </w:r>
      <w:r>
        <w:rPr>
          <w:b/>
          <w:bCs/>
        </w:rPr>
        <w:t xml:space="preserve">Cautela.</w:t>
      </w:r>
      <w:r>
        <w:t xml:space="preserve"> </w:t>
      </w:r>
      <w:r>
        <w:t xml:space="preserve">È una lettura</w:t>
      </w:r>
      <w:r>
        <w:t xml:space="preserve"> </w:t>
      </w:r>
      <w:r>
        <w:rPr>
          <w:b/>
          <w:bCs/>
        </w:rPr>
        <w:t xml:space="preserve">pooled sul triennio</w:t>
      </w:r>
      <w:r>
        <w:t xml:space="preserve">.</w:t>
      </w:r>
      <w:r>
        <w:t xml:space="preserve"> </w:t>
      </w:r>
      <w:r>
        <w:t xml:space="preserve">Le transizioni annuali oscillano fino a 8 punti sulla stessa età (n ~290 per cella), e</w:t>
      </w:r>
      <w:r>
        <w:t xml:space="preserve"> </w:t>
      </w:r>
      <w:r>
        <w:t xml:space="preserve">l’anno singolo è un controllo, non un titolo. →</w:t>
      </w:r>
      <w:r>
        <w:t xml:space="preserve"> </w:t>
      </w:r>
      <w:r>
        <w:rPr>
          <w:rStyle w:val="VerbatimChar"/>
        </w:rPr>
        <w:t xml:space="preserve">genere_ritenzione_transizioni.csv</w:t>
      </w:r>
    </w:p>
    <w:p>
      <w:pPr>
        <w:pStyle w:val="BodyText"/>
      </w:pPr>
      <w:r>
        <w:drawing>
          <wp:inline>
            <wp:extent cx="6108700" cy="3605740"/>
            <wp:effectExtent b="0" l="0" r="0" t="0"/>
            <wp:docPr descr="" title="" id="60" name="Picture"/>
            <a:graphic>
              <a:graphicData uri="http://schemas.openxmlformats.org/drawingml/2006/picture">
                <pic:pic>
                  <pic:nvPicPr>
                    <pic:cNvPr descr="/home/kiycoh/Documents/dev/datapolis-2026-hackathon/.docx-build/fig07_ritenzione_eta.png" id="61" name="Picture"/>
                    <pic:cNvPicPr>
                      <a:picLocks noChangeArrowheads="1" noChangeAspect="1"/>
                    </pic:cNvPicPr>
                  </pic:nvPicPr>
                  <pic:blipFill>
                    <a:blip r:embed="rId59"/>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rPr>
          <w:b/>
          <w:bCs/>
        </w:rPr>
        <w:t xml:space="preserve">Su cinque anni la differenza di genere non si ripete.</w:t>
      </w:r>
      <w:r>
        <w:t xml:space="preserve"> </w:t>
      </w:r>
      <w:r>
        <w:t xml:space="preserve">Dentro il solo censimento</w:t>
      </w:r>
      <w:r>
        <w:t xml:space="preserve"> </w:t>
      </w:r>
      <w:r>
        <w:t xml:space="preserve">permanente le coorti si possono seguire su due quinquenni, 2018-2023 e 2019-2024. Quelle</w:t>
      </w:r>
      <w:r>
        <w:t xml:space="preserve"> </w:t>
      </w:r>
      <w:r>
        <w:t xml:space="preserve">che escono dal percorso formativo, da 20-24 a 25-29 anni, si riducono per entrambi i</w:t>
      </w:r>
      <w:r>
        <w:t xml:space="preserve"> </w:t>
      </w:r>
      <w:r>
        <w:t xml:space="preserve">generi, 9-12 punti sotto l’Italia. I maschi si riducono più delle femmine (89,2% e 91,8%</w:t>
      </w:r>
      <w:r>
        <w:t xml:space="preserve"> </w:t>
      </w:r>
      <w:r>
        <w:t xml:space="preserve">contro 92,8% e 93,3%), e le femmine di Bagheria stanno al livello di Palermo (90,9% e</w:t>
      </w:r>
      <w:r>
        <w:t xml:space="preserve"> </w:t>
      </w:r>
      <w:r>
        <w:t xml:space="preserve">92,9%).</w:t>
      </w:r>
    </w:p>
    <w:p>
      <w:pPr>
        <w:pStyle w:val="BodyText"/>
      </w:pPr>
      <w:r>
        <w:t xml:space="preserve">Nei cinque comuni più vicini, inoltre, il cedimento femminile del triennio non c’è (coorte</w:t>
      </w:r>
      <w:r>
        <w:t xml:space="preserve"> </w:t>
      </w:r>
      <w:r>
        <w:t xml:space="preserve">25-29 al 102,4). Il cedimento di Bagheria o è specifico del comune, o è in parte un</w:t>
      </w:r>
      <w:r>
        <w:t xml:space="preserve"> </w:t>
      </w:r>
      <w:r>
        <w:t xml:space="preserve">trasloco a pochi chilometri, e la ritenzione netta non distingue i due casi. Regge dunque la</w:t>
      </w:r>
      <w:r>
        <w:t xml:space="preserve"> </w:t>
      </w:r>
      <w:r>
        <w:t xml:space="preserve">perdita all’uscita dal percorso formativo; il tempismo di genere resta la lettura di un</w:t>
      </w:r>
      <w:r>
        <w:t xml:space="preserve"> </w:t>
      </w:r>
      <w:r>
        <w:t xml:space="preserve">solo triennio. →</w:t>
      </w:r>
      <w:r>
        <w:t xml:space="preserve"> </w:t>
      </w:r>
      <w:r>
        <w:rPr>
          <w:rStyle w:val="VerbatimChar"/>
        </w:rPr>
        <w:t xml:space="preserve">genere_ritenzione_decennale.csv</w:t>
      </w:r>
      <w:r>
        <w:t xml:space="preserve">,</w:t>
      </w:r>
      <w:r>
        <w:t xml:space="preserve"> </w:t>
      </w:r>
      <w:r>
        <w:rPr>
          <w:rStyle w:val="VerbatimChar"/>
        </w:rPr>
        <w:t xml:space="preserve">genere_coorti_vicini.csv</w:t>
      </w:r>
    </w:p>
    <w:p>
      <w:pPr>
        <w:pStyle w:val="BodyText"/>
      </w:pPr>
      <w:r>
        <w:t xml:space="preserve">Alla scala decennale la frattura è più netta, e risponde all’obiezione che tre anni non</w:t>
      </w:r>
      <w:r>
        <w:t xml:space="preserve"> </w:t>
      </w:r>
      <w:r>
        <w:t xml:space="preserve">bastino a parlare di fuga. La coorte 15-19 seguita per dieci anni passa, fra le femmine, da</w:t>
      </w:r>
      <w:r>
        <w:t xml:space="preserve"> </w:t>
      </w:r>
      <w:r>
        <w:rPr>
          <w:b/>
          <w:bCs/>
        </w:rPr>
        <w:t xml:space="preserve">102,9% (2001-2011) a 88,6% (2011-2021)</w:t>
      </w:r>
      <w:r>
        <w:t xml:space="preserve">, fra i maschi da 98,4% a</w:t>
      </w:r>
      <w:r>
        <w:t xml:space="preserve"> </w:t>
      </w:r>
      <w:r>
        <w:rPr>
          <w:b/>
          <w:bCs/>
        </w:rPr>
        <w:t xml:space="preserve">83,9%</w:t>
      </w:r>
      <w:r>
        <w:t xml:space="preserve">. Sono circa</w:t>
      </w:r>
      <w:r>
        <w:t xml:space="preserve"> </w:t>
      </w:r>
      <w:r>
        <w:t xml:space="preserve">14 punti per entrambi i generi, contro 4-6 in Sicilia. A questa scala la fuga non ha</w:t>
      </w:r>
      <w:r>
        <w:t xml:space="preserve"> </w:t>
      </w:r>
      <w:r>
        <w:t xml:space="preserve">genere, e il suo decennio è quello</w:t>
      </w:r>
      <w:r>
        <w:t xml:space="preserve"> </w:t>
      </w:r>
      <w:r>
        <w:rPr>
          <w:b/>
          <w:bCs/>
        </w:rPr>
        <w:t xml:space="preserve">successivo</w:t>
      </w:r>
      <w:r>
        <w:t xml:space="preserve"> </w:t>
      </w:r>
      <w:r>
        <w:t xml:space="preserve">al muro sull’occupazione femminile</w:t>
      </w:r>
      <w:r>
        <w:t xml:space="preserve"> </w:t>
      </w:r>
      <w:r>
        <w:t xml:space="preserve">(2001-2011, sezione 2.3).</w:t>
      </w:r>
      <w:r>
        <w:t xml:space="preserve"> </w:t>
      </w:r>
      <w:r>
        <w:rPr>
          <w:b/>
          <w:bCs/>
        </w:rPr>
        <w:t xml:space="preserve">Cautela.</w:t>
      </w:r>
      <w:r>
        <w:t xml:space="preserve"> </w:t>
      </w:r>
      <w:r>
        <w:t xml:space="preserve">Il decennio 2011-2021 unisce il censimento 2011 e il censimento</w:t>
      </w:r>
      <w:r>
        <w:t xml:space="preserve"> </w:t>
      </w:r>
      <w:r>
        <w:t xml:space="preserve">permanente: la distorsione nota va nel verso prudente ed è dichiarata in fig07b.</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2"/>
    <w:bookmarkEnd w:id="63"/>
    <w:bookmarkStart w:id="67" w:name="Xf63d8299ce449af7f449fe55cbc1d52dd7f3e3e"/>
    <w:p>
      <w:pPr>
        <w:pStyle w:val="Heading1"/>
      </w:pPr>
      <w:r>
        <w:t xml:space="preserve">4. Titolo e condizione: la domanda a cui i dati comunali non rispondono</w:t>
      </w:r>
    </w:p>
    <w:p>
      <w:pPr>
        <w:pStyle w:val="FirstParagraph"/>
      </w:pPr>
      <w:r>
        <w:t xml:space="preserve">Il primo focus proposto dal bando è la relazione fra titolo di studio e condizione</w:t>
      </w:r>
      <w:r>
        <w:t xml:space="preserve"> </w:t>
      </w:r>
      <w:r>
        <w:t xml:space="preserve">lavorativa. A livello comunale questa relazione</w:t>
      </w:r>
      <w:r>
        <w:t xml:space="preserve"> </w:t>
      </w:r>
      <w:r>
        <w:rPr>
          <w:b/>
          <w:bCs/>
        </w:rPr>
        <w:t xml:space="preserve">non è misurabile sull’individuo</w:t>
      </w:r>
      <w:r>
        <w:t xml:space="preserve">, e lo</w:t>
      </w:r>
      <w:r>
        <w:t xml:space="preserve"> </w:t>
      </w:r>
      <w:r>
        <w:t xml:space="preserve">abbiamo dimostrato prima di aggirarlo. Nelle tavole comunali del censimento permanente, la</w:t>
      </w:r>
      <w:r>
        <w:t xml:space="preserve"> </w:t>
      </w:r>
      <w:r>
        <w:t xml:space="preserve">tavola lavoro pubblica il titolo solo come</w:t>
      </w:r>
      <w:r>
        <w:t xml:space="preserve"> </w:t>
      </w:r>
      <w:r>
        <w:rPr>
          <w:rStyle w:val="VerbatimChar"/>
        </w:rPr>
        <w:t xml:space="preserve">ALL</w:t>
      </w:r>
      <w:r>
        <w:t xml:space="preserve"> </w:t>
      </w:r>
      <w:r>
        <w:t xml:space="preserve">e la tavola istruzione pubblica la</w:t>
      </w:r>
      <w:r>
        <w:t xml:space="preserve"> </w:t>
      </w:r>
      <w:r>
        <w:t xml:space="preserve">condizione 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quindi una</w:t>
      </w:r>
      <w:r>
        <w:t xml:space="preserve"> </w:t>
      </w:r>
      <w:r>
        <w:t xml:space="preserve">domanda a cui i dati pubblici rispondono. Ci si avvicina alla domanda in tre modi: due</w:t>
      </w:r>
      <w:r>
        <w:t xml:space="preserve"> </w:t>
      </w:r>
      <w:r>
        <w:t xml:space="preserve">misure parallele sulla stessa fascia e sullo stesso denominatore (fig11, sezione 3.1), il</w:t>
      </w:r>
      <w:r>
        <w:t xml:space="preserve"> </w:t>
      </w:r>
      <w:r>
        <w:t xml:space="preserve">confronto territoriale (sezione 2) e la lente dei pari a pari istruzione (sezione 2.4).</w:t>
      </w:r>
    </w:p>
    <w:p>
      <w:pPr>
        <w:pStyle w:val="BodyText"/>
      </w:pPr>
      <w:r>
        <w:rPr>
          <w:b/>
          <w:bCs/>
        </w:rPr>
        <w:t xml:space="preserve">I margini, però, mettono un tetto.</w:t>
      </w:r>
      <w:r>
        <w:t xml:space="preserve"> </w:t>
      </w:r>
      <w:r>
        <w:t xml:space="preserve">Se tutte le occupate fossero diplomate, nel 2024</w:t>
      </w:r>
      <w:r>
        <w:t xml:space="preserve"> </w:t>
      </w:r>
      <w:r>
        <w:t xml:space="preserve">lavorerebbe al massimo il</w:t>
      </w:r>
      <w:r>
        <w:t xml:space="preserve"> </w:t>
      </w:r>
      <w:r>
        <w:rPr>
          <w:b/>
          <w:bCs/>
        </w:rPr>
        <w:t xml:space="preserve">16,1%</w:t>
      </w:r>
      <w:r>
        <w:t xml:space="preserve"> </w:t>
      </w:r>
      <w:r>
        <w:t xml:space="preserve">delle ragazze 15-24 con almeno il diploma (236</w:t>
      </w:r>
      <w:r>
        <w:t xml:space="preserve"> </w:t>
      </w:r>
      <w:r>
        <w:t xml:space="preserve">occupate su 1.469 diplomate), contro il 35,7% dei ragazzi. Il minimo, per entrambi, è</w:t>
      </w:r>
      <w:r>
        <w:t xml:space="preserve"> </w:t>
      </w:r>
      <w:r>
        <w:t xml:space="preserve">zero. Sono limiti di Fréchet, non stime. Valgono perché diplomati e occupati sono</w:t>
      </w:r>
      <w:r>
        <w:t xml:space="preserve"> </w:t>
      </w:r>
      <w:r>
        <w:t xml:space="preserve">sottoinsiemi della stessa popolazione 15-24: il totale della tavola lavoro, come verificato,</w:t>
      </w:r>
      <w:r>
        <w:t xml:space="preserve"> </w:t>
      </w:r>
      <w:r>
        <w:t xml:space="preserve">coincide con la somma delle età singole. Il tetto femminile di Bagheria è il più basso dei</w:t>
      </w:r>
      <w:r>
        <w:t xml:space="preserve"> </w:t>
      </w:r>
      <w:r>
        <w:t xml:space="preserve">quattro territori (Palermo 20,3%, Sicilia 20,4%, Italia 32,3%). Qualunque sia l’incrocio,</w:t>
      </w:r>
      <w:r>
        <w:t xml:space="preserve"> </w:t>
      </w:r>
      <w:r>
        <w:t xml:space="preserve">fra le diplomate lavora al più una su sei. →</w:t>
      </w:r>
      <w:r>
        <w:t xml:space="preserve"> </w:t>
      </w:r>
      <w:r>
        <w:rPr>
          <w:rStyle w:val="VerbatimChar"/>
        </w:rPr>
        <w:t xml:space="preserve">genere_frechet.csv</w:t>
      </w:r>
    </w:p>
    <w:p>
      <w:pPr>
        <w:pStyle w:val="BodyText"/>
      </w:pPr>
      <w:r>
        <w:t xml:space="preserve">Resta da chiarire di quale titolo si parla, perché non è lo stesso a tutte le altezze.</w:t>
      </w:r>
      <w:r>
        <w:t xml:space="preserve"> </w:t>
      </w:r>
      <w:r>
        <w:t xml:space="preserve">Nella fascia 9-24 del 2024, a Bagheria, oltre il diploma si va di rado: dei</w:t>
      </w:r>
      <w:r>
        <w:t xml:space="preserve"> </w:t>
      </w:r>
      <w:r>
        <w:rPr>
          <w:b/>
          <w:bCs/>
        </w:rPr>
        <w:t xml:space="preserve">2.864</w:t>
      </w:r>
      <w:r>
        <w:rPr>
          <w:b/>
          <w:bCs/>
        </w:rPr>
        <w:t xml:space="preserve"> </w:t>
      </w:r>
      <w:r>
        <w:rPr>
          <w:b/>
          <w:bCs/>
        </w:rPr>
        <w:t xml:space="preserve">residenti con almeno il diploma, il 91,0% si ferma al diploma</w:t>
      </w:r>
      <w:r>
        <w:t xml:space="preserve"> </w:t>
      </w:r>
      <w:r>
        <w:t xml:space="preserve">di scuola secondaria, e i</w:t>
      </w:r>
      <w:r>
        <w:t xml:space="preserve"> </w:t>
      </w:r>
      <w:r>
        <w:t xml:space="preserve">titoli terziari sono</w:t>
      </w:r>
      <w:r>
        <w:t xml:space="preserve"> </w:t>
      </w:r>
      <w:r>
        <w:rPr>
          <w:b/>
          <w:bCs/>
        </w:rPr>
        <w:t xml:space="preserve">258 persone</w:t>
      </w:r>
      <w:r>
        <w:t xml:space="preserve"> </w:t>
      </w:r>
      <w:r>
        <w:t xml:space="preserve">in tutto. Il dato dice quale titolo la fascia detiene,</w:t>
      </w:r>
      <w:r>
        <w:t xml:space="preserve"> </w:t>
      </w:r>
      <w:r>
        <w:t xml:space="preserve">non quanto in alto arriverà: a 20 anni una laurea non può ancora esserci.</w:t>
      </w:r>
      <w:r>
        <w:t xml:space="preserve"> </w:t>
      </w:r>
      <w:r>
        <w:t xml:space="preserve">→</w:t>
      </w:r>
      <w:r>
        <w:t xml:space="preserve"> </w:t>
      </w:r>
      <w:r>
        <w:rPr>
          <w:rStyle w:val="VerbatimChar"/>
        </w:rPr>
        <w:t xml:space="preserve">censpop_istr_lav_long.csv</w:t>
      </w:r>
    </w:p>
    <w:p>
      <w:pPr>
        <w:pStyle w:val="BodyText"/>
      </w:pPr>
      <w:r>
        <w:t xml:space="preserve">Chi la laurea l’ha già conseguita si osserva al 2011, e lì la scala dei titoli regge solo</w:t>
      </w:r>
      <w:r>
        <w:t xml:space="preserve"> </w:t>
      </w:r>
      <w:r>
        <w:t xml:space="preserve">al primo gradino (</w:t>
      </w:r>
      <w:r>
        <w:rPr>
          <w:rStyle w:val="VerbatimChar"/>
        </w:rPr>
        <w:t xml:space="preserve">edu_fig02_catena_2011</w:t>
      </w:r>
      <w:r>
        <w:t xml:space="preserve">). L’unico indicatore su cui Bagheria sta davanti</w:t>
      </w:r>
      <w:r>
        <w:t xml:space="preserve"> </w:t>
      </w:r>
      <w:r>
        <w:t xml:space="preserve">a Palermo e alla Sicilia è la competenza di base,</w:t>
      </w:r>
      <w:r>
        <w:t xml:space="preserve"> </w:t>
      </w:r>
      <w:r>
        <w:rPr>
          <w:rStyle w:val="VerbatimChar"/>
        </w:rPr>
        <w:t xml:space="preserve">I8</w:t>
      </w:r>
      <w:r>
        <w:t xml:space="preserve">:</w:t>
      </w:r>
      <w:r>
        <w:t xml:space="preserve"> </w:t>
      </w:r>
      <w:r>
        <w:rPr>
          <w:b/>
          <w:bCs/>
        </w:rPr>
        <w:t xml:space="preserve">96,7% dei 15-19enni con almeno</w:t>
      </w:r>
      <w:r>
        <w:rPr>
          <w:b/>
          <w:bCs/>
        </w:rPr>
        <w:t xml:space="preserve"> </w:t>
      </w:r>
      <w:r>
        <w:rPr>
          <w:b/>
          <w:bCs/>
        </w:rPr>
        <w:t xml:space="preserve">la licenza media</w:t>
      </w:r>
      <w:r>
        <w:t xml:space="preserve">, contro 95,6 e 96,5 (Italia 97,9). Un gradino più su il segno si</w:t>
      </w:r>
      <w:r>
        <w:t xml:space="preserve"> </w:t>
      </w:r>
      <w:r>
        <w:t xml:space="preserve">inverte, e resta tale:</w:t>
      </w:r>
    </w:p>
    <w:p>
      <w:pPr>
        <w:pStyle w:val="Compact"/>
        <w:numPr>
          <w:ilvl w:val="0"/>
          <w:numId w:val="1009"/>
        </w:numPr>
      </w:pPr>
      <w:r>
        <w:t xml:space="preserve">adulti 25-64 con diploma o laurea (</w:t>
      </w:r>
      <w:r>
        <w:rPr>
          <w:rStyle w:val="VerbatimChar"/>
        </w:rPr>
        <w:t xml:space="preserve">I6</w:t>
      </w:r>
      <w:r>
        <w:t xml:space="preserve">) al</w:t>
      </w:r>
      <w:r>
        <w:t xml:space="preserve"> </w:t>
      </w:r>
      <w:r>
        <w:rPr>
          <w:b/>
          <w:bCs/>
        </w:rPr>
        <w:t xml:space="preserve">42,5%</w:t>
      </w:r>
      <w:r>
        <w:t xml:space="preserve"> </w:t>
      </w:r>
      <w:r>
        <w:t xml:space="preserve">contro 48,2 in Sicilia, 51,2 a</w:t>
      </w:r>
      <w:r>
        <w:t xml:space="preserve"> </w:t>
      </w:r>
      <w:r>
        <w:t xml:space="preserve">Palermo e 55,1 in Italia;</w:t>
      </w:r>
    </w:p>
    <w:p>
      <w:pPr>
        <w:pStyle w:val="Compact"/>
        <w:numPr>
          <w:ilvl w:val="0"/>
          <w:numId w:val="1009"/>
        </w:numPr>
      </w:pPr>
      <w:r>
        <w:t xml:space="preserve">trentenni con titolo universitario (</w:t>
      </w:r>
      <w:r>
        <w:rPr>
          <w:rStyle w:val="VerbatimChar"/>
        </w:rPr>
        <w:t xml:space="preserve">I7</w:t>
      </w:r>
      <w:r>
        <w:t xml:space="preserve">) al</w:t>
      </w:r>
      <w:r>
        <w:t xml:space="preserve"> </w:t>
      </w:r>
      <w:r>
        <w:rPr>
          <w:b/>
          <w:bCs/>
        </w:rPr>
        <w:t xml:space="preserve">14,4%</w:t>
      </w:r>
      <w:r>
        <w:t xml:space="preserve"> </w:t>
      </w:r>
      <w:r>
        <w:t xml:space="preserve">contro 18,3, 20,6 e 23,2, nello</w:t>
      </w:r>
      <w:r>
        <w:t xml:space="preserve"> </w:t>
      </w:r>
      <w:r>
        <w:t xml:space="preserve">stesso ordine.</w:t>
      </w:r>
    </w:p>
    <w:p>
      <w:pPr>
        <w:pStyle w:val="FirstParagraph"/>
      </w:pPr>
      <w:r>
        <w:t xml:space="preserve">Bagheria è ultima del panel su entrambi gli indicatori, e al 2024 il segno non cambia</w:t>
      </w:r>
      <w:r>
        <w:t xml:space="preserve"> </w:t>
      </w:r>
      <w:r>
        <w:t xml:space="preserve">(−4,1 punti dalla Sicilia sul diploma 25-49, sezione 2.2).</w:t>
      </w:r>
      <w:r>
        <w:t xml:space="preserve"> </w:t>
      </w:r>
      <w:r>
        <w:t xml:space="preserve">→</w:t>
      </w:r>
      <w:r>
        <w:t xml:space="preserve"> </w:t>
      </w:r>
      <w:r>
        <w:rPr>
          <w:rStyle w:val="VerbatimChar"/>
        </w:rPr>
        <w:t xml:space="preserve">edu_historical_benchmarks_2011.csv</w:t>
      </w:r>
    </w:p>
    <w:p>
      <w:pPr>
        <w:pStyle w:val="BodyText"/>
      </w:pPr>
      <w:r>
        <w:drawing>
          <wp:inline>
            <wp:extent cx="6108700" cy="4185761"/>
            <wp:effectExtent b="0" l="0" r="0" t="0"/>
            <wp:docPr descr="" title="" id="65" name="Picture"/>
            <a:graphic>
              <a:graphicData uri="http://schemas.openxmlformats.org/drawingml/2006/picture">
                <pic:pic>
                  <pic:nvPicPr>
                    <pic:cNvPr descr="/home/kiycoh/Documents/dev/datapolis-2026-hackathon/.docx-build/edu_fig02_catena_2011.png" id="66" name="Picture"/>
                    <pic:cNvPicPr>
                      <a:picLocks noChangeArrowheads="1" noChangeAspect="1"/>
                    </pic:cNvPicPr>
                  </pic:nvPicPr>
                  <pic:blipFill>
                    <a:blip r:embed="rId64"/>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rPr>
          <w:b/>
          <w:bCs/>
        </w:rPr>
        <w:t xml:space="preserve">Il collo di bottiglia, quindi, non è la scolarizzazione di base, che tiene. È tutto ciò</w:t>
      </w:r>
      <w:r>
        <w:rPr>
          <w:b/>
          <w:bCs/>
        </w:rPr>
        <w:t xml:space="preserve"> </w:t>
      </w:r>
      <w:r>
        <w:rPr>
          <w:b/>
          <w:bCs/>
        </w:rPr>
        <w:t xml:space="preserve">che viene dopo: la scala dei titoli, che a Bagheria si ferma presto, e la conversione in</w:t>
      </w:r>
      <w:r>
        <w:rPr>
          <w:b/>
          <w:bCs/>
        </w:rPr>
        <w:t xml:space="preserve"> </w:t>
      </w:r>
      <w:r>
        <w:rPr>
          <w:b/>
          <w:bCs/>
        </w:rPr>
        <w:t xml:space="preserve">lavoro, che non arriva nemmeno per i titoli che ci sono.</w:t>
      </w:r>
      <w:r>
        <w:t xml:space="preserve"> </w:t>
      </w:r>
      <w:r>
        <w:t xml:space="preserve">Le due letture non si sommano in</w:t>
      </w:r>
      <w:r>
        <w:t xml:space="preserve"> </w:t>
      </w:r>
      <w:r>
        <w:t xml:space="preserve">una catena individuale, perché l’incrocio sulla persona non esiste: restano due misure</w:t>
      </w:r>
      <w:r>
        <w:t xml:space="preserve"> </w:t>
      </w:r>
      <w:r>
        <w:t xml:space="preserve">aggregate dello stesso territorio.</w:t>
      </w:r>
    </w:p>
    <w:p>
      <w:pPr>
        <w:pStyle w:val="BodyText"/>
      </w:pPr>
      <w:r>
        <w:t xml:space="preserve">La versione individuale della domanda resta la più importante per il territorio. Per</w:t>
      </w:r>
      <w:r>
        <w:t xml:space="preserve"> </w:t>
      </w:r>
      <w:r>
        <w:t xml:space="preserve">questo la proposta la trasforma in un output: il dataset di servizio della sezione 7.5</w:t>
      </w:r>
      <w:r>
        <w:t xml:space="preserve"> </w:t>
      </w:r>
      <w:r>
        <w:t xml:space="preserve">misura per la prima volta a Bagheria, sulla singola persona, la sequenza titolo → azione →</w:t>
      </w:r>
      <w:r>
        <w:t xml:space="preserve"> </w:t>
      </w:r>
      <w:r>
        <w:t xml:space="preserve">esito.</w:t>
      </w:r>
    </w:p>
    <w:p>
      <w:r>
        <w:pict>
          <v:rect style="width:0;height:1.5pt" o:hralign="center" o:hrstd="t" o:hr="t"/>
        </w:pict>
      </w:r>
    </w:p>
    <w:bookmarkEnd w:id="67"/>
    <w:bookmarkStart w:id="88" w:name="Xcb09c2d349f7556fc27391e9800daf3f36ad9ed"/>
    <w:p>
      <w:pPr>
        <w:pStyle w:val="Heading1"/>
      </w:pPr>
      <w:r>
        <w:t xml:space="preserve">5. Il pendolarismo verso Palermo: una sola destinazione, e un divario di genere che si apre col lavoro</w:t>
      </w:r>
    </w:p>
    <w:p>
      <w:pPr>
        <w:pStyle w:val="FirstParagraph"/>
      </w:pPr>
      <w:r>
        <w:t xml:space="preserve">Il pendolarismo verso Palermo è il terzo focus del bando. Il censimento permanente lo</w:t>
      </w:r>
      <w:r>
        <w:t xml:space="preserve"> </w:t>
      </w:r>
      <w:r>
        <w:t xml:space="preserve">pubblica a livello comunale solo come dentro/fuori comune: la dimensione</w:t>
      </w:r>
      <w:r>
        <w:t xml:space="preserve"> </w:t>
      </w:r>
      <w:r>
        <w:rPr>
          <w:rStyle w:val="VerbatimChar"/>
        </w:rPr>
        <w:t xml:space="preserve">LOC_DEST</w:t>
      </w:r>
      <w:r>
        <w:t xml:space="preserve"> </w:t>
      </w:r>
      <w:r>
        <w:t xml:space="preserve">del</w:t>
      </w:r>
      <w:r>
        <w:t xml:space="preserve"> </w:t>
      </w:r>
      <w:r>
        <w:t xml:space="preserve">dataflow è servita con un solo valore, quindi non dice dove si va. La destinazione la</w:t>
      </w:r>
      <w:r>
        <w:t xml:space="preserve"> </w:t>
      </w:r>
      <w:r>
        <w:t xml:space="preserve">danno le</w:t>
      </w:r>
      <w:r>
        <w:t xml:space="preserve"> </w:t>
      </w:r>
      <w:r>
        <w:rPr>
          <w:i/>
          <w:iCs/>
        </w:rPr>
        <w:t xml:space="preserve">matrici del pendolarismo</w:t>
      </w:r>
      <w:r>
        <w:t xml:space="preserve"> </w:t>
      </w:r>
      <w:r>
        <w:t xml:space="preserve">di ISTAT, che riportano i flussi origine-destinazione</w:t>
      </w:r>
      <w:r>
        <w:t xml:space="preserve"> </w:t>
      </w:r>
      <w:r>
        <w:t xml:space="preserve">comune per comune, con sesso, motivo, mezzo, fascia oraria e durata. Esistono per i</w:t>
      </w:r>
      <w:r>
        <w:t xml:space="preserve"> </w:t>
      </w:r>
      <w:r>
        <w:t xml:space="preserve">censimenti 1991/2001/2011 e, per il solo lavoro, per il censimento permanente 2021.</w:t>
      </w:r>
      <w:r>
        <w:t xml:space="preserve"> </w:t>
      </w:r>
      <w:r>
        <w:t xml:space="preserve">→</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dei file è a campi fissi e senza intestazione, quindi un campo sfalsato</w:t>
      </w:r>
      <w:r>
        <w:t xml:space="preserve"> </w:t>
      </w:r>
      <w:r>
        <w:t xml:space="preserve">darebbe numeri plausibili e sbagliati. Per escluderlo,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Tutti e sette coincidono alla prima</w:t>
      </w:r>
      <w:r>
        <w:t xml:space="preserve"> </w:t>
      </w:r>
      <w:r>
        <w:t xml:space="preserve">cifra decimale:</w:t>
      </w:r>
      <w:r>
        <w:t xml:space="preserve"> </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t xml:space="preserve">Anche i totali nazionali del 2011 e del 2021 coincidono con quelli dichiarati da ISTAT. Il</w:t>
      </w:r>
      <w:r>
        <w:t xml:space="preserve"> </w:t>
      </w:r>
      <w:r>
        <w:t xml:space="preserve">controllo mostra inoltre che la matrice</w:t>
      </w:r>
      <w:r>
        <w:t xml:space="preserve"> </w:t>
      </w:r>
      <w:r>
        <w:rPr>
          <w:b/>
          <w:bCs/>
        </w:rPr>
        <w:t xml:space="preserve">non è una fonte alternativa a 8milaCensus, ma il</w:t>
      </w:r>
      <w:r>
        <w:rPr>
          <w:b/>
          <w:bCs/>
        </w:rPr>
        <w:t xml:space="preserve"> </w:t>
      </w:r>
      <w:r>
        <w:rPr>
          <w:b/>
          <w:bCs/>
        </w:rPr>
        <w:t xml:space="preserve">livello sottostante</w:t>
      </w:r>
      <w:r>
        <w:t xml:space="preserve"> </w:t>
      </w:r>
      <w:r>
        <w:t xml:space="preserve">da cui quegli indicatori sono calcolati: un punto utile rispetto al</w:t>
      </w:r>
      <w:r>
        <w:t xml:space="preserve"> </w:t>
      </w:r>
      <w:r>
        <w:t xml:space="preserve">vincolo sulle fonti posto dal bando. → sezione «La fonte, e come si controlla che sia letta</w:t>
      </w:r>
      <w:r>
        <w:t xml:space="preserve"> </w:t>
      </w:r>
      <w:r>
        <w:t xml:space="preserve">bene» di</w:t>
      </w:r>
      <w:r>
        <w:t xml:space="preserve"> </w:t>
      </w:r>
      <w:r>
        <w:rPr>
          <w:rStyle w:val="VerbatimChar"/>
        </w:rPr>
        <w:t xml:space="preserve">notebooks/mobilita.ipynb</w:t>
      </w:r>
    </w:p>
    <w:bookmarkStart w:id="71"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97°</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94°</w:t>
            </w:r>
          </w:p>
        </w:tc>
      </w:tr>
    </w:tbl>
    <w:p>
      <w:pPr>
        <w:pStyle w:val="BodyText"/>
      </w:pPr>
      <w:r>
        <w:t xml:space="preserve">Il secondo comune di destinazione per lavoro è Santa Flavia, con il 6,8% nel 2011:</w:t>
      </w:r>
      <w:r>
        <w:t xml:space="preserve"> </w:t>
      </w:r>
      <w:r>
        <w:rPr>
          <w:b/>
          <w:bCs/>
        </w:rPr>
        <w:t xml:space="preserve">non</w:t>
      </w:r>
      <w:r>
        <w:rPr>
          <w:b/>
          <w:bCs/>
        </w:rPr>
        <w:t xml:space="preserve"> </w:t>
      </w:r>
      <w:r>
        <w:rPr>
          <w:b/>
          <w:bCs/>
        </w:rPr>
        <w:t xml:space="preserve">esiste una seconda direzione</w:t>
      </w:r>
      <w:r>
        <w:t xml:space="preserve">. Il percentile è calcolato su una misura comparabile fra</w:t>
      </w:r>
      <w:r>
        <w:t xml:space="preserve"> </w:t>
      </w:r>
      <w:r>
        <w:t xml:space="preserve">comuni, la quota di chi esce diretta al</w:t>
      </w:r>
      <w:r>
        <w:t xml:space="preserve"> </w:t>
      </w:r>
      <w:r>
        <w:rPr>
          <w:i/>
          <w:iCs/>
        </w:rPr>
        <w:t xml:space="preserve">proprio</w:t>
      </w:r>
      <w:r>
        <w:t xml:space="preserve"> </w:t>
      </w:r>
      <w:r>
        <w:t xml:space="preserve">capoluogo di provincia. Per un comune del</w:t>
      </w:r>
      <w:r>
        <w:t xml:space="preserve"> </w:t>
      </w:r>
      <w:r>
        <w:t xml:space="preserve">Ragusano, infatti, «quanti vanno a Palermo» è zero per costruzione. → sezione 2 di</w:t>
      </w:r>
      <w:r>
        <w:t xml:space="preserve"> </w:t>
      </w:r>
      <w:r>
        <w:rPr>
          <w:rStyle w:val="VerbatimChar"/>
        </w:rPr>
        <w:t xml:space="preserve">notebooks/mobilita.ipynb</w:t>
      </w:r>
      <w:r>
        <w:t xml:space="preserve">,</w:t>
      </w:r>
      <w:r>
        <w:t xml:space="preserve"> </w:t>
      </w:r>
      <w:r>
        <w:rPr>
          <w:rStyle w:val="VerbatimChar"/>
        </w:rPr>
        <w:t xml:space="preserve">mob_flussi_bagheria.csv</w:t>
      </w:r>
      <w:r>
        <w:t xml:space="preserve">, fig</w:t>
      </w:r>
      <w:r>
        <w:t xml:space="preserve"> </w:t>
      </w:r>
      <w:r>
        <w:rPr>
          <w:rStyle w:val="VerbatimChar"/>
        </w:rPr>
        <w:t xml:space="preserve">mob_fig01</w:t>
      </w:r>
    </w:p>
    <w:p>
      <w:pPr>
        <w:pStyle w:val="BodyText"/>
      </w:pPr>
      <w:r>
        <w:t xml:space="preserve">Una destinazione unica rende la mobilità una leva di policy, non un dettaglio descrittivo:</w:t>
      </w:r>
      <w:r>
        <w:t xml:space="preserve"> </w:t>
      </w:r>
      <w:r>
        <w:t xml:space="preserve">non c’è da scegliere quale destinazione servire.</w:t>
      </w:r>
    </w:p>
    <w:p>
      <w:pPr>
        <w:pStyle w:val="BodyText"/>
      </w:pPr>
      <w:r>
        <w:drawing>
          <wp:inline>
            <wp:extent cx="6108700" cy="3337974"/>
            <wp:effectExtent b="0" l="0" r="0" t="0"/>
            <wp:docPr descr="" title="" id="69" name="Picture"/>
            <a:graphic>
              <a:graphicData uri="http://schemas.openxmlformats.org/drawingml/2006/picture">
                <pic:pic>
                  <pic:nvPicPr>
                    <pic:cNvPr descr="/home/kiycoh/Documents/dev/datapolis-2026-hackathon/.docx-build/mob_fig01_verso_palermo.png" id="70" name="Picture"/>
                    <pic:cNvPicPr>
                      <a:picLocks noChangeArrowheads="1" noChangeAspect="1"/>
                    </pic:cNvPicPr>
                  </pic:nvPicPr>
                  <pic:blipFill>
                    <a:blip r:embed="rId6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1"/>
    <w:bookmarkStart w:id="78"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ogni giorno per</w:t>
      </w:r>
      <w:r>
        <w:t xml:space="preserve"> </w:t>
      </w:r>
      <w:r>
        <w:t xml:space="preserve">quel motivo, distinta per genere. Il denominatore è già condizionato al motivo: chi si</w:t>
      </w:r>
      <w:r>
        <w:t xml:space="preserve"> </w:t>
      </w:r>
      <w:r>
        <w:t xml:space="preserve">sposta per lavoro un lavoro ce l’ha. Lo scarto di genere è quindi</w:t>
      </w:r>
      <w:r>
        <w:t xml:space="preserve"> </w:t>
      </w:r>
      <w:r>
        <w:rPr>
          <w:b/>
          <w:bCs/>
        </w:rPr>
        <w:t xml:space="preserve">compatibile</w:t>
      </w:r>
      <w:r>
        <w:t xml:space="preserve"> </w:t>
      </w:r>
      <w:r>
        <w:t xml:space="preserve">con il</w:t>
      </w:r>
      <w:r>
        <w:t xml:space="preserve"> </w:t>
      </w:r>
      <w:r>
        <w:t xml:space="preserve">divario occupazionale della sezione 3, non una sua conferma indipendente. Se chi non può</w:t>
      </w:r>
      <w:r>
        <w:t xml:space="preserve"> </w:t>
      </w:r>
      <w:r>
        <w:t xml:space="preserve">spostarsi non lavora, le occupate sono per costruzione quelle con un lavoro vicino. Il</w:t>
      </w:r>
      <w:r>
        <w:t xml:space="preserve"> </w:t>
      </w:r>
      <w:r>
        <w:t xml:space="preserve">conteggio del 2011, infine,</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un’enumerazione</w:t>
      </w:r>
      <w:r>
        <w:t xml:space="preserve"> </w:t>
      </w:r>
      <w:r>
        <w:t xml:space="preserve">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Il cambio di verso col motivo non è solo di Bagheria: c’è anche in Sicilia e in Italia,</w:t>
      </w:r>
      <w:r>
        <w:t xml:space="preserve"> </w:t>
      </w:r>
      <w:r>
        <w:t xml:space="preserve">mentre a Palermo città i due scarti sono entrambi negativi e quasi nulli. La particolarità</w:t>
      </w:r>
      <w:r>
        <w:t xml:space="preserve"> </w:t>
      </w:r>
      <w:r>
        <w:t xml:space="preserve">di Bagheria è</w:t>
      </w:r>
      <w:r>
        <w:t xml:space="preserve"> </w:t>
      </w:r>
      <w:r>
        <w:rPr>
          <w:b/>
          <w:bCs/>
        </w:rPr>
        <w:t xml:space="preserve">l’ampiezza</w:t>
      </w:r>
      <w:r>
        <w:t xml:space="preserve">: un salto due volte e mezza quello siciliano, e sul lavoro il</w:t>
      </w:r>
      <w:r>
        <w:t xml:space="preserve"> </w:t>
      </w:r>
      <w:r>
        <w:rPr>
          <w:b/>
          <w:bCs/>
        </w:rPr>
        <w:t xml:space="preserve">15° percentile</w:t>
      </w:r>
      <w:r>
        <w:t xml:space="preserve"> </w:t>
      </w:r>
      <w:r>
        <w:t xml:space="preserve">dei comuni siciliani (14° al netto di taglia e distanza dal capoluogo).</w:t>
      </w:r>
      <w:r>
        <w:t xml:space="preserve"> </w:t>
      </w:r>
      <w:r>
        <w:rPr>
          <w:b/>
          <w:bCs/>
        </w:rPr>
        <w:t xml:space="preserve">Cautela.</w:t>
      </w:r>
      <w:r>
        <w:t xml:space="preserve"> </w:t>
      </w:r>
      <w:r>
        <w:t xml:space="preserve">La fonte non ha l’età. Sullo studio pesano i giovani, sul lavoro gli adulti fino a 64</w:t>
      </w:r>
      <w:r>
        <w:t xml:space="preserve"> </w:t>
      </w:r>
      <w:r>
        <w:t xml:space="preserve">anni: il ribaltamento confronta quindi due popolazioni diverse, non il passaggio di vita</w:t>
      </w:r>
      <w:r>
        <w:t xml:space="preserve"> </w:t>
      </w:r>
      <w:r>
        <w:t xml:space="preserve">delle stesse ragazze. Il vantaggio femminile sullo studio, inoltre, è in parte meccanico:</w:t>
      </w:r>
      <w:r>
        <w:t xml:space="preserve"> </w:t>
      </w:r>
      <w:r>
        <w:t xml:space="preserve">più ragazze all’università, che è a Palermo.</w:t>
      </w:r>
    </w:p>
    <w:p>
      <w:pPr>
        <w:pStyle w:val="BodyText"/>
      </w:pPr>
      <w:r>
        <w:drawing>
          <wp:inline>
            <wp:extent cx="6108700" cy="3821862"/>
            <wp:effectExtent b="0" l="0" r="0" t="0"/>
            <wp:docPr descr="" title="" id="73" name="Picture"/>
            <a:graphic>
              <a:graphicData uri="http://schemas.openxmlformats.org/drawingml/2006/picture">
                <pic:pic>
                  <pic:nvPicPr>
                    <pic:cNvPr descr="/home/kiycoh/Documents/dev/datapolis-2026-hackathon/.docx-build/mob_fig02_ribaltamento.png" id="74" name="Picture"/>
                    <pic:cNvPicPr>
                      <a:picLocks noChangeArrowheads="1" noChangeAspect="1"/>
                    </pic:cNvPicPr>
                  </pic:nvPicPr>
                  <pic:blipFill>
                    <a:blip r:embed="rId72"/>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Il risultato si replica su una fonte diversa.</w:t>
      </w:r>
      <w:r>
        <w:t xml:space="preserve"> </w:t>
      </w:r>
      <w:r>
        <w:t xml:space="preserve">Sul censimento permanente 2018-2019, cioè</w:t>
      </w:r>
      <w:r>
        <w:t xml:space="preserve"> </w:t>
      </w:r>
      <w:r>
        <w:t xml:space="preserve">su un’altra rilevazione, con un altro metodo e sette anni dopo, lo stesso salto fra studio e</w:t>
      </w:r>
      <w:r>
        <w:t xml:space="preserve"> </w:t>
      </w:r>
      <w:r>
        <w:t xml:space="preserve">lavoro vale a Bagheria 11,3 e 10,9 punti. In Sicilia vale 5,6 e 5,9, in Italia 6,5 e 6,1.</w:t>
      </w:r>
      <w:r>
        <w:t xml:space="preserve"> </w:t>
      </w:r>
      <w:r>
        <w:t xml:space="preserve">Il salto è compatibile con la forbice della sezione 3.1 e viene da una terza tavola;</w:t>
      </w:r>
      <w:r>
        <w:t xml:space="preserve"> </w:t>
      </w:r>
      <w:r>
        <w:t xml:space="preserve">senza l’età, però, non colloca il passaggio nella vita delle stesse persone.</w:t>
      </w:r>
      <w:r>
        <w:t xml:space="preserve"> </w:t>
      </w:r>
      <w:r>
        <w:t xml:space="preserve">→</w:t>
      </w:r>
      <w:r>
        <w:t xml:space="preserve"> </w:t>
      </w:r>
      <w:r>
        <w:rPr>
          <w:rStyle w:val="VerbatimChar"/>
        </w:rPr>
        <w:t xml:space="preserve">genere_pendolarismo.csv</w:t>
      </w:r>
      <w:r>
        <w:t xml:space="preserve">, fig12</w:t>
      </w:r>
    </w:p>
    <w:p>
      <w:pPr>
        <w:pStyle w:val="BodyText"/>
      </w:pPr>
      <w:r>
        <w:drawing>
          <wp:inline>
            <wp:extent cx="6108700" cy="4043726"/>
            <wp:effectExtent b="0" l="0" r="0" t="0"/>
            <wp:docPr descr="" title="" id="76" name="Picture"/>
            <a:graphic>
              <a:graphicData uri="http://schemas.openxmlformats.org/drawingml/2006/picture">
                <pic:pic>
                  <pic:nvPicPr>
                    <pic:cNvPr descr="/home/kiycoh/Documents/dev/datapolis-2026-hackathon/.docx-build/fig12_pendolarismo.png" id="77" name="Picture"/>
                    <pic:cNvPicPr>
                      <a:picLocks noChangeArrowheads="1" noChangeAspect="1"/>
                    </pic:cNvPicPr>
                  </pic:nvPicPr>
                  <pic:blipFill>
                    <a:blip r:embed="rId75"/>
                    <a:stretch>
                      <a:fillRect/>
                    </a:stretch>
                  </pic:blipFill>
                  <pic:spPr bwMode="auto">
                    <a:xfrm>
                      <a:off x="0" y="0"/>
                      <a:ext cx="6108700" cy="4043726"/>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la tavola non ha l’età: sullo studio pesano i giovani, sul lavoro gli adulti fino a 64 anni, quindi i due pannelli confrontano popolazioni diverse e non il passaggio di vita delle stesse persone. 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8"/>
    <w:bookmarkStart w:id="82" w:name="X4f467b4dc8899b67bde8260de65820df1b73823"/>
    <w:p>
      <w:pPr>
        <w:pStyle w:val="Heading2"/>
      </w:pPr>
      <w:r>
        <w:t xml:space="preserve">5.3 «Bagheria si muove poco» è una lettura sbagliata di un numero giusto</w:t>
      </w:r>
    </w:p>
    <w:p>
      <w:pPr>
        <w:pStyle w:val="FirstParagraph"/>
      </w:pPr>
      <w:r>
        <w:t xml:space="preserve">A una prima lettura, gli indicatori 2011 dicono che Bagheria si muove poco: la mobilità</w:t>
      </w:r>
      <w:r>
        <w:t xml:space="preserve"> </w:t>
      </w:r>
      <w:r>
        <w:t xml:space="preserve">fuori comune (</w:t>
      </w:r>
      <w:r>
        <w:rPr>
          <w:rStyle w:val="VerbatimChar"/>
        </w:rPr>
        <w:t xml:space="preserve">M2</w:t>
      </w:r>
      <w:r>
        <w:t xml:space="preserve">) è al 25° percentile dei 390 comuni.</w:t>
      </w:r>
      <w:r>
        <w:t xml:space="preserve"> </w:t>
      </w:r>
      <w:r>
        <w:rPr>
          <w:b/>
          <w:bCs/>
        </w:rPr>
        <w:t xml:space="preserve">Il percentile è esatto, la</w:t>
      </w:r>
      <w:r>
        <w:rPr>
          <w:b/>
          <w:bCs/>
        </w:rPr>
        <w:t xml:space="preserve"> </w:t>
      </w:r>
      <w:r>
        <w:rPr>
          <w:b/>
          <w:bCs/>
        </w:rPr>
        <w:t xml:space="preserve">lettura no.</w:t>
      </w:r>
      <w:r>
        <w:t xml:space="preserve"> </w:t>
      </w:r>
      <w:r>
        <w:rPr>
          <w:rStyle w:val="VerbatimChar"/>
        </w:rPr>
        <w:t xml:space="preserve">M2</w:t>
      </w:r>
      <w:r>
        <w:t xml:space="preserve"> </w:t>
      </w:r>
      <w:r>
        <w:t xml:space="preserve">rapporta chi esce all’intera popolazione fino a 64 anni, quindi è basso</w:t>
      </w:r>
      <w:r>
        <w:t xml:space="preserve"> </w:t>
      </w:r>
      <w:r>
        <w:t xml:space="preserve">anche perché a Bagheria lavorano in pochi. Inoltre si va fuori comune per mancanza di</w:t>
      </w:r>
      <w:r>
        <w:t xml:space="preserve"> </w:t>
      </w:r>
      <w:r>
        <w:t xml:space="preserve">lavoro dentro, e Bagheria è il comune più grande della corona di Palermo. Conta 12.000</w:t>
      </w:r>
      <w:r>
        <w:t xml:space="preserve"> </w:t>
      </w:r>
      <w:r>
        <w:t xml:space="preserve">pendolari contro i 3.000 di Ficarazzi, che infatti manda fuori tre pendolari su quattro,</w:t>
      </w:r>
      <w:r>
        <w:t xml:space="preserve"> </w:t>
      </w:r>
      <w:r>
        <w:t xml:space="preserve">contro i due su cinque di Bagheria.</w:t>
      </w:r>
    </w:p>
    <w:p>
      <w:pPr>
        <w:pStyle w:val="BodyText"/>
      </w:pPr>
      <w:r>
        <w:t xml:space="preserve">Controllando per</w:t>
      </w:r>
      <w:r>
        <w:t xml:space="preserve"> </w:t>
      </w:r>
      <w:r>
        <w:rPr>
          <w:b/>
          <w:bCs/>
        </w:rPr>
        <w:t xml:space="preserve">distanza dal capoluogo e dimensione</w:t>
      </w:r>
      <w:r>
        <w:t xml:space="preserve">, due variabili geografiche e non</w:t>
      </w:r>
      <w:r>
        <w:t xml:space="preserve"> </w:t>
      </w:r>
      <w:r>
        <w:t xml:space="preserve">di comportamento, il residuo di Bagheria sulla quota di chi esce per lavoro nel 2021 è di</w:t>
      </w:r>
      <w:r>
        <w:t xml:space="preserve"> </w:t>
      </w:r>
      <w:r>
        <w:rPr>
          <w:b/>
          <w:bCs/>
        </w:rPr>
        <w:t xml:space="preserve">−1,9 punti</w:t>
      </w:r>
      <w:r>
        <w:t xml:space="preserve"> </w:t>
      </w:r>
      <w:r>
        <w:t xml:space="preserve">(z = −0,13). Fra i 381 comuni non capoluogo il percentile passa dal 36°</w:t>
      </w:r>
      <w:r>
        <w:t xml:space="preserve"> </w:t>
      </w:r>
      <w:r>
        <w:t xml:space="preserve">grezzo al</w:t>
      </w:r>
      <w:r>
        <w:t xml:space="preserve"> </w:t>
      </w:r>
      <w:r>
        <w:rPr>
          <w:b/>
          <w:bCs/>
        </w:rPr>
        <w:t xml:space="preserve">48°</w:t>
      </w:r>
      <w:r>
        <w:t xml:space="preserve">. Bagheria si muove esattamente quanto ci si aspetta da un comune della</w:t>
      </w:r>
      <w:r>
        <w:t xml:space="preserve"> </w:t>
      </w:r>
      <w:r>
        <w:t xml:space="preserve">sua taglia a quella distanza. → sezione 3 di</w:t>
      </w:r>
      <w:r>
        <w:t xml:space="preserve"> </w:t>
      </w:r>
      <w:r>
        <w:rPr>
          <w:rStyle w:val="VerbatimChar"/>
        </w:rPr>
        <w:t xml:space="preserve">notebooks/mobilita.ipynb</w:t>
      </w:r>
      <w:r>
        <w:t xml:space="preserve">,</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Lo stesso vale per la mobilità studentesca</w:t>
      </w:r>
      <w:r>
        <w:t xml:space="preserve"> </w:t>
      </w:r>
      <w:r>
        <w:rPr>
          <w:rStyle w:val="VerbatimChar"/>
        </w:rPr>
        <w:t xml:space="preserve">M4</w:t>
      </w:r>
      <w:r>
        <w:t xml:space="preserve">, al 18° percentile. Già la versione</w:t>
      </w:r>
      <w:r>
        <w:t xml:space="preserve"> </w:t>
      </w:r>
      <w:r>
        <w:t xml:space="preserve">precedente dell’analisi segnalava che non è di per sé un dato negativo: l’indicatore è un</w:t>
      </w:r>
      <w:r>
        <w:t xml:space="preserve"> </w:t>
      </w:r>
      <w:r>
        <w:t xml:space="preserve">rapporto fuori/dentro comune, e Bagheria ha scuole proprie (3 sedi tecniche, anagrafe MIUR). Il</w:t>
      </w:r>
      <w:r>
        <w:t xml:space="preserve"> </w:t>
      </w:r>
      <w:r>
        <w:t xml:space="preserve">modello lo conferma, con un residuo di −0,8 punti. →</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80" name="Picture"/>
            <a:graphic>
              <a:graphicData uri="http://schemas.openxmlformats.org/drawingml/2006/picture">
                <pic:pic>
                  <pic:nvPicPr>
                    <pic:cNvPr descr="/home/kiycoh/Documents/dev/datapolis-2026-hackathon/.docx-build/mob_fig04_taglia_distanza.png" id="81" name="Picture"/>
                    <pic:cNvPicPr>
                      <a:picLocks noChangeArrowheads="1" noChangeAspect="1"/>
                    </pic:cNvPicPr>
                  </pic:nvPicPr>
                  <pic:blipFill>
                    <a:blip r:embed="rId79"/>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2"/>
    <w:bookmarkStart w:id="86" w:name="X342a6466fdd0524e63ffaa8cf01fcef58795e44"/>
    <w:p>
      <w:pPr>
        <w:pStyle w:val="Heading2"/>
      </w:pPr>
      <w:r>
        <w:t xml:space="preserve">5.4 Il treno è il canale femminile, e il vincolo non è l’offerta di trasporto</w:t>
      </w:r>
    </w:p>
    <w:p>
      <w:pPr>
        <w:pStyle w:val="FirstParagraph"/>
      </w:pPr>
      <w:r>
        <w:t xml:space="preserve">Mezzo, orario e durata sono rilevati su campione nei comuni sopra i 20.000 abitanti. Sono</w:t>
      </w:r>
      <w:r>
        <w:t xml:space="preserve"> </w:t>
      </w:r>
      <w:r>
        <w:t xml:space="preserve">quindi stime, e per questo stanno in una tabella separata dai conteggi esaustivi. La loro</w:t>
      </w:r>
      <w:r>
        <w:t xml:space="preserve"> </w:t>
      </w:r>
      <w:r>
        <w:t xml:space="preserve">precisione è misurata, non assunta: per gli stessi strati esistono sia il conteggio</w:t>
      </w:r>
      <w:r>
        <w:t xml:space="preserve"> </w:t>
      </w:r>
      <w:r>
        <w:t xml:space="preserve">esaustivo sia la stima. L’errore relativo è dello</w:t>
      </w:r>
      <w:r>
        <w:t xml:space="preserve"> </w:t>
      </w:r>
      <w:r>
        <w:rPr>
          <w:b/>
          <w:bCs/>
        </w:rPr>
        <w:t xml:space="preserve">0,9%</w:t>
      </w:r>
      <w:r>
        <w:t xml:space="preserve"> </w:t>
      </w:r>
      <w:r>
        <w:t xml:space="preserve">in mediana e arriva al massimo</w:t>
      </w:r>
      <w:r>
        <w:t xml:space="preserve"> </w:t>
      </w:r>
      <w:r>
        <w:t xml:space="preserve">all’8,6% sullo strato più piccolo. Le quote qui sotto sono inoltre</w:t>
      </w:r>
      <w:r>
        <w:t xml:space="preserve"> </w:t>
      </w:r>
      <w:r>
        <w:rPr>
          <w:b/>
          <w:bCs/>
        </w:rPr>
        <w:t xml:space="preserve">calibrate sui margini</w:t>
      </w:r>
      <w:r>
        <w:rPr>
          <w:b/>
          <w:bCs/>
        </w:rPr>
        <w:t xml:space="preserve"> </w:t>
      </w:r>
      <w:r>
        <w:rPr>
          <w:b/>
          <w:bCs/>
        </w:rPr>
        <w:t xml:space="preserve">esatti</w:t>
      </w:r>
      <w:r>
        <w:t xml:space="preserve"> </w:t>
      </w:r>
      <w:r>
        <w:t xml:space="preserve">dei conteggi esaustivi. La calibrazione non cambia la conclusione, la rafforza: lo</w:t>
      </w:r>
      <w:r>
        <w:t xml:space="preserve"> </w:t>
      </w:r>
      <w:r>
        <w:t xml:space="preserve">scarto di genere sul treno passa da 14,5 a 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Le donne raggiungono Palermo</w:t>
      </w:r>
      <w:r>
        <w:t xml:space="preserve"> </w:t>
      </w:r>
      <w:r>
        <w:rPr>
          <w:b/>
          <w:bCs/>
        </w:rPr>
        <w:t xml:space="preserve">sul mezzo collettivo</w:t>
      </w:r>
      <w:r>
        <w:t xml:space="preserve">, gli uomini in auto. Fra chi va a</w:t>
      </w:r>
      <w:r>
        <w:t xml:space="preserve"> </w:t>
      </w:r>
      <w:r>
        <w:t xml:space="preserve">lavorare a Palermo, a 17 chilometri, le donne partono più tardi: esce prima delle 7:15 il</w:t>
      </w:r>
      <w:r>
        <w:t xml:space="preserve"> </w:t>
      </w:r>
      <w:r>
        <w:t xml:space="preserve">54,4% di loro, contro il 65,0% degli uomini. Fra tutti quelli che escono dal comune, le</w:t>
      </w:r>
      <w:r>
        <w:t xml:space="preserve"> </w:t>
      </w:r>
      <w:r>
        <w:t xml:space="preserve">donne viaggiano anche più a lungo: 31-60 minuti per il 43,8%, contro il 36,1% degli</w:t>
      </w:r>
      <w:r>
        <w:t xml:space="preserve"> </w:t>
      </w:r>
      <w:r>
        <w:t xml:space="preserve">uomini. → cella «fascia oraria di uscita» della sezione 5 di</w:t>
      </w:r>
      <w:r>
        <w:t xml:space="preserve"> </w:t>
      </w:r>
      <w:r>
        <w:rPr>
          <w:rStyle w:val="VerbatimChar"/>
        </w:rPr>
        <w:t xml:space="preserve">notebooks/mobilita.ipynb</w:t>
      </w:r>
    </w:p>
    <w:p>
      <w:pPr>
        <w:pStyle w:val="BodyText"/>
      </w:pPr>
      <w:r>
        <w:rPr>
          <w:b/>
          <w:bCs/>
        </w:rPr>
        <w:t xml:space="preserve">Il treno di Bagheria, però, non è sottoutilizzato: è già l’asset di mobilità più</w:t>
      </w:r>
      <w:r>
        <w:rPr>
          <w:b/>
          <w:bCs/>
        </w:rPr>
        <w:t xml:space="preserve"> </w:t>
      </w:r>
      <w:r>
        <w:rPr>
          <w:b/>
          <w:bCs/>
        </w:rPr>
        <w:t xml:space="preserve">distintivo del comune.</w:t>
      </w:r>
      <w:r>
        <w:t xml:space="preserve"> </w:t>
      </w:r>
      <w:r>
        <w:t xml:space="preserve">Bagheria è al 98° percentile siciliano per quota di chi esce che lo</w:t>
      </w:r>
      <w:r>
        <w:t xml:space="preserve"> </w:t>
      </w:r>
      <w:r>
        <w:t xml:space="preserve">usa (97° a parità di distanza e taglia). Aumentarne l’uso non è la leva che manca.</w:t>
      </w:r>
    </w:p>
    <w:p>
      <w:pPr>
        <w:pStyle w:val="BodyText"/>
      </w:pPr>
      <w:r>
        <w:drawing>
          <wp:inline>
            <wp:extent cx="6108700" cy="4448333"/>
            <wp:effectExtent b="0" l="0" r="0" t="0"/>
            <wp:docPr descr="" title="" id="84" name="Picture"/>
            <a:graphic>
              <a:graphicData uri="http://schemas.openxmlformats.org/drawingml/2006/picture">
                <pic:pic>
                  <pic:nvPicPr>
                    <pic:cNvPr descr="/home/kiycoh/Documents/dev/datapolis-2026-hackathon/.docx-build/mob_fig03_treno_genere.png" id="85" name="Picture"/>
                    <pic:cNvPicPr>
                      <a:picLocks noChangeArrowheads="1" noChangeAspect="1"/>
                    </pic:cNvPicPr>
                  </pic:nvPicPr>
                  <pic:blipFill>
                    <a:blip r:embed="rId83"/>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è che</w:t>
      </w:r>
      <w:r>
        <w:t xml:space="preserve"> </w:t>
      </w:r>
      <w:r>
        <w:t xml:space="preserve">dove il mezzo collettivo pesa di più il divario di genere sia più piccolo. Sui 381 comuni</w:t>
      </w:r>
      <w:r>
        <w:t xml:space="preserve"> </w:t>
      </w:r>
      <w:r>
        <w:t xml:space="preserve">non capoluogo l’ipotesi</w:t>
      </w:r>
      <w:r>
        <w:t xml:space="preserve"> </w:t>
      </w:r>
      <w:r>
        <w:rPr>
          <w:b/>
          <w:bCs/>
        </w:rPr>
        <w:t xml:space="preserve">non trova sostegno</w:t>
      </w:r>
      <w:r>
        <w:t xml:space="preserve">. Fra quota d’uso del mezzo collettivo e</w:t>
      </w:r>
      <w:r>
        <w:t xml:space="preserve"> </w:t>
      </w:r>
      <w:r>
        <w:t xml:space="preserve">divario di genere il rho di Spearman è −0,10 (p = 0,06), cioè di segno opposto</w:t>
      </w:r>
      <w:r>
        <w:t xml:space="preserve"> </w:t>
      </w:r>
      <w:r>
        <w:t xml:space="preserve">all’ipotesi, e il quartile con più mezzo collettivo ha il divario più ampio. Sul treno</w:t>
      </w:r>
      <w:r>
        <w:t xml:space="preserve"> </w:t>
      </w:r>
      <w:r>
        <w:t xml:space="preserve">l’associazione è nulla (p = 0,29). Coerentemente, l’ultimo miglio a Palermo non è un collo</w:t>
      </w:r>
      <w:r>
        <w:t xml:space="preserve"> </w:t>
      </w:r>
      <w:r>
        <w:t xml:space="preserve">di bottiglia. Secondo il GTFS di AMAT, la terza fonte indicata dal bando, le fermate</w:t>
      </w:r>
      <w:r>
        <w:t xml:space="preserve"> </w:t>
      </w:r>
      <w:r>
        <w:t xml:space="preserve">«Stazione Centrale» hanno 18 linee e ~125-130 passaggi l’ora dalle 7 alle 21.</w:t>
      </w:r>
    </w:p>
    <w:p>
      <w:pPr>
        <w:pStyle w:val="BlockText"/>
      </w:pPr>
      <w:r>
        <w:rPr>
          <w:b/>
          <w:bCs/>
        </w:rPr>
        <w:t xml:space="preserve">Conseguenza di progettazione.</w:t>
      </w:r>
      <w:r>
        <w:t xml:space="preserve"> </w:t>
      </w:r>
      <w:r>
        <w:t xml:space="preserve">L’assenza di un’associazione fra comuni non esclude che</w:t>
      </w:r>
      <w:r>
        <w:t xml:space="preserve"> </w:t>
      </w:r>
      <w:r>
        <w:t xml:space="preserve">l’orario o il mezzo pesino sulla singola persona, ma toglie la base a un intervento</w:t>
      </w:r>
      <w:r>
        <w:t xml:space="preserve"> </w:t>
      </w:r>
      <w:r>
        <w:t xml:space="preserve">infrastrutturale. La proposta quindi non finanzia trasporto. Verifica la raggiungibilità</w:t>
      </w:r>
      <w:r>
        <w:t xml:space="preserve"> </w:t>
      </w:r>
      <w:r>
        <w:t xml:space="preserve">caso per caso (sezione 7.6, F2) e agisce sul passaggio studio→lavoro, dove il divario si</w:t>
      </w:r>
      <w:r>
        <w:t xml:space="preserve"> </w:t>
      </w:r>
      <w:r>
        <w:t xml:space="preserve">apre: è la finestra B di Ponte 19 (sezione 7).</w:t>
      </w:r>
    </w:p>
    <w:bookmarkEnd w:id="86"/>
    <w:bookmarkStart w:id="87"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cioè al semplice</w:t>
      </w:r>
      <w:r>
        <w:t xml:space="preserve"> </w:t>
      </w:r>
      <w:r>
        <w:t xml:space="preserve">comportamento regionale e non alla parità, vale</w:t>
      </w:r>
      <w:r>
        <w:t xml:space="preserve"> </w:t>
      </w:r>
      <w:r>
        <w:rPr>
          <w:b/>
          <w:bCs/>
        </w:rPr>
        <w:t xml:space="preserve">+279 donne</w:t>
      </w:r>
      <w:r>
        <w:t xml:space="preserve"> </w:t>
      </w:r>
      <w:r>
        <w:t xml:space="preserve">che lavorano fuori comune.</w:t>
      </w:r>
      <w:r>
        <w:t xml:space="preserve"> </w:t>
      </w:r>
      <w:r>
        <w:t xml:space="preserve">La parità piena con gli uomini di Bagheria ne varrebbe 449. Il conto è sul 2011 e su tutte</w:t>
      </w:r>
      <w:r>
        <w:t xml:space="preserve"> </w:t>
      </w:r>
      <w:r>
        <w:t xml:space="preserve">le età: dà la scala del fenomeno, non un obiettivo per la fascia giovanile.</w:t>
      </w:r>
      <w:r>
        <w:t xml:space="preserve"> </w:t>
      </w:r>
      <w:r>
        <w:t xml:space="preserve">→</w:t>
      </w:r>
      <w:r>
        <w:t xml:space="preserve"> </w:t>
      </w:r>
      <w:r>
        <w:rPr>
          <w:rStyle w:val="VerbatimChar"/>
        </w:rPr>
        <w:t xml:space="preserve">mob_sintesi.csv</w:t>
      </w:r>
    </w:p>
    <w:p>
      <w:pPr>
        <w:pStyle w:val="BodyText"/>
      </w:pPr>
      <w:r>
        <w:rPr>
          <w:b/>
          <w:bCs/>
        </w:rPr>
        <w:t xml:space="preserve">Le misure sul pendolarismo hanno cinque limiti.</w:t>
      </w:r>
    </w:p>
    <w:p>
      <w:pPr>
        <w:pStyle w:val="Compact"/>
        <w:numPr>
          <w:ilvl w:val="0"/>
          <w:numId w:val="1010"/>
        </w:numPr>
      </w:pPr>
      <w:r>
        <w:rPr>
          <w:b/>
          <w:bCs/>
        </w:rPr>
        <w:t xml:space="preserve">Nessuna età.</w:t>
      </w:r>
      <w:r>
        <w:t xml:space="preserve"> </w:t>
      </w:r>
      <w:r>
        <w:t xml:space="preserve">Né la matrice né la tavola del censimento permanente hanno la dimensione</w:t>
      </w:r>
      <w:r>
        <w:t xml:space="preserve"> </w:t>
      </w:r>
      <w:r>
        <w:t xml:space="preserve">età. È verificato:</w:t>
      </w:r>
      <w:r>
        <w:t xml:space="preserve"> </w:t>
      </w:r>
      <w:r>
        <w:rPr>
          <w:rStyle w:val="VerbatimChar"/>
        </w:rPr>
        <w:t xml:space="preserve">AGE_NOCLASS</w:t>
      </w:r>
      <w:r>
        <w:t xml:space="preserve"> </w:t>
      </w:r>
      <w:r>
        <w:t xml:space="preserve">è servita solo come</w:t>
      </w:r>
      <w:r>
        <w:t xml:space="preserve"> </w:t>
      </w:r>
      <w:r>
        <w:rPr>
          <w:rStyle w:val="VerbatimChar"/>
        </w:rPr>
        <w:t xml:space="preserve">TOTAL</w:t>
      </w:r>
      <w:r>
        <w:t xml:space="preserve">, anche a livello</w:t>
      </w:r>
      <w:r>
        <w:t xml:space="preserve"> </w:t>
      </w:r>
      <w:r>
        <w:t xml:space="preserve">nazionale. Il target 15-34 del bando</w:t>
      </w:r>
      <w:r>
        <w:t xml:space="preserve"> </w:t>
      </w:r>
      <w:r>
        <w:rPr>
          <w:b/>
          <w:bCs/>
        </w:rPr>
        <w:t xml:space="preserve">non è isolabile sul pendolarismo</w:t>
      </w:r>
      <w:r>
        <w:t xml:space="preserve">. Il motivo</w:t>
      </w:r>
      <w:r>
        <w:t xml:space="preserve"> </w:t>
      </w:r>
      <w:r>
        <w:t xml:space="preserve">dello spostamento dà un’informazione d’età parziale, da usare come tale: chi esce per</w:t>
      </w:r>
      <w:r>
        <w:t xml:space="preserve"> </w:t>
      </w:r>
      <w:r>
        <w:t xml:space="preserve">studio frequenta quasi solo la secondaria superiore o l’università, perché i cicli</w:t>
      </w:r>
      <w:r>
        <w:t xml:space="preserve"> </w:t>
      </w:r>
      <w:r>
        <w:t xml:space="preserve">precedenti a Bagheria ci sono tutti.</w:t>
      </w:r>
    </w:p>
    <w:p>
      <w:pPr>
        <w:pStyle w:val="Compact"/>
        <w:numPr>
          <w:ilvl w:val="0"/>
          <w:numId w:val="1010"/>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 2021 chi si reca al lavoro</w:t>
      </w:r>
      <w:r>
        <w:t xml:space="preserve"> </w:t>
      </w:r>
      <w:r>
        <w:rPr>
          <w:i/>
          <w:iCs/>
        </w:rPr>
        <w:t xml:space="preserve">almeno tre giorni a settimana</w:t>
      </w:r>
      <w:r>
        <w:t xml:space="preserve">. Il 2021,</w:t>
      </w:r>
      <w:r>
        <w:t xml:space="preserve"> </w:t>
      </w:r>
      <w:r>
        <w:t xml:space="preserve">inoltre, copre il solo lavoro e non ha il sesso. Si confronta quindi la composizione</w:t>
      </w:r>
      <w:r>
        <w:t xml:space="preserve"> </w:t>
      </w:r>
      <w:r>
        <w:t xml:space="preserve">(dove vanno, su cento che escono), mai il livello. La colonna</w:t>
      </w:r>
      <w:r>
        <w:t xml:space="preserve"> </w:t>
      </w:r>
      <w:r>
        <w:rPr>
          <w:rStyle w:val="VerbatimChar"/>
        </w:rPr>
        <w:t xml:space="preserve">definizione</w:t>
      </w:r>
      <w:r>
        <w:t xml:space="preserve"> </w:t>
      </w:r>
      <w:r>
        <w:t xml:space="preserve">della</w:t>
      </w:r>
      <w:r>
        <w:t xml:space="preserve"> </w:t>
      </w:r>
      <w:r>
        <w:t xml:space="preserve">tabella riporta la definizione riga per riga.</w:t>
      </w:r>
    </w:p>
    <w:p>
      <w:pPr>
        <w:pStyle w:val="Compact"/>
        <w:numPr>
          <w:ilvl w:val="0"/>
          <w:numId w:val="1010"/>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che dipenda dal carico di cura resta</w:t>
      </w:r>
      <w:r>
        <w:t xml:space="preserve"> </w:t>
      </w:r>
      <w:r>
        <w:t xml:space="preserve">un’ipotesi.</w:t>
      </w:r>
    </w:p>
    <w:p>
      <w:pPr>
        <w:pStyle w:val="Compact"/>
        <w:numPr>
          <w:ilvl w:val="0"/>
          <w:numId w:val="1010"/>
        </w:numPr>
      </w:pPr>
      <w:r>
        <w:rPr>
          <w:b/>
          <w:bCs/>
        </w:rPr>
        <w:t xml:space="preserve">Correlazioni ecologiche.</w:t>
      </w:r>
      <w:r>
        <w:t xml:space="preserve"> </w:t>
      </w:r>
      <w:r>
        <w:t xml:space="preserve">Sui 390 comuni la mobilità fuori comune correla con</w:t>
      </w:r>
      <w:r>
        <w:t xml:space="preserve"> </w:t>
      </w:r>
      <w:r>
        <w:t xml:space="preserve">l’occupazione femminile (Spearman +0,32): il dato orienta l’ipotesi, non la dimostra.</w:t>
      </w:r>
      <w:r>
        <w:t xml:space="preserve"> </w:t>
      </w:r>
      <w:r>
        <w:t xml:space="preserve">L’</w:t>
      </w:r>
      <w:r>
        <w:rPr>
          <w:rStyle w:val="VerbatimChar"/>
        </w:rPr>
        <w:t xml:space="preserve">R²</w:t>
      </w:r>
      <w:r>
        <w:t xml:space="preserve"> </w:t>
      </w:r>
      <w:r>
        <w:t xml:space="preserve">dei modelli sui divari di genere, inoltre, è vicino a zero: lì «atteso» vuol dire</w:t>
      </w:r>
      <w:r>
        <w:t xml:space="preserve"> </w:t>
      </w:r>
      <w:r>
        <w:t xml:space="preserve">poco più di «media siciliana». →</w:t>
      </w:r>
      <w:r>
        <w:t xml:space="preserve"> </w:t>
      </w:r>
      <w:r>
        <w:rPr>
          <w:rStyle w:val="VerbatimChar"/>
        </w:rPr>
        <w:t xml:space="preserve">genere_mobilita_2011.csv</w:t>
      </w:r>
    </w:p>
    <w:p>
      <w:pPr>
        <w:pStyle w:val="Compact"/>
        <w:numPr>
          <w:ilvl w:val="0"/>
          <w:numId w:val="1010"/>
        </w:numPr>
      </w:pPr>
      <w:r>
        <w:rPr>
          <w:b/>
          <w:bCs/>
        </w:rPr>
        <w:t xml:space="preserve">Palermo non è un termine di paragone su questa misura.</w:t>
      </w:r>
      <w:r>
        <w:t xml:space="preserve"> </w:t>
      </w:r>
      <w:r>
        <w:t xml:space="preserve">È un comune grande, e per</w:t>
      </w:r>
      <w:r>
        <w:t xml:space="preserve"> </w:t>
      </w:r>
      <w:r>
        <w:t xml:space="preserve">costruzione compare con valori bassissimi.</w:t>
      </w:r>
    </w:p>
    <w:p>
      <w:r>
        <w:pict>
          <v:rect style="width:0;height:1.5pt" o:hralign="center" o:hrstd="t" o:hr="t"/>
        </w:pict>
      </w:r>
    </w:p>
    <w:bookmarkEnd w:id="87"/>
    <w:bookmarkEnd w:id="88"/>
    <w:bookmarkStart w:id="95" w:name="Xc9f49ca3419550b4ab1098371d297a065d00c1e"/>
    <w:p>
      <w:pPr>
        <w:pStyle w:val="Heading1"/>
      </w:pPr>
      <w:r>
        <w:t xml:space="preserve">6. Il denominatore si muove: la platea giovane si restringe</w:t>
      </w:r>
    </w:p>
    <w:p>
      <w:pPr>
        <w:pStyle w:val="FirstParagraph"/>
      </w:pPr>
      <w:r>
        <w:t xml:space="preserve">La «fuga di talenti» del bando si misura con la ritenzione di coorte (sezione 3.3). Questa</w:t>
      </w:r>
      <w:r>
        <w:t xml:space="preserve"> </w:t>
      </w:r>
      <w:r>
        <w:t xml:space="preserve">sezione guarda a un’altra conseguenza, che vale per qualunque obiettivo: la platea giovane</w:t>
      </w:r>
      <w:r>
        <w:t xml:space="preserve"> </w:t>
      </w:r>
      <w:r>
        <w:t xml:space="preserve">si restringe, e con essa il denominatore di ogni tasso di questa relazione.</w:t>
      </w:r>
    </w:p>
    <w:p>
      <w:pPr>
        <w:pStyle w:val="BodyText"/>
      </w:pPr>
      <w:r>
        <w:t xml:space="preserve">La popolazione 15-34 passa da</w:t>
      </w:r>
      <w:r>
        <w:t xml:space="preserve"> </w:t>
      </w:r>
      <w:r>
        <w:rPr>
          <w:b/>
          <w:bCs/>
        </w:rPr>
        <w:t xml:space="preserve">12.174 (2021) a 11.861 (2024)</w:t>
      </w:r>
      <w:r>
        <w:t xml:space="preserve">: −313 persone, −2,6% in</w:t>
      </w:r>
      <w:r>
        <w:t xml:space="preserve"> </w:t>
      </w:r>
      <w:r>
        <w:t xml:space="preserve">tre anni. Ma 266 di quelle 313 persone sono</w:t>
      </w:r>
      <w:r>
        <w:t xml:space="preserve"> </w:t>
      </w:r>
      <w:r>
        <w:rPr>
          <w:b/>
          <w:bCs/>
        </w:rPr>
        <w:t xml:space="preserve">ricambio d’età</w:t>
      </w:r>
      <w:r>
        <w:t xml:space="preserve">: le coorti che compiono 15</w:t>
      </w:r>
      <w:r>
        <w:t xml:space="preserve"> </w:t>
      </w:r>
      <w:r>
        <w:t xml:space="preserve">anni sono più piccole di quelle che superano i 34. Dentro le stesse coorti il saldo è di</w:t>
      </w:r>
      <w:r>
        <w:t xml:space="preserve"> </w:t>
      </w:r>
      <w:r>
        <w:t xml:space="preserve">−47 persone, −0,39%, come in Sicilia (−0,38%). Sull’insieme dei 15-34, quindi, Bagheria</w:t>
      </w:r>
      <w:r>
        <w:t xml:space="preserve"> </w:t>
      </w:r>
      <w:r>
        <w:t xml:space="preserve">non perde più della regione: la perdita si concentra all’uscita dal percorso formativo</w:t>
      </w:r>
      <w:r>
        <w:t xml:space="preserve"> </w:t>
      </w:r>
      <w:r>
        <w:t xml:space="preserve">(sezione 3.3). →</w:t>
      </w:r>
      <w:r>
        <w:t xml:space="preserve"> </w:t>
      </w:r>
      <w:r>
        <w:rPr>
          <w:rStyle w:val="VerbatimChar"/>
        </w:rPr>
        <w:t xml:space="preserve">analisi_popolazione_giovane.csv</w:t>
      </w:r>
      <w:r>
        <w:t xml:space="preserve">,</w:t>
      </w:r>
      <w:r>
        <w:t xml:space="preserve"> </w:t>
      </w:r>
      <w:r>
        <w:rPr>
          <w:rStyle w:val="VerbatimChar"/>
        </w:rPr>
        <w:t xml:space="preserve">genere_stock_coorti.csv</w:t>
      </w:r>
    </w:p>
    <w:p>
      <w:pPr>
        <w:pStyle w:val="BodyText"/>
      </w:pPr>
      <w:r>
        <w:t xml:space="preserve">Il ricambio dall’estero è debole: gli stranieri sono l’</w:t>
      </w:r>
      <w:r>
        <w:rPr>
          <w:b/>
          <w:bCs/>
        </w:rPr>
        <w:t xml:space="preserve">1,6% del 15-34</w:t>
      </w:r>
      <w:r>
        <w:t xml:space="preserve"> </w:t>
      </w:r>
      <w:r>
        <w:t xml:space="preserve">(195 persone),</w:t>
      </w:r>
      <w:r>
        <w:t xml:space="preserve"> </w:t>
      </w:r>
      <w:r>
        <w:t xml:space="preserve">contro il 5,1% a Palermo, il 6,4% in Sicilia e il 12,4% in Italia. →</w:t>
      </w:r>
      <w:r>
        <w:t xml:space="preserve"> </w:t>
      </w:r>
      <w:r>
        <w:rPr>
          <w:rStyle w:val="VerbatimChar"/>
        </w:rPr>
        <w:t xml:space="preserve">genere_stranieri.csv</w:t>
      </w:r>
    </w:p>
    <w:p>
      <w:pPr>
        <w:pStyle w:val="BodyText"/>
      </w:pPr>
      <w:r>
        <w:drawing>
          <wp:inline>
            <wp:extent cx="6108700" cy="3772133"/>
            <wp:effectExtent b="0" l="0" r="0" t="0"/>
            <wp:docPr descr="" title="" id="90" name="Picture"/>
            <a:graphic>
              <a:graphicData uri="http://schemas.openxmlformats.org/drawingml/2006/picture">
                <pic:pic>
                  <pic:nvPicPr>
                    <pic:cNvPr descr="/home/kiycoh/Documents/dev/datapolis-2026-hackathon/.docx-build/edu_fig08_popolazione.png" id="91" name="Picture"/>
                    <pic:cNvPicPr>
                      <a:picLocks noChangeArrowheads="1" noChangeAspect="1"/>
                    </pic:cNvPicPr>
                  </pic:nvPicPr>
                  <pic:blipFill>
                    <a:blip r:embed="rId89"/>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BodyText"/>
      </w:pPr>
      <w:r>
        <w:t xml:space="preserve">Chi avrà 15-24 anni nel 2029 e nel 2034</w:t>
      </w:r>
      <w:r>
        <w:t xml:space="preserve"> </w:t>
      </w:r>
      <w:r>
        <w:rPr>
          <w:b/>
          <w:bCs/>
        </w:rPr>
        <w:t xml:space="preserve">è già nato</w:t>
      </w:r>
      <w:r>
        <w:t xml:space="preserve">: la platea futura si conta oggi sui</w:t>
      </w:r>
      <w:r>
        <w:t xml:space="preserve"> </w:t>
      </w:r>
      <w:r>
        <w:t xml:space="preserve">residenti di 10-19 e 5-14 anni. Non è una proiezione demografica, ma il conto di chi è già</w:t>
      </w:r>
      <w:r>
        <w:t xml:space="preserve"> </w:t>
      </w:r>
      <w:r>
        <w:t xml:space="preserve">residente a migrazioni nulle; le partenze e gli arrivi dei prossimi anni lo sposteranno. Le</w:t>
      </w:r>
      <w:r>
        <w:t xml:space="preserve"> </w:t>
      </w:r>
      <w:r>
        <w:t xml:space="preserve">ragazze passano da 2.882 (2024) a 2.651 (2029, −8,0%) e a</w:t>
      </w:r>
      <w:r>
        <w:t xml:space="preserve"> </w:t>
      </w:r>
      <w:r>
        <w:rPr>
          <w:b/>
          <w:bCs/>
        </w:rPr>
        <w:t xml:space="preserve">2.435 (2034, −15,5%)</w:t>
      </w:r>
      <w:r>
        <w:t xml:space="preserve">; i</w:t>
      </w:r>
      <w:r>
        <w:t xml:space="preserve"> </w:t>
      </w:r>
      <w:r>
        <w:t xml:space="preserve">ragazzi calano del 2,5% e del 5,8%. Nei territori di confronto il calo è simmetrico fra i</w:t>
      </w:r>
      <w:r>
        <w:t xml:space="preserve"> </w:t>
      </w:r>
      <w:r>
        <w:t xml:space="preserve">generi, a Bagheria no. →</w:t>
      </w:r>
      <w:r>
        <w:t xml:space="preserve"> </w:t>
      </w:r>
      <w:r>
        <w:rPr>
          <w:rStyle w:val="VerbatimChar"/>
        </w:rPr>
        <w:t xml:space="preserve">genere_platea.csv</w:t>
      </w:r>
    </w:p>
    <w:p>
      <w:pPr>
        <w:pStyle w:val="BodyText"/>
      </w:pPr>
      <w:r>
        <w:rPr>
          <w:b/>
          <w:bCs/>
        </w:rPr>
        <w:t xml:space="preserve">Cautela.</w:t>
      </w:r>
      <w:r>
        <w:t xml:space="preserve"> </w:t>
      </w:r>
      <w:r>
        <w:t xml:space="preserve">L’asimmetria nasce da una sex ratio 5-14 anomala: 117 maschi per 100 femmine, contro</w:t>
      </w:r>
      <w:r>
        <w:t xml:space="preserve"> </w:t>
      </w:r>
      <w:r>
        <w:t xml:space="preserve">104-106 dei benchmark. Il valore è in salita dal 2011 ed è identico su due tavole</w:t>
      </w:r>
      <w:r>
        <w:t xml:space="preserve"> </w:t>
      </w:r>
      <w:r>
        <w:t xml:space="preserve">indipendenti. Il meccanismo resta aperto, e il dato si cita solo insieme al suo audit.</w:t>
      </w:r>
      <w:r>
        <w:t xml:space="preserve"> </w:t>
      </w:r>
      <w:r>
        <w:t xml:space="preserve">→</w:t>
      </w:r>
      <w:r>
        <w:t xml:space="preserve"> </w:t>
      </w:r>
      <w:r>
        <w:rPr>
          <w:rStyle w:val="VerbatimChar"/>
        </w:rPr>
        <w:t xml:space="preserve">genere_sex_ratio_5_14.csv</w:t>
      </w:r>
    </w:p>
    <w:p>
      <w:pPr>
        <w:pStyle w:val="BodyText"/>
      </w:pPr>
      <w:r>
        <w:t xml:space="preserve">La conseguenza per qualunque intervento è aritmetica, ed è il secondo pilastro della</w:t>
      </w:r>
      <w:r>
        <w:t xml:space="preserve"> </w:t>
      </w:r>
      <w:r>
        <w:t xml:space="preserve">proposta. Al tasso obiettivo di Palermo (9,59%), l’equivalente di «+40 occupate» misurato</w:t>
      </w:r>
      <w:r>
        <w:t xml:space="preserve"> </w:t>
      </w:r>
      <w:r>
        <w:t xml:space="preserve">sulla platea di ciascun anno vale</w:t>
      </w:r>
      <w:r>
        <w:t xml:space="preserve"> </w:t>
      </w:r>
      <w:r>
        <w:rPr>
          <w:b/>
          <w:bCs/>
        </w:rPr>
        <w:t xml:space="preserve">+18 nel 2029 e −2 nel 2034</w:t>
      </w:r>
      <w:r>
        <w:t xml:space="preserve"> </w:t>
      </w:r>
      <w:r>
        <w:t xml:space="preserve">(lordo +40,4; attrito</w:t>
      </w:r>
      <w:r>
        <w:t xml:space="preserve"> </w:t>
      </w:r>
      <w:r>
        <w:t xml:space="preserve">demografico −22,2 e −42,9). Un obiettivo scritto in teste si annulla da solo, senza che</w:t>
      </w:r>
      <w:r>
        <w:t xml:space="preserve"> </w:t>
      </w:r>
      <w:r>
        <w:t xml:space="preserve">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pPr>
        <w:pStyle w:val="BodyText"/>
      </w:pPr>
      <w:r>
        <w:drawing>
          <wp:inline>
            <wp:extent cx="6108700" cy="4911712"/>
            <wp:effectExtent b="0" l="0" r="0" t="0"/>
            <wp:docPr descr="" title="" id="93" name="Picture"/>
            <a:graphic>
              <a:graphicData uri="http://schemas.openxmlformats.org/drawingml/2006/picture">
                <pic:pic>
                  <pic:nvPicPr>
                    <pic:cNvPr descr="/home/kiycoh/Documents/dev/datapolis-2026-hackathon/.docx-build/fig09_kpi_finestra.png" id="94" name="Picture"/>
                    <pic:cNvPicPr>
                      <a:picLocks noChangeArrowheads="1" noChangeAspect="1"/>
                    </pic:cNvPicPr>
                  </pic:nvPicPr>
                  <pic:blipFill>
                    <a:blip r:embed="rId92"/>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r>
        <w:pict>
          <v:rect style="width:0;height:1.5pt" o:hralign="center" o:hrstd="t" o:hr="t"/>
        </w:pict>
      </w:r>
    </w:p>
    <w:bookmarkEnd w:id="95"/>
    <w:bookmarkStart w:id="106"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sta in</w:t>
      </w:r>
      <w:r>
        <w:t xml:space="preserve"> </w:t>
      </w:r>
      <w:r>
        <w:rPr>
          <w:rStyle w:val="VerbatimChar"/>
        </w:rPr>
        <w:t xml:space="preserve">docs/policy/POLICY_PONTE_19.md</w:t>
      </w:r>
      <w:r>
        <w:t xml:space="preserve">. Questa sezione ne ricostruisce la derivazione</w:t>
      </w:r>
      <w:r>
        <w:t xml:space="preserve"> </w:t>
      </w:r>
      <w:r>
        <w:t xml:space="preserve">dall’evidenza, nel formato fissato dal 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15-24enni fuori da lavoro e studio non cerca lavoro (sez. 2.1). La conversione dei titoli in lavoro fallisce soprattutto sulle ragazze, e dopo i 25 anni il deficit di occupazione diventa femminile anche per la generazione giovane (sez. 3.1 e 3.1-bis). Le coorti si perdono all’uscita dal percorso formativo (sez. 3.3). Il pendolarismo ha lo stesso segno: le ragazze escono dal comune per studiare più dei coetanei (+2,6 punti),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(non a domanda spontanea)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Quota di genere ≥50% F sui presi in carico. Capacità pilota: 200 persone l’anno, pari a ~18% dei 1.121 inattivi non studenti 15-24 (platea indicativa: il censimento non dà la fascia 18-25)</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(sez. 7.4)</w:t>
            </w:r>
          </w:p>
        </w:tc>
      </w:tr>
    </w:tbl>
    <w:p>
      <w:pPr>
        <w:pStyle w:val="BodyText"/>
      </w:pPr>
      <w:r>
        <w:t xml:space="preserve">Il servizio parte da 18 anni perché fino ai 18 vale il diritto-dovere all’istruzione e alla</w:t>
      </w:r>
      <w:r>
        <w:t xml:space="preserve"> </w:t>
      </w:r>
      <w:r>
        <w:t xml:space="preserve">formazione. Si ferma a 25 perché le due uscite che i dati individuano cadono entro quell’età</w:t>
      </w:r>
      <w:r>
        <w:t xml:space="preserve"> </w:t>
      </w:r>
      <w:r>
        <w:t xml:space="preserve">(sezione 3.3). I 26-34enni del bando restano fuori dal target per una ragione di misura:</w:t>
      </w:r>
      <w:r>
        <w:t xml:space="preserve"> </w:t>
      </w:r>
      <w:r>
        <w:t xml:space="preserve">nessuna tavola comunale permette di seguirne la condizione professionale, perché la classe</w:t>
      </w:r>
      <w:r>
        <w:t xml:space="preserve"> </w:t>
      </w:r>
      <w:r>
        <w:t xml:space="preserve">25-49 non è scomponibile. Il deficit femminile più grande, però, sta sopra i 25 anni</w:t>
      </w:r>
      <w:r>
        <w:t xml:space="preserve"> </w:t>
      </w:r>
      <w:r>
        <w:t xml:space="preserve">(sezione 3.1-bis). Estendere il modulo di genere ai 26-34 è quindi un’opzione dichiarata,</w:t>
      </w:r>
      <w:r>
        <w:t xml:space="preserve"> </w:t>
      </w:r>
      <w:r>
        <w:t xml:space="preserve">ancora da decidere e misurabile solo sul dato di servizio.</w:t>
      </w:r>
    </w:p>
    <w:bookmarkStart w:id="96" w:name="perché-non-è-un-intervento-sui-trasporti"/>
    <w:p>
      <w:pPr>
        <w:pStyle w:val="Heading2"/>
      </w:pPr>
      <w:r>
        <w:t xml:space="preserve">7.0 Perché non è un intervento sui trasporti</w:t>
      </w:r>
    </w:p>
    <w:p>
      <w:pPr>
        <w:pStyle w:val="FirstParagraph"/>
      </w:pPr>
      <w:r>
        <w:t xml:space="preserve">Chi legge la sezione 5 si pone subito una domanda: se il collegamento con Palermo è il</w:t>
      </w:r>
      <w:r>
        <w:t xml:space="preserve"> </w:t>
      </w:r>
      <w:r>
        <w:t xml:space="preserve">canale delle donne, perché non intervenire lì? Perché</w:t>
      </w:r>
      <w:r>
        <w:t xml:space="preserve"> </w:t>
      </w:r>
      <w:r>
        <w:rPr>
          <w:b/>
          <w:bCs/>
        </w:rPr>
        <w:t xml:space="preserve">i dati non lo sostengono</w:t>
      </w:r>
      <w:r>
        <w:t xml:space="preserve">, per due</w:t>
      </w:r>
      <w:r>
        <w:t xml:space="preserve"> </w:t>
      </w:r>
      <w:r>
        <w:t xml:space="preserve">ragioni indipendenti. La prima: il treno di Bagheria è già al 98° percentile siciliano per</w:t>
      </w:r>
      <w:r>
        <w:t xml:space="preserve"> </w:t>
      </w:r>
      <w:r>
        <w:t xml:space="preserve">uso (sezione 5.4), quindi non c’è un’infrastruttura sottoutilizzata da attivare. La</w:t>
      </w:r>
      <w:r>
        <w:t xml:space="preserve"> </w:t>
      </w:r>
      <w:r>
        <w:t xml:space="preserve">seconda: sui 381 comuni non capoluogo una quota maggiore di mezzo collettivo</w:t>
      </w:r>
      <w:r>
        <w:t xml:space="preserve"> </w:t>
      </w:r>
      <w:r>
        <w:rPr>
          <w:b/>
          <w:bCs/>
        </w:rPr>
        <w:t xml:space="preserve">non</w:t>
      </w:r>
      <w:r>
        <w:t xml:space="preserve"> </w:t>
      </w:r>
      <w:r>
        <w:t xml:space="preserve">si</w:t>
      </w:r>
      <w:r>
        <w:t xml:space="preserve"> </w:t>
      </w:r>
      <w:r>
        <w:t xml:space="preserve">accompagna a un divario di genere più piccolo. L’associazione è nulla, e la stima ha il</w:t>
      </w:r>
      <w:r>
        <w:t xml:space="preserve"> </w:t>
      </w:r>
      <w:r>
        <w:t xml:space="preserve">segno opposto all’ipotesi.</w:t>
      </w:r>
    </w:p>
    <w:p>
      <w:pPr>
        <w:pStyle w:val="BodyText"/>
      </w:pPr>
      <w:r>
        <w:t xml:space="preserve">Resta un vincolo operativo che il servizio deve rispettare. Per le donne di Bagheria il</w:t>
      </w:r>
      <w:r>
        <w:t xml:space="preserve"> </w:t>
      </w:r>
      <w:r>
        <w:t xml:space="preserve">canale verso Palermo è il mezzo collettivo (34,7% contro 18,9% degli uomini); per gli</w:t>
      </w:r>
      <w:r>
        <w:t xml:space="preserve"> </w:t>
      </w:r>
      <w:r>
        <w:t xml:space="preserve">uomini è l’auto (79,0%).</w:t>
      </w:r>
      <w:r>
        <w:t xml:space="preserve"> </w:t>
      </w:r>
      <w:r>
        <w:rPr>
          <w:b/>
          <w:bCs/>
        </w:rPr>
        <w:t xml:space="preserve">Un servizio che dia per scontata l’auto seleziona per genere</w:t>
      </w:r>
      <w:r>
        <w:t xml:space="preserve">, e</w:t>
      </w:r>
      <w:r>
        <w:t xml:space="preserve"> </w:t>
      </w:r>
      <w:r>
        <w:t xml:space="preserve">seleziona proprio contro la metà che la quota di genere vuole raggiungere (sezione 7.2).</w:t>
      </w:r>
      <w:r>
        <w:t xml:space="preserve"> </w:t>
      </w:r>
      <w:r>
        <w:t xml:space="preserve">Orari di convocazione, tirocini e sedi vanno quindi scelti fra ciò che è raggiungibile in</w:t>
      </w:r>
      <w:r>
        <w:t xml:space="preserve"> </w:t>
      </w:r>
      <w:r>
        <w:t xml:space="preserve">treno e in autobus, e la raggiungibilità va misurata, non assunta.</w:t>
      </w:r>
    </w:p>
    <w:bookmarkEnd w:id="96"/>
    <w:bookmarkStart w:id="97" w:name="perché-due-finestre"/>
    <w:p>
      <w:pPr>
        <w:pStyle w:val="Heading2"/>
      </w:pPr>
      <w:r>
        <w:t xml:space="preserve">7.1 Perché due finestre</w:t>
      </w:r>
    </w:p>
    <w:p>
      <w:pPr>
        <w:pStyle w:val="FirstParagraph"/>
      </w:pPr>
      <w:r>
        <w:t xml:space="preserve">Le uscite hanno due tempi (sezione 3.3). Il primo è la fine della scuola. Il secondo è la</w:t>
      </w:r>
      <w:r>
        <w:t xml:space="preserve"> </w:t>
      </w:r>
      <w:r>
        <w:t xml:space="preserve">fine del percorso formativo, fra i 20 e i 29 anni. Lì le coorti di entrambi i generi si</w:t>
      </w:r>
      <w:r>
        <w:t xml:space="preserve"> </w:t>
      </w:r>
      <w:r>
        <w:t xml:space="preserve">riducono 9-12 punti più che in Italia, e lì il deficit di occupazione diventa femminile</w:t>
      </w:r>
      <w:r>
        <w:t xml:space="preserve"> </w:t>
      </w:r>
      <w:r>
        <w:t xml:space="preserve">(sezione 3.1-bis). Una sola finestra 18-20 mancherebbe questo secondo passaggio. La</w:t>
      </w:r>
      <w:r>
        <w:t xml:space="preserve"> </w:t>
      </w:r>
      <w:r>
        <w:t xml:space="preserve">finestra B esiste per coprirlo, e la quota di genere (sezione 7.2) la orienta verso le</w:t>
      </w:r>
      <w:r>
        <w:t xml:space="preserve"> </w:t>
      </w:r>
      <w:r>
        <w:t xml:space="preserve">ragazze.</w:t>
      </w:r>
    </w:p>
    <w:bookmarkEnd w:id="97"/>
    <w:bookmarkStart w:id="98" w:name="perché-la-quota-di-genere"/>
    <w:p>
      <w:pPr>
        <w:pStyle w:val="Heading2"/>
      </w:pPr>
      <w:r>
        <w:t xml:space="preserve">7.2 Perché la quota di genere</w:t>
      </w:r>
    </w:p>
    <w:p>
      <w:pPr>
        <w:pStyle w:val="FirstParagraph"/>
      </w:pPr>
      <w:r>
        <w:t xml:space="preserve">Il gruppo da raggiungere è femminile al 51% nelle dimensioni, ma radicalmente diverso per</w:t>
      </w:r>
      <w:r>
        <w:t xml:space="preserve"> </w:t>
      </w:r>
      <w:r>
        <w:t xml:space="preserve">genere nell’etichetta (sezione 3.2). Un servizio formalmente neutro, con i canali di</w:t>
      </w:r>
      <w:r>
        <w:t xml:space="preserve"> </w:t>
      </w:r>
      <w:r>
        <w:t xml:space="preserve">contatto standard, riprodurrebbe l’asimmetria che deve correggere. La quota obbliga a</w:t>
      </w:r>
      <w:r>
        <w:t xml:space="preserve"> </w:t>
      </w:r>
      <w:r>
        <w:t xml:space="preserve">costruire i due agganci, senza escludere nessuno.</w:t>
      </w:r>
    </w:p>
    <w:bookmarkEnd w:id="98"/>
    <w:bookmarkStart w:id="99" w:name="perché-loutreach-e-non-lo-sportello"/>
    <w:p>
      <w:pPr>
        <w:pStyle w:val="Heading2"/>
      </w:pPr>
      <w:r>
        <w:t xml:space="preserve">7.3 Perché l’outreach e non lo sportello</w:t>
      </w:r>
    </w:p>
    <w:p>
      <w:pPr>
        <w:pStyle w:val="FirstParagraph"/>
      </w:pPr>
      <w:r>
        <w:t xml:space="preserve">Sette giovani su dieci fuori da lavoro e studio non cercano lavoro. A definizione costante</w:t>
      </w:r>
      <w:r>
        <w:t xml:space="preserve"> </w:t>
      </w:r>
      <w:r>
        <w:t xml:space="preserve">(2021-2024) quel segmento è fermo, mentre chi cerca diminuisce (sezione 2.2). Un servizio a</w:t>
      </w:r>
      <w:r>
        <w:t xml:space="preserve"> </w:t>
      </w:r>
      <w:r>
        <w:t xml:space="preserve">domanda spontanea raggiunge per costruzione chi già cerca, cioè il segmento sbagliato. Per</w:t>
      </w:r>
      <w:r>
        <w:t xml:space="preserve"> </w:t>
      </w:r>
      <w:r>
        <w:t xml:space="preserve">le ragazze, inoltre, l’aggancio è l’</w:t>
      </w:r>
      <w:r>
        <w:rPr>
          <w:b/>
          <w:bCs/>
        </w:rPr>
        <w:t xml:space="preserve">attivazione</w:t>
      </w:r>
      <w:r>
        <w:t xml:space="preserve">, non la sola conciliazione: almeno l’89%</w:t>
      </w:r>
      <w:r>
        <w:t xml:space="preserve"> </w:t>
      </w:r>
      <w:r>
        <w:t xml:space="preserve">delle casalinghe non è sposata (sezione 3.2).</w:t>
      </w:r>
    </w:p>
    <w:bookmarkEnd w:id="99"/>
    <w:bookmarkStart w:id="103"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è stata</w:t>
      </w:r>
      <w:r>
        <w:t xml:space="preserve"> </w:t>
      </w:r>
      <w:r>
        <w:t xml:space="preserve">misurata con due metri. Il modello binomiale tratta ogni annata come un campione</w:t>
      </w:r>
      <w:r>
        <w:t xml:space="preserve"> </w:t>
      </w:r>
      <w:r>
        <w:t xml:space="preserve">indipendente e promette che un triennio basti: 46% su un anno, 90% sul triennio. Le annate</w:t>
      </w:r>
      <w:r>
        <w:t xml:space="preserve"> </w:t>
      </w:r>
      <w:r>
        <w:t xml:space="preserve">però contano le stesse persone, e per questo serve un secondo metro: la variabilità che il</w:t>
      </w:r>
      <w:r>
        <w:t xml:space="preserve"> </w:t>
      </w:r>
      <w:r>
        <w:t xml:space="preserve">tasso mostra senza alcun intervento. Misurata nei 33 comuni siciliani di taglia simile a</w:t>
      </w:r>
      <w:r>
        <w:t xml:space="preserve"> </w:t>
      </w:r>
      <w:r>
        <w:t xml:space="preserve">Bagheria, dice altro: per +1,4 punti di occupazione la potenza è del 50% su un anno, del</w:t>
      </w:r>
      <w:r>
        <w:t xml:space="preserve"> </w:t>
      </w:r>
      <w:r>
        <w:t xml:space="preserve">59% sul biennio e del 41% sul triennio. Il triennio, nei dati disponibili, attraversa la</w:t>
      </w:r>
      <w:r>
        <w:t xml:space="preserve"> </w:t>
      </w:r>
      <w:r>
        <w:t xml:space="preserve">rottura di misura del 2021. Sulle casalinghe (−2,1 punti) il biennio arriva all’82%.</w:t>
      </w:r>
    </w:p>
    <w:p>
      <w:pPr>
        <w:pStyle w:val="BodyText"/>
      </w:pPr>
      <w:r>
        <w:t xml:space="preserve">La differenza fra i due metri sta nella struttura della variabilità. Da un anno all’altro</w:t>
      </w:r>
      <w:r>
        <w:t xml:space="preserve"> </w:t>
      </w:r>
      <w:r>
        <w:t xml:space="preserve">il tasso di un comune oscilla attorno alla propria tendenza meno di un campione (0,36 volte</w:t>
      </w:r>
      <w:r>
        <w:t xml:space="preserve"> </w:t>
      </w:r>
      <w:r>
        <w:t xml:space="preserve">la varianza binomiale). I comuni però divergono fra loro in modo persistente, e accorpare</w:t>
      </w:r>
      <w:r>
        <w:t xml:space="preserve"> </w:t>
      </w:r>
      <w:r>
        <w:t xml:space="preserve">più anni non elimina quella divergenza.</w:t>
      </w:r>
    </w:p>
    <w:p>
      <w:pPr>
        <w:pStyle w:val="BodyText"/>
      </w:pPr>
      <w:r>
        <w:t xml:space="preserve">Le finestre di lettura sono dichiarate prima dell’avvio, per non sceglierle a posteriori.</w:t>
      </w:r>
      <w:r>
        <w:t xml:space="preserve"> </w:t>
      </w:r>
      <w:r>
        <w:t xml:space="preserve">La lettura annuale non è ammessa: l’anno singolo spetta agli indicatori di processo, cioè</w:t>
      </w:r>
      <w:r>
        <w:t xml:space="preserve"> </w:t>
      </w:r>
      <w:r>
        <w:t xml:space="preserve">contatti entro 30 giorni, piani entro 15, utenza per età singola e genere confrontata con</w:t>
      </w:r>
      <w:r>
        <w:t xml:space="preserve"> </w:t>
      </w:r>
      <w:r>
        <w:t xml:space="preserve">la platea residente. Oggi nessuno li rileva; li produce il servizio. →</w:t>
      </w:r>
      <w:r>
        <w:t xml:space="preserve"> </w:t>
      </w:r>
      <w:r>
        <w:rPr>
          <w:rStyle w:val="VerbatimChar"/>
        </w:rPr>
        <w:t xml:space="preserve">genere_mde.csv</w:t>
      </w:r>
      <w:r>
        <w:t xml:space="preserve"> </w:t>
      </w:r>
      <w:r>
        <w:t xml:space="preserve">(fig09b)</w:t>
      </w:r>
    </w:p>
    <w:p>
      <w:pPr>
        <w:pStyle w:val="BodyText"/>
      </w:pPr>
      <w:r>
        <w:drawing>
          <wp:inline>
            <wp:extent cx="6108700" cy="3871286"/>
            <wp:effectExtent b="0" l="0" r="0" t="0"/>
            <wp:docPr descr="" title="" id="101" name="Picture"/>
            <a:graphic>
              <a:graphicData uri="http://schemas.openxmlformats.org/drawingml/2006/picture">
                <pic:pic>
                  <pic:nvPicPr>
                    <pic:cNvPr descr="/home/kiycoh/Documents/dev/datapolis-2026-hackathon/.docx-build/fig09b_potenza.png" id="102" name="Picture"/>
                    <pic:cNvPicPr>
                      <a:picLocks noChangeArrowheads="1" noChangeAspect="1"/>
                    </pic:cNvPicPr>
                  </pic:nvPicPr>
                  <pic:blipFill>
                    <a:blip r:embed="rId100"/>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t xml:space="preserve">Il KPI deve portarsi dietro due precisazioni.</w:t>
      </w:r>
    </w:p>
    <w:p>
      <w:pPr>
        <w:pStyle w:val="BodyText"/>
      </w:pPr>
      <w:r>
        <w:t xml:space="preserve">La prima riguarda il controfattuale. Il tasso femminile di Bagheria sale già da solo (+0,65</w:t>
      </w:r>
      <w:r>
        <w:t xml:space="preserve"> </w:t>
      </w:r>
      <w:r>
        <w:t xml:space="preserve">punti l’anno dal 2018) e, al ritmo attuale, toccherebbe il 9,6% in un paio d’anni. Il</w:t>
      </w:r>
      <w:r>
        <w:t xml:space="preserve"> </w:t>
      </w:r>
      <w:r>
        <w:t xml:space="preserve">successo quindi non è raggiungere quel livello, ma</w:t>
      </w:r>
      <w:r>
        <w:t xml:space="preserve"> </w:t>
      </w:r>
      <w:r>
        <w:rPr>
          <w:b/>
          <w:bCs/>
        </w:rPr>
        <w:t xml:space="preserve">chiudere lo scarto da Palermo</w:t>
      </w:r>
      <w:r>
        <w:t xml:space="preserve"> </w:t>
      </w:r>
      <w:r>
        <w:t xml:space="preserve">(oggi</w:t>
      </w:r>
      <w:r>
        <w:t xml:space="preserve"> </w:t>
      </w:r>
      <w:r>
        <w:t xml:space="preserve">−1,4 punti), dove il tasso sale anch’esso. Il KPI si legge come differenza nelle differenze</w:t>
      </w:r>
      <w:r>
        <w:t xml:space="preserve"> </w:t>
      </w:r>
      <w:r>
        <w:t xml:space="preserve">rispetto al controfattuale, non come soglia.</w:t>
      </w:r>
    </w:p>
    <w:p>
      <w:pPr>
        <w:pStyle w:val="BodyText"/>
      </w:pPr>
      <w:r>
        <w:t xml:space="preserve">La seconda riguarda la scala: 40 occupate in più su una platea di 2.882 non si ottengono con</w:t>
      </w:r>
      <w:r>
        <w:t xml:space="preserve"> </w:t>
      </w:r>
      <w:r>
        <w:t xml:space="preserve">100 prese in carico l’anno, perché servirebbe un effetto netto irrealistico. Il tasso</w:t>
      </w:r>
      <w:r>
        <w:t xml:space="preserve"> </w:t>
      </w:r>
      <w:r>
        <w:t xml:space="preserve">comunale è quindi l’orizzonte di convergenza e il contesto della valutazione. L’effetto del</w:t>
      </w:r>
      <w:r>
        <w:t xml:space="preserve"> </w:t>
      </w:r>
      <w:r>
        <w:t xml:space="preserve">servizio si misura invece sui partecipanti, confrontandoli con chi entra più tardi (si veda</w:t>
      </w:r>
      <w:r>
        <w:t xml:space="preserve"> </w:t>
      </w:r>
      <w:r>
        <w:t xml:space="preserve">più avanti). I dati comunali, infine, escono con circa due anni di ritardo: un triennio</w:t>
      </w:r>
      <w:r>
        <w:t xml:space="preserve"> </w:t>
      </w:r>
      <w:r>
        <w:t xml:space="preserve">pooled si legge quattro o cinque anni dopo l’avvio.</w:t>
      </w:r>
    </w:p>
    <w:p>
      <w:pPr>
        <w:pStyle w:val="BodyText"/>
      </w:pPr>
      <w:r>
        <w:t xml:space="preserve">Se la comunicazione pubblica richiede un equivalente in teste, si scrive: «+40 occupate</w:t>
      </w:r>
      <w:r>
        <w:t xml:space="preserve"> </w:t>
      </w:r>
      <w:r>
        <w:t xml:space="preserve">sulla platea 2024; il target si riparametra ogni anno come tasso-obiettivo × platea</w:t>
      </w:r>
      <w:r>
        <w:t xml:space="preserve"> </w:t>
      </w:r>
      <w:r>
        <w:t xml:space="preserve">dell’anno». La formula si pubblica insieme al numero (sezione 6).</w:t>
      </w:r>
    </w:p>
    <w:p>
      <w:pPr>
        <w:pStyle w:val="BodyText"/>
      </w:pPr>
      <w:r>
        <w:t xml:space="preserve">La valutazione ha due livelli.</w:t>
      </w:r>
    </w:p>
    <w:p>
      <w:pPr>
        <w:pStyle w:val="BodyText"/>
      </w:pPr>
      <w:r>
        <w:rPr>
          <w:b/>
          <w:bCs/>
        </w:rPr>
        <w:t xml:space="preserve">Sui presi in carico</w:t>
      </w:r>
      <w:r>
        <w:t xml:space="preserve"> </w:t>
      </w:r>
      <w:r>
        <w:t xml:space="preserve">si usa un rollout scaglionato: a parità di priorità l’ordine di</w:t>
      </w:r>
      <w:r>
        <w:t xml:space="preserve"> </w:t>
      </w:r>
      <w:r>
        <w:t xml:space="preserve">avvio è casuale, e chi comincia più tardi fa da confronto. Perché il confronto esista</w:t>
      </w:r>
      <w:r>
        <w:t xml:space="preserve"> </w:t>
      </w:r>
      <w:r>
        <w:t xml:space="preserve">servono due coorti da 100, con ingresso al mese 0 e al mese 6. Chi aspetta, quindi, aspetta</w:t>
      </w:r>
      <w:r>
        <w:t xml:space="preserve"> </w:t>
      </w:r>
      <w:r>
        <w:t xml:space="preserve">almeno sei mesi: il confronto esiste sull’esito a sei mesi, non su quello a dodici. Con 100</w:t>
      </w:r>
      <w:r>
        <w:t xml:space="preserve"> </w:t>
      </w:r>
      <w:r>
        <w:t xml:space="preserve">persone per coorte il confronto vede effetti di 18-20 punti o più (17,8 se l’esito senza</w:t>
      </w:r>
      <w:r>
        <w:t xml:space="preserve"> </w:t>
      </w:r>
      <w:r>
        <w:t xml:space="preserve">servizio è del 20%, 19,7 se è del 40%); con adesioni dimezzate la soglia sale a 26-28 punti.</w:t>
      </w:r>
      <w:r>
        <w:t xml:space="preserve"> </w:t>
      </w:r>
      <w:r>
        <w:t xml:space="preserve">Se le domande non superano i posti, il sorteggio non c’è e la valutazione diventa</w:t>
      </w:r>
      <w:r>
        <w:t xml:space="preserve"> </w:t>
      </w:r>
      <w:r>
        <w:t xml:space="preserve">descrittiva.</w:t>
      </w:r>
    </w:p>
    <w:p>
      <w:pPr>
        <w:pStyle w:val="BodyText"/>
      </w:pPr>
      <w:r>
        <w:t xml:space="preserve">Le rassegne sui programmi attivi per il lavoro (Card, Kluve e Weber,</w:t>
      </w:r>
      <w:r>
        <w:t xml:space="preserve"> </w:t>
      </w:r>
      <w:r>
        <w:rPr>
          <w:i/>
          <w:iCs/>
        </w:rPr>
        <w:t xml:space="preserve">Journal of the</w:t>
      </w:r>
      <w:r>
        <w:rPr>
          <w:i/>
          <w:iCs/>
        </w:rPr>
        <w:t xml:space="preserve"> </w:t>
      </w:r>
      <w:r>
        <w:rPr>
          <w:i/>
          <w:iCs/>
        </w:rPr>
        <w:t xml:space="preserve">European Economic Association</w:t>
      </w:r>
      <w:r>
        <w:t xml:space="preserve">, 2018) trovano effetti medi vicini a zero nel breve periodo.</w:t>
      </w:r>
      <w:r>
        <w:t xml:space="preserve"> </w:t>
      </w:r>
      <w:r>
        <w:t xml:space="preserve">Gli effetti diventano più positivi due-tre anni dopo la fine del programma, e sono più</w:t>
      </w:r>
      <w:r>
        <w:t xml:space="preserve"> </w:t>
      </w:r>
      <w:r>
        <w:t xml:space="preserve">grandi per le donne. A sei mesi, quindi, un confronto non significativo è l’esito atteso</w:t>
      </w:r>
      <w:r>
        <w:t xml:space="preserve"> </w:t>
      </w:r>
      <w:r>
        <w:t xml:space="preserve">anche per un servizio che funziona.</w:t>
      </w:r>
      <w:r>
        <w:t xml:space="preserve"> </w:t>
      </w:r>
      <w:r>
        <w:t xml:space="preserve">→</w:t>
      </w:r>
      <w:r>
        <w:t xml:space="preserve"> </w:t>
      </w:r>
      <w:r>
        <w:rPr>
          <w:rStyle w:val="VerbatimChar"/>
        </w:rPr>
        <w:t xml:space="preserve">genere_potenza_pilota.csv</w:t>
      </w:r>
    </w:p>
    <w:p>
      <w:pPr>
        <w:pStyle w:val="BodyText"/>
      </w:pPr>
      <w:r>
        <w:rPr>
          <w:b/>
          <w:bCs/>
        </w:rPr>
        <w:t xml:space="preserve">Sui KPI di popolazione</w:t>
      </w:r>
      <w:r>
        <w:t xml:space="preserve"> </w:t>
      </w:r>
      <w:r>
        <w:t xml:space="preserve">il confronto è con un controfattuale</w:t>
      </w:r>
      <w:r>
        <w:t xml:space="preserve"> </w:t>
      </w:r>
      <w:r>
        <w:rPr>
          <w:b/>
          <w:bCs/>
        </w:rPr>
        <w:t xml:space="preserve">dichiarato in anticipo:</w:t>
      </w:r>
      <w:r>
        <w:rPr>
          <w:b/>
          <w:bCs/>
        </w:rPr>
        <w:t xml:space="preserve"> </w:t>
      </w:r>
      <w:r>
        <w:rPr>
          <w:b/>
          <w:bCs/>
        </w:rPr>
        <w:t xml:space="preserve">Palermo</w:t>
      </w:r>
      <w:r>
        <w:t xml:space="preserve">. Il prerequisito è stato controllato. La pendenza del tasso femminile di Bagheria</w:t>
      </w:r>
      <w:r>
        <w:t xml:space="preserve"> </w:t>
      </w:r>
      <w:r>
        <w:t xml:space="preserve">nel 2018-2024 (+0,65 punti/anno) non si distingue da quelle di Palermo e dell’Italia (p =</w:t>
      </w:r>
      <w:r>
        <w:t xml:space="preserve"> </w:t>
      </w:r>
      <w:r>
        <w:t xml:space="preserve">0,29 / 0,33). Con sei annate il test ha poca potenza, quindi non prova tendenze parallele:</w:t>
      </w:r>
      <w:r>
        <w:t xml:space="preserve"> </w:t>
      </w:r>
      <w:r>
        <w:t xml:space="preserve">dice solo che i dati non le smentiscono.</w:t>
      </w:r>
    </w:p>
    <w:p>
      <w:pPr>
        <w:pStyle w:val="BodyText"/>
      </w:pPr>
      <w:r>
        <w:t xml:space="preserve">Il test, inoltre, tratta ogni annata come un campione indipendente. Senza quel modello, la</w:t>
      </w:r>
      <w:r>
        <w:t xml:space="preserve"> </w:t>
      </w:r>
      <w:r>
        <w:t xml:space="preserve">distanza fra la pendenza di Bagheria e quella di Palermo (−0,09 punti l’anno) è più piccola</w:t>
      </w:r>
      <w:r>
        <w:t xml:space="preserve"> </w:t>
      </w:r>
      <w:r>
        <w:t xml:space="preserve">di quella del 67% dei comuni di taglia simile. Il confronto è indulgente, perché include le</w:t>
      </w:r>
      <w:r>
        <w:t xml:space="preserve"> </w:t>
      </w:r>
      <w:r>
        <w:t xml:space="preserve">divergenze reali fra comuni. Resta un limite: con un solo comune di confronto, uno shock</w:t>
      </w:r>
      <w:r>
        <w:t xml:space="preserve"> </w:t>
      </w:r>
      <w:r>
        <w:t xml:space="preserve">proprio di Bagheria o di Palermo non si separa dall’effetto. Il confronto si fa quindi anche</w:t>
      </w:r>
      <w:r>
        <w:t xml:space="preserve"> </w:t>
      </w:r>
      <w:r>
        <w:t xml:space="preserve">con un controllo sintetico costruito sui 33 comuni di taglia simile, con test placebo sugli</w:t>
      </w:r>
      <w:r>
        <w:t xml:space="preserve"> </w:t>
      </w:r>
      <w:r>
        <w:t xml:space="preserve">stessi comuni; Palermo resta il riferimento dichiarato. →</w:t>
      </w:r>
      <w:r>
        <w:t xml:space="preserve"> </w:t>
      </w:r>
      <w:r>
        <w:rPr>
          <w:rStyle w:val="VerbatimChar"/>
        </w:rPr>
        <w:t xml:space="preserve">genere_pretrend.csv</w:t>
      </w:r>
      <w:r>
        <w:t xml:space="preserve">,</w:t>
      </w:r>
      <w:r>
        <w:t xml:space="preserve"> </w:t>
      </w:r>
      <w:r>
        <w:rPr>
          <w:rStyle w:val="VerbatimChar"/>
        </w:rPr>
        <w:t xml:space="preserve">genere_pretrend_390.csv</w:t>
      </w:r>
    </w:p>
    <w:p>
      <w:pPr>
        <w:pStyle w:val="BodyText"/>
      </w:pPr>
      <w:r>
        <w:t xml:space="preserve">Il costo della dotazione minima, in ordine di grandezza, è fra 205.924 e 256.105 euro l’anno,</w:t>
      </w:r>
      <w:r>
        <w:t xml:space="preserve"> </w:t>
      </w:r>
      <w:r>
        <w:t xml:space="preserve">cioè fra 1.030 e 1.281 euro per posto, esperienze retribuite escluse. Parametri e voci</w:t>
      </w:r>
      <w:r>
        <w:t xml:space="preserve"> </w:t>
      </w:r>
      <w:r>
        <w:t xml:space="preserve">escluse sono dettagliati nella policy, §9-bis. →</w:t>
      </w:r>
      <w:r>
        <w:t xml:space="preserve"> </w:t>
      </w:r>
      <w:r>
        <w:rPr>
          <w:rStyle w:val="VerbatimChar"/>
        </w:rPr>
        <w:t xml:space="preserve">genere_costo_pilota.csv</w:t>
      </w:r>
    </w:p>
    <w:bookmarkEnd w:id="103"/>
    <w:bookmarkStart w:id="104" w:name="il-dato-che-il-servizio-produce"/>
    <w:p>
      <w:pPr>
        <w:pStyle w:val="Heading2"/>
      </w:pPr>
      <w:r>
        <w:t xml:space="preserve">7.5 Il dato che il servizio produce</w:t>
      </w:r>
    </w:p>
    <w:p>
      <w:pPr>
        <w:pStyle w:val="FirstParagraph"/>
      </w:pPr>
      <w:r>
        <w:t xml:space="preserve">Ogni presa in carico genera un record pseudonimizzato: titolo e indirizzo di studio → data</w:t>
      </w:r>
      <w:r>
        <w:t xml:space="preserve"> </w:t>
      </w:r>
      <w:r>
        <w:t xml:space="preserve">di 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(sezione 4). La proposta, quindi, non si limita a consumare dati:</w:t>
      </w:r>
      <w:r>
        <w:t xml:space="preserve"> </w:t>
      </w:r>
      <w:r>
        <w:rPr>
          <w:b/>
          <w:bCs/>
        </w:rPr>
        <w:t xml:space="preserve">ne</w:t>
      </w:r>
      <w:r>
        <w:rPr>
          <w:b/>
          <w:bCs/>
        </w:rPr>
        <w:t xml:space="preserve"> </w:t>
      </w:r>
      <w:r>
        <w:rPr>
          <w:b/>
          <w:bCs/>
        </w:rPr>
        <w:t xml:space="preserve">produce dove le statistiche pubbliche finiscono</w:t>
      </w:r>
      <w:r>
        <w:t xml:space="preserve">. L’impegno di accountability è una</w:t>
      </w:r>
      <w:r>
        <w:t xml:space="preserve"> </w:t>
      </w:r>
      <w:r>
        <w:t xml:space="preserve">dashboard trimestrale aggregata.</w:t>
      </w:r>
    </w:p>
    <w:bookmarkEnd w:id="104"/>
    <w:bookmarkStart w:id="105" w:name="rotta-f-il-modulo-di-genere"/>
    <w:p>
      <w:pPr>
        <w:pStyle w:val="Heading2"/>
      </w:pPr>
      <w:r>
        <w:t xml:space="preserve">7.6 Rotta F: il modulo di genere</w:t>
      </w:r>
    </w:p>
    <w:p>
      <w:pPr>
        <w:pStyle w:val="FirstParagraph"/>
      </w:pPr>
      <w:r>
        <w:t xml:space="preserve">La quota di genere (sezione 7.2) impedisce al servizio di riprodurre l’asimmetria che deve</w:t>
      </w:r>
      <w:r>
        <w:t xml:space="preserve"> </w:t>
      </w:r>
      <w:r>
        <w:t xml:space="preserve">correggere, ma</w:t>
      </w:r>
      <w:r>
        <w:t xml:space="preserve"> </w:t>
      </w:r>
      <w:r>
        <w:rPr>
          <w:b/>
          <w:bCs/>
        </w:rPr>
        <w:t xml:space="preserve">non dice come correggerla</w:t>
      </w:r>
      <w:r>
        <w:t xml:space="preserve">. Lo dice</w:t>
      </w:r>
      <w:r>
        <w:t xml:space="preserve"> </w:t>
      </w:r>
      <w:r>
        <w:rPr>
          <w:rStyle w:val="VerbatimChar"/>
        </w:rPr>
        <w:t xml:space="preserve">docs/policy/POLICY_PONTE_19.md</w:t>
      </w:r>
      <w:r>
        <w:t xml:space="preserve"> </w:t>
      </w:r>
      <w:r>
        <w:t xml:space="preserve">§4-bis, la parte di Ponte 19 che risponde al focus principale del bando. Qui se ne riassume</w:t>
      </w:r>
      <w:r>
        <w:t xml:space="preserve"> </w:t>
      </w:r>
      <w:r>
        <w:t xml:space="preserve">l’ossatura: una relazione che mette il genere al centro non può rimandare altrove l’unico</w:t>
      </w:r>
      <w:r>
        <w:t xml:space="preserve"> </w:t>
      </w:r>
      <w:r>
        <w:t xml:space="preserve">pezzo di intervento costruito su di esso.</w:t>
      </w:r>
    </w:p>
    <w:p>
      <w:pPr>
        <w:pStyle w:val="BodyText"/>
      </w:pPr>
      <w:r>
        <w:t xml:space="preserve">Il meccanismo sta in una riga:</w:t>
      </w:r>
      <w:r>
        <w:t xml:space="preserve"> </w:t>
      </w:r>
      <w:r>
        <w:rPr>
          <w:b/>
          <w:bCs/>
        </w:rPr>
        <w:t xml:space="preserve">le ragazze di Bagheria si spostano per studiare e si</w:t>
      </w:r>
      <w:r>
        <w:rPr>
          <w:b/>
          <w:bCs/>
        </w:rPr>
        <w:t xml:space="preserve"> </w:t>
      </w:r>
      <w:r>
        <w:rPr>
          <w:b/>
          <w:bCs/>
        </w:rPr>
        <w:t xml:space="preserve">fermano per lavorare</w:t>
      </w:r>
      <w:r>
        <w:t xml:space="preserve">. Le sezioni 3 e 5 mostrano rotti tre anelli della catena: il</w:t>
      </w:r>
      <w:r>
        <w:t xml:space="preserve"> </w:t>
      </w:r>
      <w:r>
        <w:t xml:space="preserve">contatto, la barriera e la domanda. Il modulo apre una componente su ciascuno.</w:t>
      </w:r>
    </w:p>
    <w:p>
      <w:pPr>
        <w:pStyle w:val="BodyText"/>
      </w:pPr>
      <w:r>
        <w:rPr>
          <w:b/>
          <w:bCs/>
        </w:rPr>
        <w:t xml:space="preserve">F1.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e nessuna lista nominativa esiste né va</w:t>
      </w:r>
      <w:r>
        <w:t xml:space="preserve"> </w:t>
      </w:r>
      <w:r>
        <w:t xml:space="preserve">costruita. L’etichetta dice dove cercare, non chi. Il contatto passa quindi dai luoghi dove</w:t>
      </w:r>
      <w:r>
        <w:t xml:space="preserve"> </w:t>
      </w:r>
      <w:r>
        <w:t xml:space="preserve">quella popolazione è già visibile: le sedi secondarie cittadine, i servizi sociali, i</w:t>
      </w:r>
      <w:r>
        <w:t xml:space="preserve"> </w:t>
      </w:r>
      <w:r>
        <w:t xml:space="preserve">consultori, le associazioni. È la traccia femminile delle due tracce di contatto. Per le</w:t>
      </w:r>
      <w:r>
        <w:t xml:space="preserve"> </w:t>
      </w:r>
      <w:r>
        <w:t xml:space="preserve">ragazze esiste già un’etichetta censuaria da cui aprire il colloquio; per i ragazzi</w:t>
      </w:r>
      <w:r>
        <w:t xml:space="preserve"> </w:t>
      </w:r>
      <w:r>
        <w:t xml:space="preserve">un’etichetta così non c’è (sezione 3.2). Che cosa ci sia dietro l’etichetta lo chiede il</w:t>
      </w:r>
      <w:r>
        <w:t xml:space="preserve"> </w:t>
      </w:r>
      <w:r>
        <w:t xml:space="preserve">colloquio, perché il censimento non lo osserva.</w:t>
      </w:r>
    </w:p>
    <w:p>
      <w:pPr>
        <w:pStyle w:val="BodyText"/>
      </w:pPr>
      <w:r>
        <w:rPr>
          <w:b/>
          <w:bCs/>
        </w:rPr>
        <w:t xml:space="preserve">F2. Barriera: non il collegamento, ma l’orario e il mezzo dati per scontati.</w:t>
      </w:r>
      <w:r>
        <w:t xml:space="preserve"> </w:t>
      </w:r>
      <w:r>
        <w:t xml:space="preserve">È la</w:t>
      </w:r>
      <w:r>
        <w:t xml:space="preserve"> </w:t>
      </w:r>
      <w:r>
        <w:t xml:space="preserve">componente controintuitiva: qui la proposta rinuncia alla soluzione che tutti si aspettano.</w:t>
      </w:r>
      <w:r>
        <w:t xml:space="preserve"> </w:t>
      </w:r>
      <w:r>
        <w:t xml:space="preserve">L’intervento infrastrutturale non è sostenuto dai dati (sezione 7.0), quindi F2 non si</w:t>
      </w:r>
      <w:r>
        <w:t xml:space="preserve"> </w:t>
      </w:r>
      <w:r>
        <w:t xml:space="preserve">appoggia all’offerta di trasporto e non finanzia trasporto. Quello che resta di genere è il</w:t>
      </w:r>
      <w:r>
        <w:t xml:space="preserve"> </w:t>
      </w:r>
      <w:r>
        <w:t xml:space="preserve">canale: verso Palermo le donne vanno sul mezzo collettivo, gli uomini in auto (treno 31,5%</w:t>
      </w:r>
      <w:r>
        <w:t xml:space="preserve"> </w:t>
      </w:r>
      <w:r>
        <w:t xml:space="preserve">contro 16,4%, sezione 5.4). Un servizio che dia per scontata l’auto seleziona per genere, e</w:t>
      </w:r>
      <w:r>
        <w:t xml:space="preserve"> </w:t>
      </w:r>
      <w:r>
        <w:t xml:space="preserve">lo fa in silenzio. Ne discende una sola regola operativa: nessuna opportunità entra nel</w:t>
      </w:r>
      <w:r>
        <w:t xml:space="preserve"> </w:t>
      </w:r>
      <w:r>
        <w:t xml:space="preserve">piano di transizione senza</w:t>
      </w:r>
      <w:r>
        <w:t xml:space="preserve"> </w:t>
      </w:r>
      <w:r>
        <w:rPr>
          <w:b/>
          <w:bCs/>
        </w:rPr>
        <w:t xml:space="preserve">verifica di raggiungibilità col mezzo collettivo negli orari</w:t>
      </w:r>
      <w:r>
        <w:rPr>
          <w:b/>
          <w:bCs/>
        </w:rPr>
        <w:t xml:space="preserve"> </w:t>
      </w:r>
      <w:r>
        <w:rPr>
          <w:b/>
          <w:bCs/>
        </w:rPr>
        <w:t xml:space="preserve">reali della posizione</w:t>
      </w:r>
      <w:r>
        <w:t xml:space="preserve">. Costa istruttoria, non budget.</w:t>
      </w:r>
    </w:p>
    <w:p>
      <w:pPr>
        <w:pStyle w:val="BodyText"/>
      </w:pPr>
      <w:r>
        <w:rPr>
          <w:b/>
          <w:bCs/>
        </w:rPr>
        <w:t xml:space="preserve">F3. Domanda: la leva che il Comune ha già in mano.</w:t>
      </w:r>
      <w:r>
        <w:t xml:space="preserve"> </w:t>
      </w:r>
      <w:r>
        <w:t xml:space="preserve">La componente introduce criteri</w:t>
      </w:r>
      <w:r>
        <w:t xml:space="preserve"> </w:t>
      </w:r>
      <w:r>
        <w:rPr>
          <w:b/>
          <w:bCs/>
        </w:rPr>
        <w:t xml:space="preserve">premiali</w:t>
      </w:r>
      <w:r>
        <w:t xml:space="preserve"> </w:t>
      </w:r>
      <w:r>
        <w:t xml:space="preserve">di pari opportunità nelle gare e nelle concessioni comunali, per l’assunzione</w:t>
      </w:r>
      <w:r>
        <w:t xml:space="preserve"> </w:t>
      </w:r>
      <w:r>
        <w:t xml:space="preserve">di donne e di under 36. Il modello è l’art. 47 del DL 77/2021 (appalti PNRR); per le gare</w:t>
      </w:r>
      <w:r>
        <w:t xml:space="preserve"> </w:t>
      </w:r>
      <w:r>
        <w:t xml:space="preserve">ordinarie la base sta nelle clausole sociali del Codice dei contratti pubblici (D.Lgs.</w:t>
      </w:r>
      <w:r>
        <w:t xml:space="preserve"> </w:t>
      </w:r>
      <w:r>
        <w:t xml:space="preserve">36/2023), da verificare con l’ufficio gare. Si tratta di premialità, non di riserva né di</w:t>
      </w:r>
      <w:r>
        <w:t xml:space="preserve"> </w:t>
      </w:r>
      <w:r>
        <w:t xml:space="preserve">requisito di residenza: il radicamento locale dell’esito si misura a valle, non si impone in</w:t>
      </w:r>
      <w:r>
        <w:t xml:space="preserve"> </w:t>
      </w:r>
      <w:r>
        <w:t xml:space="preserve">gara. La verifica dell’esito a 6 e 12 mesi si concentra sulle</w:t>
      </w:r>
      <w:r>
        <w:t xml:space="preserve"> </w:t>
      </w:r>
      <w:r>
        <w:rPr>
          <w:b/>
          <w:bCs/>
        </w:rPr>
        <w:t xml:space="preserve">donne 22-25</w:t>
      </w:r>
      <w:r>
        <w:t xml:space="preserve">. È l’unica</w:t>
      </w:r>
      <w:r>
        <w:t xml:space="preserve"> </w:t>
      </w:r>
      <w:r>
        <w:t xml:space="preserve">delle tre componenti che non richiede una struttura nuova: riorienta su un target</w:t>
      </w:r>
      <w:r>
        <w:t xml:space="preserve"> </w:t>
      </w:r>
      <w:r>
        <w:t xml:space="preserve">dichiarato uno strumento amministrativo esistente. Cautela: il volume è piccolo per</w:t>
      </w:r>
      <w:r>
        <w:t xml:space="preserve"> </w:t>
      </w:r>
      <w:r>
        <w:t xml:space="preserve">costruzione, e F3 rende la domanda</w:t>
      </w:r>
      <w:r>
        <w:t xml:space="preserve"> </w:t>
      </w:r>
      <w:r>
        <w:rPr>
          <w:b/>
          <w:bCs/>
        </w:rPr>
        <w:t xml:space="preserve">verificabile</w:t>
      </w:r>
      <w:r>
        <w:t xml:space="preserve">, non la crea (sezioni 2.4 e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inattive e non studenti (sezione 3.2).</w:t>
      </w:r>
      <w:r>
        <w:t xml:space="preserve"> </w:t>
      </w:r>
      <w:r>
        <w:t xml:space="preserve">La presa in carico pilota è la metà dei 200 previsti, secondo la quota di genere (sezione</w:t>
      </w:r>
      <w:r>
        <w:t xml:space="preserve"> </w:t>
      </w:r>
      <w:r>
        <w:t xml:space="preserve">7). Si concentra sulla finestra prioritaria</w:t>
      </w:r>
      <w:r>
        <w:t xml:space="preserve"> </w:t>
      </w:r>
      <w:r>
        <w:rPr>
          <w:b/>
          <w:bCs/>
        </w:rPr>
        <w:t xml:space="preserve">22-25</w:t>
      </w:r>
      <w:r>
        <w:t xml:space="preserve">, cioè l’uscita dal percorso formativo,</w:t>
      </w:r>
      <w:r>
        <w:t xml:space="preserve"> </w:t>
      </w:r>
      <w:r>
        <w:t xml:space="preserve">dove il vantaggio educativo dovrebbe convertirsi in lavoro (sezione 3.3). L’estensione ai</w:t>
      </w:r>
      <w:r>
        <w:t xml:space="preserve"> </w:t>
      </w:r>
      <w:r>
        <w:t xml:space="preserve">26-34 è un’opzione da decidere (sezioni 3.1-bis e 7).</w:t>
      </w:r>
    </w:p>
    <w:p>
      <w:pPr>
        <w:pStyle w:val="BodyText"/>
      </w:pPr>
      <w:r>
        <w:rPr>
          <w:b/>
          <w:bCs/>
        </w:rPr>
        <w:t xml:space="preserve">KPI.</w:t>
      </w:r>
      <w:r>
        <w:t xml:space="preserve"> </w:t>
      </w:r>
      <w:r>
        <w:t xml:space="preserve">Il KPI primario del modulo è la</w:t>
      </w:r>
      <w:r>
        <w:t xml:space="preserve"> </w:t>
      </w:r>
      <w:r>
        <w:rPr>
          <w:b/>
          <w:bCs/>
        </w:rPr>
        <w:t xml:space="preserve">quota di casalinghe 15-24</w:t>
      </w:r>
      <w:r>
        <w:t xml:space="preserve"> </w:t>
      </w:r>
      <w:r>
        <w:t xml:space="preserve">(13,4% verso l’11,3%</w:t>
      </w:r>
      <w:r>
        <w:t xml:space="preserve"> </w:t>
      </w:r>
      <w:r>
        <w:t xml:space="preserve">di Palermo), non il tasso di occupazione. La ragione è la finestra di lettura, non una</w:t>
      </w:r>
      <w:r>
        <w:t xml:space="preserve"> </w:t>
      </w:r>
      <w:r>
        <w:t xml:space="preserve">preferenza. Contro la variabilità dei comuni di taglia simile, è l’unico dei due che supera</w:t>
      </w:r>
      <w:r>
        <w:t xml:space="preserve"> </w:t>
      </w:r>
      <w:r>
        <w:t xml:space="preserve">l’80% di potenza su una finestra che non attraversa la rottura del 2021: il biennio. È</w:t>
      </w:r>
      <w:r>
        <w:t xml:space="preserve"> </w:t>
      </w:r>
      <w:r>
        <w:t xml:space="preserve">quindi il primo a restituire un verdetto, con il ritardo di circa due anni dei dati</w:t>
      </w:r>
      <w:r>
        <w:t xml:space="preserve"> </w:t>
      </w:r>
      <w:r>
        <w:t xml:space="preserve">comunali.</w:t>
      </w:r>
    </w:p>
    <w:p>
      <w:pPr>
        <w:pStyle w:val="BodyText"/>
      </w:pPr>
      <w:r>
        <w:t xml:space="preserve">L’indicatore ha però due limiti. È una stima di modello (sezione 3.2): si legge solo dentro</w:t>
      </w:r>
      <w:r>
        <w:t xml:space="preserve"> </w:t>
      </w:r>
      <w:r>
        <w:t xml:space="preserve">la definizione 2021+ e sempre accanto al tasso di occupazione, che è un conteggio. Inoltre</w:t>
      </w:r>
      <w:r>
        <w:t xml:space="preserve"> </w:t>
      </w:r>
      <w:r>
        <w:t xml:space="preserve">si può muovere anche senza lavoro: fra le covariate del modello c’è la frequenza di un corso</w:t>
      </w:r>
      <w:r>
        <w:t xml:space="preserve"> </w:t>
      </w:r>
      <w:r>
        <w:t xml:space="preserve">di studio risultante dai registri, quindi un’iscrizione registrata sposta una ragazza fuori</w:t>
      </w:r>
      <w:r>
        <w:t xml:space="preserve"> </w:t>
      </w:r>
      <w:r>
        <w:t xml:space="preserve">da «casalinga». L’occupazione femminile resta l’esito che dà senso al primo indicatore, e si</w:t>
      </w:r>
      <w:r>
        <w:t xml:space="preserve"> </w:t>
      </w:r>
      <w:r>
        <w:t xml:space="preserve">legge sul triennio pooled, come direzione (sezione 7.4).</w:t>
      </w:r>
    </w:p>
    <w:p>
      <w:pPr>
        <w:pStyle w:val="BodyText"/>
      </w:pPr>
      <w:r>
        <w:rPr>
          <w:b/>
          <w:bCs/>
        </w:rPr>
        <w:t xml:space="preserve">Cosa il modulo non promette</w:t>
      </w:r>
      <w:r>
        <w:t xml:space="preserve">, con lo stesso metro della sezione 9:</w:t>
      </w:r>
    </w:p>
    <w:p>
      <w:pPr>
        <w:pStyle w:val="Compact"/>
        <w:numPr>
          <w:ilvl w:val="0"/>
          <w:numId w:val="1011"/>
        </w:numPr>
      </w:pPr>
      <w:r>
        <w:t xml:space="preserve">non identifica le 387 casalinghe;</w:t>
      </w:r>
    </w:p>
    <w:p>
      <w:pPr>
        <w:pStyle w:val="Compact"/>
        <w:numPr>
          <w:ilvl w:val="0"/>
          <w:numId w:val="1011"/>
        </w:numPr>
      </w:pPr>
      <w:r>
        <w:t xml:space="preserve">non attribuisce la condizione di casalinga a una scelta né a un vincolo familiare</w:t>
      </w:r>
      <w:r>
        <w:t xml:space="preserve"> </w:t>
      </w:r>
      <w:r>
        <w:t xml:space="preserve">osservato: lo stato civile esclude il matrimonio precoce come canale, ma non osserva</w:t>
      </w:r>
      <w:r>
        <w:t xml:space="preserve"> </w:t>
      </w:r>
      <w:r>
        <w:t xml:space="preserve">convivenze né maternità;</w:t>
      </w:r>
    </w:p>
    <w:p>
      <w:pPr>
        <w:pStyle w:val="Compact"/>
        <w:numPr>
          <w:ilvl w:val="0"/>
          <w:numId w:val="1011"/>
        </w:numPr>
      </w:pPr>
      <w:r>
        <w:t xml:space="preserve">non propone interventi sul trasporto;</w:t>
      </w:r>
    </w:p>
    <w:p>
      <w:pPr>
        <w:pStyle w:val="Compact"/>
        <w:numPr>
          <w:ilvl w:val="0"/>
          <w:numId w:val="1011"/>
        </w:numPr>
      </w:pPr>
      <w:r>
        <w:t xml:space="preserve">non sostiene alcuna tesi di segregazione per indirizzo di studio, perché l’anagrafe MIUR</w:t>
      </w:r>
      <w:r>
        <w:t xml:space="preserve"> </w:t>
      </w:r>
      <w:r>
        <w:t xml:space="preserve">dà le sedi e non gli iscritti per genere e indirizzo.</w:t>
      </w:r>
    </w:p>
    <w:p>
      <w:pPr>
        <w:pStyle w:val="FirstParagraph"/>
      </w:pPr>
      <w:r>
        <w:t xml:space="preserve">Quel dato non esiste. Senza di esso, «gli indirizzi femminili non convertono» resterebbe</w:t>
      </w:r>
      <w:r>
        <w:t xml:space="preserve"> </w:t>
      </w:r>
      <w:r>
        <w:t xml:space="preserve">un’ipotesi travestita da evidenza.</w:t>
      </w:r>
    </w:p>
    <w:p>
      <w:r>
        <w:pict>
          <v:rect style="width:0;height:1.5pt" o:hralign="center" o:hrstd="t" o:hr="t"/>
        </w:pict>
      </w:r>
    </w:p>
    <w:bookmarkEnd w:id="105"/>
    <w:bookmarkEnd w:id="106"/>
    <w:bookmarkStart w:id="107" w:name="le-figure"/>
    <w:p>
      <w:pPr>
        <w:pStyle w:val="Heading1"/>
      </w:pPr>
      <w:r>
        <w:t xml:space="preserve">8. Le figure</w:t>
      </w:r>
    </w:p>
    <w:p>
      <w:pPr>
        <w:pStyle w:val="FirstParagraph"/>
      </w:pPr>
      <w:r>
        <w:t xml:space="preserve">Il bando chiede 2-3 visualizzazioni avanzate. La terna consegnata copre la voce obbligatoria</w:t>
      </w:r>
      <w:r>
        <w:t xml:space="preserve"> </w:t>
      </w:r>
      <w:r>
        <w:t xml:space="preserve">(profilo e benchmarking), il focus esplorativo scelto (il genere) e l’obiettivo del bando</w:t>
      </w:r>
      <w:r>
        <w:t xml:space="preserve"> </w:t>
      </w:r>
      <w:r>
        <w:t xml:space="preserve">(la fuga di talenti):</w:t>
      </w:r>
    </w:p>
    <w:p>
      <w:pPr>
        <w:pStyle w:val="Compact"/>
        <w:numPr>
          <w:ilvl w:val="0"/>
          <w:numId w:val="1012"/>
        </w:numPr>
      </w:pPr>
      <w:r>
        <w:rPr>
          <w:rStyle w:val="VerbatimChar"/>
          <w:b/>
          <w:bCs/>
        </w:rPr>
        <w:t xml:space="preserve">fig05_forbice</w:t>
      </w:r>
      <w:r>
        <w:t xml:space="preserve">: il paradosso in un’immagine. Mostra il quadrante «più istruite, meno</w:t>
      </w:r>
      <w:r>
        <w:t xml:space="preserve"> </w:t>
      </w:r>
      <w:r>
        <w:t xml:space="preserve">occupate» sulla stessa fascia 15-24; la forbice nel tempo sta in</w:t>
      </w:r>
      <w:r>
        <w:t xml:space="preserve"> </w:t>
      </w:r>
      <w:r>
        <w:rPr>
          <w:rStyle w:val="VerbatimChar"/>
        </w:rPr>
        <w:t xml:space="preserve">fig05b</w:t>
      </w:r>
      <w:r>
        <w:t xml:space="preserve">.</w:t>
      </w:r>
    </w:p>
    <w:p>
      <w:pPr>
        <w:pStyle w:val="Compact"/>
        <w:numPr>
          <w:ilvl w:val="0"/>
          <w:numId w:val="1012"/>
        </w:numPr>
      </w:pPr>
      <w:r>
        <w:rPr>
          <w:rStyle w:val="VerbatimChar"/>
          <w:b/>
          <w:bCs/>
        </w:rPr>
        <w:t xml:space="preserve">fig07_ritenzione_eta</w:t>
      </w:r>
      <w:r>
        <w:t xml:space="preserve">: il</w:t>
      </w:r>
      <w:r>
        <w:t xml:space="preserve"> </w:t>
      </w:r>
      <w:r>
        <w:rPr>
          <w:i/>
          <w:iCs/>
        </w:rPr>
        <w:t xml:space="preserve">quando</w:t>
      </w:r>
      <w:r>
        <w:t xml:space="preserve"> </w:t>
      </w:r>
      <w:r>
        <w:t xml:space="preserve">della fuga. È il profilo di ritenzione per età</w:t>
      </w:r>
      <w:r>
        <w:t xml:space="preserve"> </w:t>
      </w:r>
      <w:r>
        <w:t xml:space="preserve">singola, con la finestra 22-25. La differenza di genere è del triennio 2021-2024; su</w:t>
      </w:r>
      <w:r>
        <w:t xml:space="preserve"> </w:t>
      </w:r>
      <w:r>
        <w:t xml:space="preserve">cinque anni la perdita riguarda entrambi i generi (sezione 3.3). La scala decennale sta in</w:t>
      </w:r>
      <w:r>
        <w:t xml:space="preserve"> </w:t>
      </w:r>
      <w:r>
        <w:rPr>
          <w:rStyle w:val="VerbatimChar"/>
        </w:rPr>
        <w:t xml:space="preserve">fig07b</w:t>
      </w:r>
      <w:r>
        <w:t xml:space="preserve">.</w:t>
      </w:r>
    </w:p>
    <w:p>
      <w:pPr>
        <w:pStyle w:val="Compact"/>
        <w:numPr>
          <w:ilvl w:val="0"/>
          <w:numId w:val="1012"/>
        </w:numPr>
      </w:pPr>
      <w:r>
        <w:rPr>
          <w:rStyle w:val="VerbatimChar"/>
          <w:b/>
          <w:bCs/>
        </w:rPr>
        <w:t xml:space="preserve">fig04_mappa_sicilia</w:t>
      </w:r>
      <w:r>
        <w:t xml:space="preserve">: la scala. Unisce la coropleta dei 390 comuni e l’istogramma</w:t>
      </w:r>
      <w:r>
        <w:t xml:space="preserve"> </w:t>
      </w:r>
      <w:r>
        <w:t xml:space="preserve">delle due distribuzioni: «nel 2024 Bagheria arriva dove stava la mediana siciliana nel</w:t>
      </w:r>
      <w:r>
        <w:t xml:space="preserve"> </w:t>
      </w:r>
      <w:r>
        <w:t xml:space="preserve">2011». La persistenza della graduatoria (rho di Spearman) sta in</w:t>
      </w:r>
      <w:r>
        <w:t xml:space="preserve"> </w:t>
      </w:r>
      <w:r>
        <w:rPr>
          <w:rStyle w:val="VerbatimChar"/>
        </w:rPr>
        <w:t xml:space="preserve">fig04b</w:t>
      </w:r>
      <w:r>
        <w:t xml:space="preserve">.</w:t>
      </w:r>
    </w:p>
    <w:p>
      <w:pPr>
        <w:pStyle w:val="FirstParagraph"/>
      </w:pPr>
      <w:r>
        <w:t xml:space="preserve">Il criterio di scelta è dichiarato perché sia contestabile. La</w:t>
      </w:r>
      <w:r>
        <w:t xml:space="preserve"> </w:t>
      </w:r>
      <w:r>
        <w:rPr>
          <w:rStyle w:val="VerbatimChar"/>
        </w:rPr>
        <w:t xml:space="preserve">fig04</w:t>
      </w:r>
      <w:r>
        <w:t xml:space="preserve"> </w:t>
      </w:r>
      <w:r>
        <w:t xml:space="preserve">mette Bagheria fra</w:t>
      </w:r>
      <w:r>
        <w:t xml:space="preserve"> </w:t>
      </w:r>
      <w:r>
        <w:t xml:space="preserve">390 comuni invece di trattarla come un caso isolato. La</w:t>
      </w:r>
      <w:r>
        <w:t xml:space="preserve"> </w:t>
      </w:r>
      <w:r>
        <w:rPr>
          <w:rStyle w:val="VerbatimChar"/>
        </w:rPr>
        <w:t xml:space="preserve">fig05</w:t>
      </w:r>
      <w:r>
        <w:t xml:space="preserve"> </w:t>
      </w:r>
      <w:r>
        <w:t xml:space="preserve">porta il focus scelto al suo</w:t>
      </w:r>
      <w:r>
        <w:t xml:space="preserve"> </w:t>
      </w:r>
      <w:r>
        <w:t xml:space="preserve">punto più netto. La</w:t>
      </w:r>
      <w:r>
        <w:t xml:space="preserve"> </w:t>
      </w:r>
      <w:r>
        <w:rPr>
          <w:rStyle w:val="VerbatimChar"/>
        </w:rPr>
        <w:t xml:space="preserve">fig07</w:t>
      </w:r>
      <w:r>
        <w:t xml:space="preserve"> </w:t>
      </w:r>
      <w:r>
        <w:t xml:space="preserve">è l’unica figura che dice</w:t>
      </w:r>
      <w:r>
        <w:t xml:space="preserve"> </w:t>
      </w:r>
      <w:r>
        <w:rPr>
          <w:b/>
          <w:bCs/>
        </w:rPr>
        <w:t xml:space="preserve">a che età</w:t>
      </w:r>
      <w:r>
        <w:t xml:space="preserve"> </w:t>
      </w:r>
      <w:r>
        <w:t xml:space="preserve">si parte, ed è la</w:t>
      </w:r>
      <w:r>
        <w:t xml:space="preserve"> </w:t>
      </w:r>
      <w:r>
        <w:t xml:space="preserve">ragione per cui Ponte 19 ha due finestre.</w:t>
      </w:r>
    </w:p>
    <w:p>
      <w:pPr>
        <w:pStyle w:val="BodyText"/>
      </w:pPr>
      <w:r>
        <w:t xml:space="preserve">Tre figure fanno da supporto.</w:t>
      </w:r>
      <w:r>
        <w:t xml:space="preserve"> </w:t>
      </w:r>
      <w:r>
        <w:rPr>
          <w:rStyle w:val="VerbatimChar"/>
          <w:b/>
          <w:bCs/>
        </w:rPr>
        <w:t xml:space="preserve">fig09_kpi_finestra</w:t>
      </w:r>
      <w:r>
        <w:t xml:space="preserve"> </w:t>
      </w:r>
      <w:r>
        <w:t xml:space="preserve">traduce il KPI in persone e lo mette</w:t>
      </w:r>
      <w:r>
        <w:t xml:space="preserve"> </w:t>
      </w:r>
      <w:r>
        <w:t xml:space="preserve">di fronte al restringimento della platea (sezione 6).</w:t>
      </w:r>
      <w:r>
        <w:t xml:space="preserve"> </w:t>
      </w:r>
      <w:r>
        <w:rPr>
          <w:rStyle w:val="VerbatimChar"/>
          <w:b/>
          <w:bCs/>
        </w:rPr>
        <w:t xml:space="preserve">fig09b_potenza</w:t>
      </w:r>
      <w:r>
        <w:t xml:space="preserve"> </w:t>
      </w:r>
      <w:r>
        <w:t xml:space="preserve">dichiara quanto</w:t>
      </w:r>
      <w:r>
        <w:t xml:space="preserve"> </w:t>
      </w:r>
      <w:r>
        <w:t xml:space="preserve">il tasso comunale può dire sull’intervento, con due metri di potenza affiancati (sezione</w:t>
      </w:r>
      <w:r>
        <w:t xml:space="preserve"> </w:t>
      </w:r>
      <w:r>
        <w:t xml:space="preserve">7.4).</w:t>
      </w:r>
      <w:r>
        <w:t xml:space="preserve"> </w:t>
      </w:r>
      <w:r>
        <w:rPr>
          <w:rStyle w:val="VerbatimChar"/>
          <w:b/>
          <w:bCs/>
        </w:rPr>
        <w:t xml:space="preserve">fig13b_occupazione_eta_genere</w:t>
      </w:r>
      <w:r>
        <w:t xml:space="preserve"> </w:t>
      </w:r>
      <w:r>
        <w:t xml:space="preserve">mostra, per classe d’età e genere, il deficit</w:t>
      </w:r>
      <w:r>
        <w:t xml:space="preserve"> </w:t>
      </w:r>
      <w:r>
        <w:t xml:space="preserve">femminile che si apre dopo i 25 anni (sezione 3.1-bis).</w:t>
      </w:r>
    </w:p>
    <w:p>
      <w:pPr>
        <w:pStyle w:val="BodyText"/>
      </w:pPr>
      <w:r>
        <w:t xml:space="preserve">Il terzo focus del bando ha una serie propria, aggiunta con il thread mobilità:</w:t>
      </w:r>
    </w:p>
    <w:p>
      <w:pPr>
        <w:pStyle w:val="Compact"/>
        <w:numPr>
          <w:ilvl w:val="0"/>
          <w:numId w:val="1013"/>
        </w:numPr>
      </w:pPr>
      <w:r>
        <w:rPr>
          <w:rStyle w:val="VerbatimChar"/>
          <w:b/>
          <w:bCs/>
        </w:rPr>
        <w:t xml:space="preserve">mob_fig01_verso_palermo</w:t>
      </w:r>
      <w:r>
        <w:t xml:space="preserve">: la carta a flussi. Mostra dove vanno i pendolari di</w:t>
      </w:r>
      <w:r>
        <w:t xml:space="preserve"> </w:t>
      </w:r>
      <w:r>
        <w:t xml:space="preserve">Bagheria, per studio e per lavoro, con il nome del comune di arrivo. È la risposta</w:t>
      </w:r>
      <w:r>
        <w:t xml:space="preserve"> </w:t>
      </w:r>
      <w:r>
        <w:t xml:space="preserve">letterale alla domanda del bando, ed è la</w:t>
      </w:r>
      <w:r>
        <w:t xml:space="preserve"> </w:t>
      </w:r>
      <w:r>
        <w:rPr>
          <w:b/>
          <w:bCs/>
        </w:rPr>
        <w:t xml:space="preserve">prima riserva</w:t>
      </w:r>
      <w:r>
        <w:t xml:space="preserve"> </w:t>
      </w:r>
      <w:r>
        <w:t xml:space="preserve">della terna. Resta fuori per</w:t>
      </w:r>
      <w:r>
        <w:t xml:space="preserve"> </w:t>
      </w:r>
      <w:r>
        <w:t xml:space="preserve">due ragioni:</w:t>
      </w:r>
      <w:r>
        <w:t xml:space="preserve"> </w:t>
      </w:r>
      <w:r>
        <w:rPr>
          <w:rStyle w:val="VerbatimChar"/>
        </w:rPr>
        <w:t xml:space="preserve">fig04</w:t>
      </w:r>
      <w:r>
        <w:t xml:space="preserve"> </w:t>
      </w:r>
      <w:r>
        <w:t xml:space="preserve">è già una carta, e togliere</w:t>
      </w:r>
      <w:r>
        <w:t xml:space="preserve"> </w:t>
      </w:r>
      <w:r>
        <w:rPr>
          <w:rStyle w:val="VerbatimChar"/>
        </w:rPr>
        <w:t xml:space="preserve">fig07</w:t>
      </w:r>
      <w:r>
        <w:t xml:space="preserve"> </w:t>
      </w:r>
      <w:r>
        <w:t xml:space="preserve">lascerebbe la finestra d’età</w:t>
      </w:r>
      <w:r>
        <w:t xml:space="preserve"> </w:t>
      </w:r>
      <w:r>
        <w:t xml:space="preserve">della proposta senza la figura che la giustifica.</w:t>
      </w:r>
    </w:p>
    <w:p>
      <w:pPr>
        <w:pStyle w:val="Compact"/>
        <w:numPr>
          <w:ilvl w:val="0"/>
          <w:numId w:val="1013"/>
        </w:numPr>
      </w:pPr>
      <w:r>
        <w:rPr>
          <w:rStyle w:val="VerbatimChar"/>
          <w:b/>
          <w:bCs/>
        </w:rPr>
        <w:t xml:space="preserve">mob_fig02_ribaltamento</w:t>
      </w:r>
      <w:r>
        <w:t xml:space="preserve">: il risultato del thread. Le due misure sono unite da una</w:t>
      </w:r>
      <w:r>
        <w:t xml:space="preserve"> </w:t>
      </w:r>
      <w:r>
        <w:t xml:space="preserve">linea la cui pendenza è il risultato; accanto, la distribuzione dei 390 comuni.</w:t>
      </w:r>
    </w:p>
    <w:p>
      <w:pPr>
        <w:pStyle w:val="Compact"/>
        <w:numPr>
          <w:ilvl w:val="0"/>
          <w:numId w:val="1013"/>
        </w:numPr>
      </w:pPr>
      <w:r>
        <w:rPr>
          <w:rStyle w:val="VerbatimChar"/>
          <w:b/>
          <w:bCs/>
        </w:rPr>
        <w:t xml:space="preserve">mob_fig03_treno_genere</w:t>
      </w:r>
      <w:r>
        <w:t xml:space="preserve">: mezzo e orario per genere, più il pannello che impedisce di</w:t>
      </w:r>
      <w:r>
        <w:t xml:space="preserve"> </w:t>
      </w:r>
      <w:r>
        <w:t xml:space="preserve">leggere la figura come «serve più treno».</w:t>
      </w:r>
    </w:p>
    <w:p>
      <w:pPr>
        <w:pStyle w:val="Compact"/>
        <w:numPr>
          <w:ilvl w:val="0"/>
          <w:numId w:val="1013"/>
        </w:numPr>
      </w:pPr>
      <w:r>
        <w:rPr>
          <w:rStyle w:val="VerbatimChar"/>
          <w:b/>
          <w:bCs/>
        </w:rPr>
        <w:t xml:space="preserve">mob_fig04_taglia_distanza</w:t>
      </w:r>
      <w:r>
        <w:t xml:space="preserve">: la figura che toglie di mezzo un’affermazione invece di</w:t>
      </w:r>
      <w:r>
        <w:t xml:space="preserve"> </w:t>
      </w:r>
      <w:r>
        <w:t xml:space="preserve">aggiungerne una. L’anomalia di</w:t>
      </w:r>
      <w:r>
        <w:t xml:space="preserve"> </w:t>
      </w:r>
      <w:r>
        <w:rPr>
          <w:rStyle w:val="VerbatimChar"/>
        </w:rPr>
        <w:t xml:space="preserve">M2</w:t>
      </w:r>
      <w:r>
        <w:t xml:space="preserve"> </w:t>
      </w:r>
      <w:r>
        <w:t xml:space="preserve">era un effetto della taglia.</w:t>
      </w:r>
    </w:p>
    <w:p>
      <w:pPr>
        <w:pStyle w:val="FirstParagraph"/>
      </w:pPr>
      <w:r>
        <w:rPr>
          <w:rStyle w:val="VerbatimChar"/>
          <w:b/>
          <w:bCs/>
        </w:rPr>
        <w:t xml:space="preserve">fig12_pendolarismo</w:t>
      </w:r>
      <w:r>
        <w:t xml:space="preserve"> </w:t>
      </w:r>
      <w:r>
        <w:t xml:space="preserve">resta come lettura sul censimento permanente 2018-2019: è la</w:t>
      </w:r>
      <w:r>
        <w:t xml:space="preserve"> </w:t>
      </w:r>
      <w:r>
        <w:t xml:space="preserve">replica indipendente della sezione 5.2. Le altre figure stanno nei notebook come apparato.</w:t>
      </w:r>
    </w:p>
    <w:p>
      <w:pPr>
        <w:pStyle w:val="BodyText"/>
      </w:pPr>
      <w:r>
        <w:t xml:space="preserve">Tutte le figure hanno un titolo che enuncia il risultato, la fascia d’età dichiarata, fonte</w:t>
      </w:r>
      <w:r>
        <w:t xml:space="preserve"> </w:t>
      </w:r>
      <w:r>
        <w:t xml:space="preserve">e cautele in didascalia e una palette colorblind-safe. Sono esportate in PNG a 300 dpi e in</w:t>
      </w:r>
      <w:r>
        <w:t xml:space="preserve"> </w:t>
      </w:r>
      <w:r>
        <w:t xml:space="preserve">SVG in</w:t>
      </w:r>
      <w:r>
        <w:t xml:space="preserve"> </w:t>
      </w:r>
      <w:r>
        <w:rPr>
          <w:rStyle w:val="VerbatimChar"/>
        </w:rPr>
        <w:t xml:space="preserve">figures/</w:t>
      </w:r>
      <w:r>
        <w:t xml:space="preserve">.</w:t>
      </w:r>
    </w:p>
    <w:p>
      <w:r>
        <w:pict>
          <v:rect style="width:0;height:1.5pt" o:hralign="center" o:hrstd="t" o:hr="t"/>
        </w:pict>
      </w:r>
    </w:p>
    <w:bookmarkEnd w:id="107"/>
    <w:bookmarkStart w:id="108" w:name="cosa-questa-relazione-non-afferma"/>
    <w:p>
      <w:pPr>
        <w:pStyle w:val="Heading1"/>
      </w:pPr>
      <w:r>
        <w:t xml:space="preserve">9. Cosa questa relazione non afferma</w:t>
      </w:r>
    </w:p>
    <w:p>
      <w:pPr>
        <w:pStyle w:val="Compact"/>
        <w:numPr>
          <w:ilvl w:val="0"/>
          <w:numId w:val="1014"/>
        </w:numPr>
      </w:pPr>
      <w:r>
        <w:rPr>
          <w:b/>
          <w:bCs/>
        </w:rPr>
        <w:t xml:space="preserve">Il NEET 15-34 comunale non esiste</w:t>
      </w:r>
      <w:r>
        <w:t xml:space="preserve"> </w:t>
      </w:r>
      <w:r>
        <w:t xml:space="preserve">nei dati pubblici. Le due misure usate, il NEET</w:t>
      </w:r>
      <w:r>
        <w:t xml:space="preserve"> </w:t>
      </w:r>
      <w:r>
        <w:t xml:space="preserve">15-29 al 2011 e la quota «fuori da lavoro e studio» 15-24 dal 2018, sono etichettate e</w:t>
      </w:r>
      <w:r>
        <w:t xml:space="preserve"> </w:t>
      </w:r>
      <w:r>
        <w:t xml:space="preserve">mai fuse.</w:t>
      </w:r>
    </w:p>
    <w:p>
      <w:pPr>
        <w:pStyle w:val="Compact"/>
        <w:numPr>
          <w:ilvl w:val="0"/>
          <w:numId w:val="1014"/>
        </w:numPr>
      </w:pPr>
      <w:r>
        <w:rPr>
          <w:b/>
          <w:bCs/>
        </w:rPr>
        <w:t xml:space="preserve">Nessun tasso di occupazione per titolo di studio a Bagheria</w:t>
      </w:r>
      <w:r>
        <w:t xml:space="preserve">: l’incrocio individuale</w:t>
      </w:r>
      <w:r>
        <w:t xml:space="preserve"> </w:t>
      </w:r>
      <w:r>
        <w:t xml:space="preserve">non è pubblicato (sezione 4), quindi ogni affermazione del tipo «i diplomati di</w:t>
      </w:r>
      <w:r>
        <w:t xml:space="preserve"> </w:t>
      </w:r>
      <w:r>
        <w:t xml:space="preserve">Bagheria…» sarebbe inventata.</w:t>
      </w:r>
    </w:p>
    <w:p>
      <w:pPr>
        <w:pStyle w:val="Compact"/>
        <w:numPr>
          <w:ilvl w:val="0"/>
          <w:numId w:val="1014"/>
        </w:numPr>
      </w:pPr>
      <w:r>
        <w:rPr>
          <w:b/>
          <w:bCs/>
        </w:rPr>
        <w:t xml:space="preserve">Nessuna età sul pendolarismo</w:t>
      </w:r>
      <w:r>
        <w:t xml:space="preserve">: la matrice ISTAT dà la destinazione (sezione 5), ma né</w:t>
      </w:r>
      <w:r>
        <w:t xml:space="preserve"> </w:t>
      </w:r>
      <w:r>
        <w:t xml:space="preserve">la matrice né il censimento permanente hanno la dimensione età. Il pendolarismo del</w:t>
      </w:r>
      <w:r>
        <w:t xml:space="preserve"> </w:t>
      </w:r>
      <w:r>
        <w:t xml:space="preserve">target 15-34 non è quindi isolabile. Il motivo dello spostamento è un’informazione d’età</w:t>
      </w:r>
      <w:r>
        <w:t xml:space="preserve"> </w:t>
      </w:r>
      <w:r>
        <w:t xml:space="preserve">parziale, e viene usata come tale. La ritenzione di coorte resta un saldo netto senza</w:t>
      </w:r>
      <w:r>
        <w:t xml:space="preserve"> </w:t>
      </w:r>
      <w:r>
        <w:t xml:space="preserve">destinazioni, e le due misure non si sommano.</w:t>
      </w:r>
    </w:p>
    <w:p>
      <w:pPr>
        <w:pStyle w:val="Compact"/>
        <w:numPr>
          <w:ilvl w:val="0"/>
          <w:numId w:val="1014"/>
        </w:numPr>
      </w:pPr>
      <w:r>
        <w:rPr>
          <w:b/>
          <w:bCs/>
        </w:rPr>
        <w:t xml:space="preserve">Nessuna stima causale</w:t>
      </w:r>
      <w:r>
        <w:t xml:space="preserve">: i confronti territoriali ed ecologici orientano la diagnosi, e</w:t>
      </w:r>
      <w:r>
        <w:t xml:space="preserve"> </w:t>
      </w:r>
      <w:r>
        <w:t xml:space="preserve">il disegno di valutazione (sezione 7.4) serve a produrre l’evidenza che oggi manca.</w:t>
      </w:r>
      <w:r>
        <w:t xml:space="preserve"> </w:t>
      </w:r>
      <w:r>
        <w:t xml:space="preserve">L’inattività non è attribuita a una singola causa non osservata.</w:t>
      </w:r>
    </w:p>
    <w:p>
      <w:pPr>
        <w:pStyle w:val="Compact"/>
        <w:numPr>
          <w:ilvl w:val="0"/>
          <w:numId w:val="1014"/>
        </w:numPr>
      </w:pPr>
      <w:r>
        <w:rPr>
          <w:b/>
          <w:bCs/>
        </w:rPr>
        <w:t xml:space="preserve">Nessuna interpolazione</w:t>
      </w:r>
      <w:r>
        <w:t xml:space="preserve">: il 2020 mancante resta mancante, e la rottura di misura</w:t>
      </w:r>
      <w:r>
        <w:t xml:space="preserve"> </w:t>
      </w:r>
      <w:r>
        <w:t xml:space="preserve">2019→2021 è dichiarata ogni volta che si cita la serie delle componenti.</w:t>
      </w:r>
    </w:p>
    <w:p>
      <w:pPr>
        <w:pStyle w:val="Compact"/>
        <w:numPr>
          <w:ilvl w:val="0"/>
          <w:numId w:val="1014"/>
        </w:numPr>
      </w:pPr>
      <w:r>
        <w:rPr>
          <w:b/>
          <w:bCs/>
        </w:rPr>
        <w:t xml:space="preserve">La finestra 22-25 è pooled</w:t>
      </w:r>
      <w:r>
        <w:t xml:space="preserve">: sull’anno singolo oscilla, e per questo non si usa come</w:t>
      </w:r>
      <w:r>
        <w:t xml:space="preserve"> </w:t>
      </w:r>
      <w:r>
        <w:t xml:space="preserve">lettura annuale.</w:t>
      </w:r>
    </w:p>
    <w:p>
      <w:pPr>
        <w:pStyle w:val="Compact"/>
        <w:numPr>
          <w:ilvl w:val="0"/>
          <w:numId w:val="1014"/>
        </w:numPr>
      </w:pPr>
      <w:r>
        <w:rPr>
          <w:b/>
          <w:bCs/>
        </w:rPr>
        <w:t xml:space="preserve">Nessuna associazione fra uso del mezzo collettivo e divario di genere</w:t>
      </w:r>
      <w:r>
        <w:t xml:space="preserve">: è stata</w:t>
      </w:r>
      <w:r>
        <w:t xml:space="preserve"> </w:t>
      </w:r>
      <w:r>
        <w:t xml:space="preserve">testata sui 381 comuni non capoluogo e</w:t>
      </w:r>
      <w:r>
        <w:t xml:space="preserve"> </w:t>
      </w:r>
      <w:r>
        <w:rPr>
          <w:b/>
          <w:bCs/>
        </w:rPr>
        <w:t xml:space="preserve">non è stata trovata</w:t>
      </w:r>
      <w:r>
        <w:t xml:space="preserve"> </w:t>
      </w:r>
      <w:r>
        <w:t xml:space="preserve">(sezione 5.4). È un</w:t>
      </w:r>
      <w:r>
        <w:t xml:space="preserve"> </w:t>
      </w:r>
      <w:r>
        <w:t xml:space="preserve">risultato ecologico: non esclude un effetto sulla singola persona, ma nessuna parte della</w:t>
      </w:r>
      <w:r>
        <w:t xml:space="preserve"> </w:t>
      </w:r>
      <w:r>
        <w:t xml:space="preserve">proposta si appoggia all’offerta di trasporto.</w:t>
      </w:r>
    </w:p>
    <w:p>
      <w:pPr>
        <w:pStyle w:val="Compact"/>
        <w:numPr>
          <w:ilvl w:val="0"/>
          <w:numId w:val="1014"/>
        </w:numPr>
      </w:pPr>
      <w:r>
        <w:rPr>
          <w:b/>
          <w:bCs/>
        </w:rPr>
        <w:t xml:space="preserve">Nessun primato sui titoli</w:t>
      </w:r>
      <w:r>
        <w:t xml:space="preserve">: Bagheria non produce più istruzione dei territori di</w:t>
      </w:r>
      <w:r>
        <w:t xml:space="preserve"> </w:t>
      </w:r>
      <w:r>
        <w:t xml:space="preserve">confronto. Sta davanti solo sulla competenza di base del 2011 (</w:t>
      </w:r>
      <w:r>
        <w:rPr>
          <w:rStyle w:val="VerbatimChar"/>
        </w:rPr>
        <w:t xml:space="preserve">I8</w:t>
      </w:r>
      <w:r>
        <w:t xml:space="preserve">), ed è ultima del</w:t>
      </w:r>
      <w:r>
        <w:t xml:space="preserve"> </w:t>
      </w:r>
      <w:r>
        <w:t xml:space="preserve">panel su diploma o laurea (</w:t>
      </w:r>
      <w:r>
        <w:rPr>
          <w:rStyle w:val="VerbatimChar"/>
        </w:rPr>
        <w:t xml:space="preserve">I6</w:t>
      </w:r>
      <w:r>
        <w:t xml:space="preserve">) e su titolo universitario (</w:t>
      </w:r>
      <w:r>
        <w:rPr>
          <w:rStyle w:val="VerbatimChar"/>
        </w:rPr>
        <w:t xml:space="preserve">I7</w:t>
      </w:r>
      <w:r>
        <w:t xml:space="preserve">). Ciò che si afferma è</w:t>
      </w:r>
      <w:r>
        <w:t xml:space="preserve"> </w:t>
      </w:r>
      <w:r>
        <w:t xml:space="preserve">la mancata conversione, non un surplus di titoli da convertire (sezione 4).</w:t>
      </w:r>
    </w:p>
    <w:p>
      <w:pPr>
        <w:pStyle w:val="Compact"/>
        <w:numPr>
          <w:ilvl w:val="0"/>
          <w:numId w:val="1014"/>
        </w:numPr>
      </w:pPr>
      <w:r>
        <w:rPr>
          <w:b/>
          <w:bCs/>
        </w:rPr>
        <w:t xml:space="preserve">Nessuna misura diretta dell’emigrazione, né per titolo di studio</w:t>
      </w:r>
      <w:r>
        <w:t xml:space="preserve">: la ritenzione di</w:t>
      </w:r>
      <w:r>
        <w:t xml:space="preserve"> </w:t>
      </w:r>
      <w:r>
        <w:t xml:space="preserve">coorte è un saldo netto fra partenze e arrivi, senza destinazione e senza titolo. Sul</w:t>
      </w:r>
      <w:r>
        <w:t xml:space="preserve"> </w:t>
      </w:r>
      <w:r>
        <w:t xml:space="preserve">totale dei 15-34, a parità di coorti, Bagheria perde quanto la Sicilia. La «fuga di</w:t>
      </w:r>
      <w:r>
        <w:t xml:space="preserve"> </w:t>
      </w:r>
      <w:r>
        <w:t xml:space="preserve">talenti» che questa relazione documenta è quindi una perdita all’uscita dal percorso</w:t>
      </w:r>
      <w:r>
        <w:t xml:space="preserve"> </w:t>
      </w:r>
      <w:r>
        <w:t xml:space="preserve">formativo, per entrambi i generi, non un’emorragia complessiva (sezioni 3.3 e 6). Il dato</w:t>
      </w:r>
      <w:r>
        <w:t xml:space="preserve"> </w:t>
      </w:r>
      <w:r>
        <w:t xml:space="preserve">diretto esiste alla fonte, ma non è pubblicato per il comune. I trasferimenti di</w:t>
      </w:r>
      <w:r>
        <w:t xml:space="preserve"> </w:t>
      </w:r>
      <w:r>
        <w:t xml:space="preserve">residenza sono rilevati comune per comune; ISTAT ne pubblica età e titolo di studio solo</w:t>
      </w:r>
      <w:r>
        <w:t xml:space="preserve"> </w:t>
      </w:r>
      <w:r>
        <w:t xml:space="preserve">fino alla provincia, e per Bagheria solo i totali per sesso, verso un altro comune o</w:t>
      </w:r>
      <w:r>
        <w:t xml:space="preserve"> </w:t>
      </w:r>
      <w:r>
        <w:t xml:space="preserve">verso l’estero. I dati elementari, anonimi, si possono chiedere a ISTAT.</w:t>
      </w:r>
    </w:p>
    <w:p>
      <w:pPr>
        <w:pStyle w:val="Compact"/>
        <w:numPr>
          <w:ilvl w:val="0"/>
          <w:numId w:val="1014"/>
        </w:numPr>
      </w:pPr>
      <w:r>
        <w:rPr>
          <w:b/>
          <w:bCs/>
        </w:rPr>
        <w:t xml:space="preserve">Le condizioni non professionali sono stime, non conteggi</w:t>
      </w:r>
      <w:r>
        <w:t xml:space="preserve">: dal 2021 casalinghe,</w:t>
      </w:r>
      <w:r>
        <w:t xml:space="preserve"> </w:t>
      </w:r>
      <w:r>
        <w:t xml:space="preserve">studenti, chi cerca lavoro e la platea degli inattivi non studenti sono somme di</w:t>
      </w:r>
      <w:r>
        <w:t xml:space="preserve"> </w:t>
      </w:r>
      <w:r>
        <w:t xml:space="preserve">probabilità di un modello ISTAT, di cui non è pubblicato l’errore (sezione 3.2). Si</w:t>
      </w:r>
      <w:r>
        <w:t xml:space="preserve"> </w:t>
      </w:r>
      <w:r>
        <w:t xml:space="preserve">leggono solo dal 2021, e sempre accanto al tasso di occupazione, che è un conteggio.</w:t>
      </w:r>
    </w:p>
    <w:p>
      <w:pPr>
        <w:pStyle w:val="Compact"/>
        <w:numPr>
          <w:ilvl w:val="0"/>
          <w:numId w:val="1014"/>
        </w:numPr>
      </w:pPr>
      <w:r>
        <w:rPr>
          <w:b/>
          <w:bCs/>
        </w:rPr>
        <w:t xml:space="preserve">Il tasso comunale non prova l’effetto del servizio</w:t>
      </w:r>
      <w:r>
        <w:t xml:space="preserve">: contro la variabilità dei comuni</w:t>
      </w:r>
      <w:r>
        <w:t xml:space="preserve"> </w:t>
      </w:r>
      <w:r>
        <w:t xml:space="preserve">di taglia simile, nessuna finestra di lettura arriva all’80% di potenza sul tasso di</w:t>
      </w:r>
      <w:r>
        <w:t xml:space="preserve"> </w:t>
      </w:r>
      <w:r>
        <w:t xml:space="preserve">occupazione femminile (sezione 7.4). L’effetto si misura sui partecipanti, e nel primo</w:t>
      </w:r>
      <w:r>
        <w:t xml:space="preserve"> </w:t>
      </w:r>
      <w:r>
        <w:t xml:space="preserve">anno il pilota vede solo effetti grandi.</w:t>
      </w:r>
    </w:p>
    <w:p>
      <w:pPr>
        <w:pStyle w:val="Compact"/>
        <w:numPr>
          <w:ilvl w:val="0"/>
          <w:numId w:val="1014"/>
        </w:numPr>
      </w:pPr>
      <w:r>
        <w:rPr>
          <w:b/>
          <w:bCs/>
        </w:rPr>
        <w:t xml:space="preserve">Il 25-49 non è una misura dei giovani</w:t>
      </w:r>
      <w:r>
        <w:t xml:space="preserve">: serve solo a testare che cosa succede dopo la</w:t>
      </w:r>
      <w:r>
        <w:t xml:space="preserve"> </w:t>
      </w:r>
      <w:r>
        <w:t xml:space="preserve">fascia target (sezione 3.1-bis). Il 26-34 resta non isolabile, e il test sulle</w:t>
      </w:r>
      <w:r>
        <w:t xml:space="preserve"> </w:t>
      </w:r>
      <w:r>
        <w:t xml:space="preserve">generazioni non separa l’età dalla coorte.</w:t>
      </w:r>
    </w:p>
    <w:p>
      <w:r>
        <w:pict>
          <v:rect style="width:0;height:1.5pt" o:hralign="center" o:hrstd="t" o:hr="t"/>
        </w:pict>
      </w:r>
    </w:p>
    <w:bookmarkEnd w:id="108"/>
    <w:bookmarkStart w:id="109"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docs/policy/POLICY_PONTE_19.md</w:t>
            </w:r>
          </w:p>
        </w:tc>
      </w:tr>
      <w:tr>
        <w:tc>
          <w:tcPr/>
          <w:p>
            <w:pPr>
              <w:pStyle w:val="Compact"/>
            </w:pPr>
            <w:r>
              <w:t xml:space="preserve">Documento di lavoro: tesi, scelta delle figure, limiti</w:t>
            </w:r>
          </w:p>
        </w:tc>
        <w:tc>
          <w:tcPr/>
          <w:p>
            <w:pPr>
              <w:pStyle w:val="Compact"/>
            </w:pPr>
            <w:r>
              <w:rPr>
                <w:rStyle w:val="VerbatimChar"/>
              </w:rPr>
              <w:t xml:space="preserve">docs/team/SCELTE_ANALITICHE.md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2026-09-24. Il sensore</w:t>
      </w:r>
      <w:r>
        <w:t xml:space="preserve"> </w:t>
      </w:r>
      <w:r>
        <w:rPr>
          <w:rStyle w:val="VerbatimChar"/>
        </w:rPr>
        <w:t xml:space="preserve">nbconvert</w:t>
      </w:r>
      <w:r>
        <w:t xml:space="preserve"> </w:t>
      </w:r>
      <w:r>
        <w:t xml:space="preserve">è</w:t>
      </w:r>
      <w:r>
        <w:t xml:space="preserve"> </w:t>
      </w:r>
      <w:r>
        <w:rPr>
          <w:b/>
          <w:bCs/>
        </w:rPr>
        <w:t xml:space="preserve">verde sui quattro notebook</w:t>
      </w:r>
      <w:r>
        <w:t xml:space="preserve"> </w:t>
      </w:r>
      <w:r>
        <w:t xml:space="preserve">e</w:t>
      </w:r>
      <w:r>
        <w:t xml:space="preserve"> </w:t>
      </w:r>
      <w:r>
        <w:rPr>
          <w:rStyle w:val="VerbatimChar"/>
        </w:rPr>
        <w:t xml:space="preserve">pipeline.verifica</w:t>
      </w:r>
      <w:r>
        <w:t xml:space="preserve"> </w:t>
      </w:r>
      <w:r>
        <w:t xml:space="preserve">dà</w:t>
      </w:r>
      <w:r>
        <w:t xml:space="preserve"> </w:t>
      </w:r>
      <w:r>
        <w:rPr>
          <w:b/>
          <w:bCs/>
        </w:rPr>
        <w:t xml:space="preserve">986/986 PASS</w:t>
      </w:r>
      <w:r>
        <w:t xml:space="preserve">. La matrice del pendolarismo ricostruisce</w:t>
      </w:r>
      <w:r>
        <w:t xml:space="preserve"> </w:t>
      </w:r>
      <w:r>
        <w:rPr>
          <w:b/>
          <w:bCs/>
        </w:rPr>
        <w:t xml:space="preserve">sette</w:t>
      </w:r>
      <w:r>
        <w:rPr>
          <w:b/>
          <w:bCs/>
        </w:rPr>
        <w:t xml:space="preserve"> </w:t>
      </w:r>
      <w:r>
        <w:rPr>
          <w:b/>
          <w:bCs/>
        </w:rPr>
        <w:t xml:space="preserve">su 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w:t>
      </w:r>
      <w:r>
        <w:t xml:space="preserve"> </w:t>
      </w:r>
      <w:r>
        <w:t xml:space="preserve">da ISTAT. Nessun numero di questa relazione è scritto a mano: ogni cifra ha accanto il file</w:t>
      </w:r>
      <w:r>
        <w:t xml:space="preserve"> </w:t>
      </w:r>
      <w:r>
        <w:t xml:space="preserve">o la cella che la rigenera.</w:t>
      </w:r>
    </w:p>
    <w:p>
      <w:r>
        <w:pict>
          <v:rect style="width:0;height:1.5pt" o:hralign="center" o:hrstd="t" o:hr="t"/>
        </w:pict>
      </w:r>
    </w:p>
    <w:bookmarkEnd w:id="109"/>
    <w:bookmarkStart w:id="161"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010574"/>
            <wp:effectExtent b="0" l="0" r="0" t="0"/>
            <wp:docPr descr="" title="" id="111" name="Picture"/>
            <a:graphic>
              <a:graphicData uri="http://schemas.openxmlformats.org/drawingml/2006/picture">
                <pic:pic>
                  <pic:nvPicPr>
                    <pic:cNvPr descr="/home/kiycoh/Documents/dev/datapolis-2026-hackathon/.docx-build/fig02b_casalinghe_territori.png" id="112" name="Picture"/>
                    <pic:cNvPicPr>
                      <a:picLocks noChangeArrowheads="1" noChangeAspect="1"/>
                    </pic:cNvPicPr>
                  </pic:nvPicPr>
                  <pic:blipFill>
                    <a:blip r:embed="rId110"/>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4" name="Picture"/>
            <a:graphic>
              <a:graphicData uri="http://schemas.openxmlformats.org/drawingml/2006/picture">
                <pic:pic>
                  <pic:nvPicPr>
                    <pic:cNvPr descr="/home/kiycoh/Documents/dev/datapolis-2026-hackathon/.docx-build/fig02c_composizione_territori.png" id="115" name="Picture"/>
                    <pic:cNvPicPr>
                      <a:picLocks noChangeArrowheads="1" noChangeAspect="1"/>
                    </pic:cNvPicPr>
                  </pic:nvPicPr>
                  <pic:blipFill>
                    <a:blip r:embed="rId113"/>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7" name="Picture"/>
            <a:graphic>
              <a:graphicData uri="http://schemas.openxmlformats.org/drawingml/2006/picture">
                <pic:pic>
                  <pic:nvPicPr>
                    <pic:cNvPr descr="/home/kiycoh/Documents/dev/datapolis-2026-hackathon/.docx-build/fig04b_persistenza.png" id="118" name="Picture"/>
                    <pic:cNvPicPr>
                      <a:picLocks noChangeArrowheads="1" noChangeAspect="1"/>
                    </pic:cNvPicPr>
                  </pic:nvPicPr>
                  <pic:blipFill>
                    <a:blip r:embed="rId116"/>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20" name="Picture"/>
            <a:graphic>
              <a:graphicData uri="http://schemas.openxmlformats.org/drawingml/2006/picture">
                <pic:pic>
                  <pic:nvPicPr>
                    <pic:cNvPr descr="/home/kiycoh/Documents/dev/datapolis-2026-hackathon/.docx-build/fig04c_graduatoria_390.png" id="121" name="Picture"/>
                    <pic:cNvPicPr>
                      <a:picLocks noChangeArrowheads="1" noChangeAspect="1"/>
                    </pic:cNvPicPr>
                  </pic:nvPicPr>
                  <pic:blipFill>
                    <a:blip r:embed="rId119"/>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23" name="Picture"/>
            <a:graphic>
              <a:graphicData uri="http://schemas.openxmlformats.org/drawingml/2006/picture">
                <pic:pic>
                  <pic:nvPicPr>
                    <pic:cNvPr descr="/home/kiycoh/Documents/dev/datapolis-2026-hackathon/.docx-build/fig05b_forbice_serie.png" id="124" name="Picture"/>
                    <pic:cNvPicPr>
                      <a:picLocks noChangeArrowheads="1" noChangeAspect="1"/>
                    </pic:cNvPicPr>
                  </pic:nvPicPr>
                  <pic:blipFill>
                    <a:blip r:embed="rId122"/>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6" name="Picture"/>
            <a:graphic>
              <a:graphicData uri="http://schemas.openxmlformats.org/drawingml/2006/picture">
                <pic:pic>
                  <pic:nvPicPr>
                    <pic:cNvPr descr="/home/kiycoh/Documents/dev/datapolis-2026-hackathon/.docx-build/fig06_quadrante.png" id="127" name="Picture"/>
                    <pic:cNvPicPr>
                      <a:picLocks noChangeArrowheads="1" noChangeAspect="1"/>
                    </pic:cNvPicPr>
                  </pic:nvPicPr>
                  <pic:blipFill>
                    <a:blip r:embed="rId125"/>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9" name="Picture"/>
            <a:graphic>
              <a:graphicData uri="http://schemas.openxmlformats.org/drawingml/2006/picture">
                <pic:pic>
                  <pic:nvPicPr>
                    <pic:cNvPr descr="/home/kiycoh/Documents/dev/datapolis-2026-hackathon/.docx-build/fig06b_creste_390.png" id="130" name="Picture"/>
                    <pic:cNvPicPr>
                      <a:picLocks noChangeArrowheads="1" noChangeAspect="1"/>
                    </pic:cNvPicPr>
                  </pic:nvPicPr>
                  <pic:blipFill>
                    <a:blip r:embed="rId128"/>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561750"/>
            <wp:effectExtent b="0" l="0" r="0" t="0"/>
            <wp:docPr descr="" title="" id="132" name="Picture"/>
            <a:graphic>
              <a:graphicData uri="http://schemas.openxmlformats.org/drawingml/2006/picture">
                <pic:pic>
                  <pic:nvPicPr>
                    <pic:cNvPr descr="/home/kiycoh/Documents/dev/datapolis-2026-hackathon/.docx-build/fig07b_decennio.png" id="133" name="Picture"/>
                    <pic:cNvPicPr>
                      <a:picLocks noChangeArrowheads="1" noChangeAspect="1"/>
                    </pic:cNvPicPr>
                  </pic:nvPicPr>
                  <pic:blipFill>
                    <a:blip r:embed="rId131"/>
                    <a:stretch>
                      <a:fillRect/>
                    </a:stretch>
                  </pic:blipFill>
                  <pic:spPr bwMode="auto">
                    <a:xfrm>
                      <a:off x="0" y="0"/>
                      <a:ext cx="6108700" cy="3561750"/>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coorte che a inizio periodo ha 20-24 anni seguita per cinque anni (2018-2023 e 2019-2024), dà per le femmine di Bagheria 92,8% e 93,3% contro 101,9% e 102,2% dell’Italia, e per i maschi 89,2% e 91,8% contro 101,5% e 103,2%: la perdita all’uscita dal percorso formativo regge anche senza mescolare le due rilevazioni, ed è di entrambi i generi.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940793"/>
            <wp:effectExtent b="0" l="0" r="0" t="0"/>
            <wp:docPr descr="" title="" id="135" name="Picture"/>
            <a:graphic>
              <a:graphicData uri="http://schemas.openxmlformats.org/drawingml/2006/picture">
                <pic:pic>
                  <pic:nvPicPr>
                    <pic:cNvPr descr="/home/kiycoh/Documents/dev/datapolis-2026-hackathon/.docx-build/fig11b_attainment_18_24.png" id="136" name="Picture"/>
                    <pic:cNvPicPr>
                      <a:picLocks noChangeArrowheads="1" noChangeAspect="1"/>
                    </pic:cNvPicPr>
                  </pic:nvPicPr>
                  <pic:blipFill>
                    <a:blip r:embed="rId134"/>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8" name="Picture"/>
            <a:graphic>
              <a:graphicData uri="http://schemas.openxmlformats.org/drawingml/2006/picture">
                <pic:pic>
                  <pic:nvPicPr>
                    <pic:cNvPr descr="/home/kiycoh/Documents/dev/datapolis-2026-hackathon/.docx-build/fig13_tasso_occupazione_eta.png" id="139" name="Picture"/>
                    <pic:cNvPicPr>
                      <a:picLocks noChangeArrowheads="1" noChangeAspect="1"/>
                    </pic:cNvPicPr>
                  </pic:nvPicPr>
                  <pic:blipFill>
                    <a:blip r:embed="rId137"/>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989558"/>
            <wp:effectExtent b="0" l="0" r="0" t="0"/>
            <wp:docPr descr="" title="" id="141" name="Picture"/>
            <a:graphic>
              <a:graphicData uri="http://schemas.openxmlformats.org/drawingml/2006/picture">
                <pic:pic>
                  <pic:nvPicPr>
                    <pic:cNvPr descr="/home/kiycoh/Documents/dev/datapolis-2026-hackathon/.docx-build/fig13b_occupazione_eta_genere.png" id="142" name="Picture"/>
                    <pic:cNvPicPr>
                      <a:picLocks noChangeArrowheads="1" noChangeAspect="1"/>
                    </pic:cNvPicPr>
                  </pic:nvPicPr>
                  <pic:blipFill>
                    <a:blip r:embed="rId140"/>
                    <a:stretch>
                      <a:fillRect/>
                    </a:stretch>
                  </pic:blipFill>
                  <pic:spPr bwMode="auto">
                    <a:xfrm>
                      <a:off x="0" y="0"/>
                      <a:ext cx="6108700" cy="3989558"/>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 e notebooks/genere.ipynb (data/processed/genere_dopo_25_scarti.csv).</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4983753"/>
            <wp:effectExtent b="0" l="0" r="0" t="0"/>
            <wp:docPr descr="" title="" id="144" name="Picture"/>
            <a:graphic>
              <a:graphicData uri="http://schemas.openxmlformats.org/drawingml/2006/picture">
                <pic:pic>
                  <pic:nvPicPr>
                    <pic:cNvPr descr="/home/kiycoh/Documents/dev/datapolis-2026-hackathon/.docx-build/fig14_titoli_eta_genere.png" id="145" name="Picture"/>
                    <pic:cNvPicPr>
                      <a:picLocks noChangeArrowheads="1" noChangeAspect="1"/>
                    </pic:cNvPicPr>
                  </pic:nvPicPr>
                  <pic:blipFill>
                    <a:blip r:embed="rId143"/>
                    <a:stretch>
                      <a:fillRect/>
                    </a:stretch>
                  </pic:blipFill>
                  <pic:spPr bwMode="auto">
                    <a:xfrm>
                      <a:off x="0" y="0"/>
                      <a:ext cx="6108700" cy="4983753"/>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ogni riga è una classe d’età (in alto) o un territorio (in basso), e il segmento grigio unisce i due generi: la sua lunghezza è il divario. Il pallino rosa è il valore femminile, quello blu il maschile; in alto la cifra accanto a ciascuno è il suo valore, in basso è stampata solo per Bagheria, la riga su fondo chiaro. In basso il trattino nero è il valore di maschi e femmine insieme, ripetuto nella colonna a destra; le righe sono in ordine di quel valore sul diploma, e lo stesso ordine vale nel riquadro del terziario, dove quindi non è per valore. Tutti e quattro i riquadri hanno la stessa scala. Le due misure sono annidate: «almeno il diploma» comprende chi ha anche un titolo terziario, quindi non si sommano. Sul 9-24 il terziario è quasi nullo per costruzione, perché a 20 anni una laurea non può ancora esserci. Vicinato = i cinque comuni più vicini per distanza fra i centroidi, conteggi sommati prima delle quote. Fra Bagheria, Santa Flavia e Casteldaccia ci sono pochi punti, e i comuni che precedono Bagheria hanno in media circa 3.500 residenti della classe: l’ordine fra loro non è un risultato.</w:t>
      </w:r>
    </w:p>
    <w:p>
      <w:pPr>
        <w:pStyle w:val="Didascalia"/>
      </w:pPr>
      <w:r>
        <w:rPr>
          <w:b/>
          <w:bCs/>
        </w:rPr>
        <w:t xml:space="preserve">Fonte:</w:t>
      </w:r>
      <w:r>
        <w:t xml:space="preserve"> </w:t>
      </w:r>
      <w:r>
        <w:t xml:space="preserve">ISTAT, Censimento permanente della popolazione, tavola istruzione per classe d’età e genere, anno 2024. Elaborazione: notebooks/genere.ipynb (data/processed/genere_titoli_eta.csv).</w:t>
      </w:r>
    </w:p>
    <w:p>
      <w:pPr>
        <w:pStyle w:val="Didascalia"/>
      </w:pPr>
      <w:r>
        <w:rPr>
          <w:i/>
          <w:iCs/>
        </w:rPr>
        <w:t xml:space="preserve">Figura</w:t>
      </w:r>
      <w:r>
        <w:t xml:space="preserve"> </w:t>
      </w:r>
      <w:r>
        <w:rPr>
          <w:rStyle w:val="VerbatimChar"/>
        </w:rPr>
        <w:t xml:space="preserve">fig14_titoli_eta_genere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viz/fig14_titoli_eta_genere.R</w:t>
      </w:r>
      <w:r>
        <w:rPr>
          <w:i/>
          <w:iCs/>
        </w:rPr>
        <w:t xml:space="preserve">.</w:t>
      </w:r>
    </w:p>
    <w:p>
      <w:pPr>
        <w:pStyle w:val="BodyText"/>
      </w:pPr>
      <w:r>
        <w:drawing>
          <wp:inline>
            <wp:extent cx="6108700" cy="3420734"/>
            <wp:effectExtent b="0" l="0" r="0" t="0"/>
            <wp:docPr descr="" title="" id="147" name="Picture"/>
            <a:graphic>
              <a:graphicData uri="http://schemas.openxmlformats.org/drawingml/2006/picture">
                <pic:pic>
                  <pic:nvPicPr>
                    <pic:cNvPr descr="/home/kiycoh/Documents/dev/datapolis-2026-hackathon/.docx-build/edu_fig05_forbice_25_49.png" id="148" name="Picture"/>
                    <pic:cNvPicPr>
                      <a:picLocks noChangeArrowheads="1" noChangeAspect="1"/>
                    </pic:cNvPicPr>
                  </pic:nvPicPr>
                  <pic:blipFill>
                    <a:blip r:embed="rId146"/>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50" name="Picture"/>
            <a:graphic>
              <a:graphicData uri="http://schemas.openxmlformats.org/drawingml/2006/picture">
                <pic:pic>
                  <pic:nvPicPr>
                    <pic:cNvPr descr="/home/kiycoh/Documents/dev/datapolis-2026-hackathon/.docx-build/edu_fig06_gap_sicilia.png" id="151" name="Picture"/>
                    <pic:cNvPicPr>
                      <a:picLocks noChangeArrowheads="1" noChangeAspect="1"/>
                    </pic:cNvPicPr>
                  </pic:nvPicPr>
                  <pic:blipFill>
                    <a:blip r:embed="rId149"/>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53" name="Picture"/>
            <a:graphic>
              <a:graphicData uri="http://schemas.openxmlformats.org/drawingml/2006/picture">
                <pic:pic>
                  <pic:nvPicPr>
                    <pic:cNvPr descr="/home/kiycoh/Documents/dev/datapolis-2026-hackathon/.docx-build/edu_fig07_pari_2011.png" id="154" name="Picture"/>
                    <pic:cNvPicPr>
                      <a:picLocks noChangeArrowheads="1" noChangeAspect="1"/>
                    </pic:cNvPicPr>
                  </pic:nvPicPr>
                  <pic:blipFill>
                    <a:blip r:embed="rId152"/>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6" name="Picture"/>
            <a:graphic>
              <a:graphicData uri="http://schemas.openxmlformats.org/drawingml/2006/picture">
                <pic:pic>
                  <pic:nvPicPr>
                    <pic:cNvPr descr="/home/kiycoh/Documents/dev/datapolis-2026-hackathon/.docx-build/edu_fig09_appendice_modelli.png" id="157" name="Picture"/>
                    <pic:cNvPicPr>
                      <a:picLocks noChangeArrowheads="1" noChangeAspect="1"/>
                    </pic:cNvPicPr>
                  </pic:nvPicPr>
                  <pic:blipFill>
                    <a:blip r:embed="rId155"/>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9" name="Picture"/>
            <a:graphic>
              <a:graphicData uri="http://schemas.openxmlformats.org/drawingml/2006/picture">
                <pic:pic>
                  <pic:nvPicPr>
                    <pic:cNvPr descr="/home/kiycoh/Documents/dev/datapolis-2026-hackathon/.docx-build/edu_fig10_appendice_mobilita.png" id="160" name="Picture"/>
                    <pic:cNvPicPr>
                      <a:picLocks noChangeArrowheads="1" noChangeAspect="1"/>
                    </pic:cNvPicPr>
                  </pic:nvPicPr>
                  <pic:blipFill>
                    <a:blip r:embed="rId158"/>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38.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61"/>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11">
    <w:nsid w:val="A99412011"/>
    <w:multiLevelType w:val="multilevel"/>
    <w:lvl w:ilvl="0">
      <w:start w:val="2011"/>
      <w:numFmt w:val="decimal"/>
      <w:lvlText w:val="%1."/>
      <w:lvlJc w:val="left"/>
      <w:pPr>
        <w:ind w:left="720" w:hanging="360"/>
      </w:pPr>
    </w:lvl>
    <w:lvl w:ilvl="1">
      <w:start w:val="2011"/>
      <w:numFmt w:val="decimal"/>
      <w:lvlText w:val="%2."/>
      <w:lvlJc w:val="left"/>
      <w:pPr>
        <w:ind w:left="1440" w:hanging="360"/>
      </w:pPr>
    </w:lvl>
    <w:lvl w:ilvl="2">
      <w:start w:val="2011"/>
      <w:numFmt w:val="decimal"/>
      <w:lvlText w:val="%3."/>
      <w:lvlJc w:val="left"/>
      <w:pPr>
        <w:ind w:left="2160" w:hanging="360"/>
      </w:pPr>
    </w:lvl>
    <w:lvl w:ilvl="3">
      <w:start w:val="2011"/>
      <w:numFmt w:val="decimal"/>
      <w:lvlText w:val="%4."/>
      <w:lvlJc w:val="left"/>
      <w:pPr>
        <w:ind w:left="2880" w:hanging="360"/>
      </w:pPr>
    </w:lvl>
    <w:lvl w:ilvl="4">
      <w:start w:val="2011"/>
      <w:numFmt w:val="decimal"/>
      <w:lvlText w:val="%5."/>
      <w:lvlJc w:val="left"/>
      <w:pPr>
        <w:ind w:left="3600" w:hanging="360"/>
      </w:pPr>
    </w:lvl>
    <w:lvl w:ilvl="5">
      <w:start w:val="2011"/>
      <w:numFmt w:val="decimal"/>
      <w:lvlText w:val="%6."/>
      <w:lvlJc w:val="left"/>
      <w:pPr>
        <w:ind w:left="4320" w:hanging="360"/>
      </w:pPr>
    </w:lvl>
    <w:lvl w:ilvl="6">
      <w:start w:val="2011"/>
      <w:numFmt w:val="decimal"/>
      <w:lvlText w:val="%7."/>
      <w:lvlJc w:val="left"/>
      <w:pPr>
        <w:ind w:left="5040" w:hanging="360"/>
      </w:pPr>
    </w:lvl>
    <w:lvl w:ilvl="7">
      <w:start w:val="2011"/>
      <w:numFmt w:val="decimal"/>
      <w:lvlText w:val="%8."/>
      <w:lvlJc w:val="left"/>
      <w:pPr>
        <w:ind w:left="5760" w:hanging="360"/>
      </w:pPr>
    </w:lvl>
    <w:lvl w:ilvl="8">
      <w:start w:val="20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011"/>
    <w:lvlOverride w:ilvl="0">
      <w:startOverride w:val="2011"/>
    </w:lvlOverride>
    <w:lvlOverride w:ilvl="1">
      <w:startOverride w:val="2011"/>
    </w:lvlOverride>
    <w:lvlOverride w:ilvl="2">
      <w:startOverride w:val="2011"/>
    </w:lvlOverride>
    <w:lvlOverride w:ilvl="3">
      <w:startOverride w:val="2011"/>
    </w:lvlOverride>
    <w:lvlOverride w:ilvl="4">
      <w:startOverride w:val="2011"/>
    </w:lvlOverride>
    <w:lvlOverride w:ilvl="5">
      <w:startOverride w:val="2011"/>
    </w:lvlOverride>
    <w:lvlOverride w:ilvl="6">
      <w:startOverride w:val="2011"/>
    </w:lvlOverride>
    <w:lvlOverride w:ilvl="7">
      <w:startOverride w:val="2011"/>
    </w:lvlOverride>
    <w:lvlOverride w:ilvl="8">
      <w:startOverride w:val="201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41" Target="media/rId41.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59" Target="media/rId59.png" /><Relationship Type="http://schemas.openxmlformats.org/officeDocument/2006/relationships/image" Id="rId131" Target="media/rId131.png" /><Relationship Type="http://schemas.openxmlformats.org/officeDocument/2006/relationships/image" Id="rId36" Target="media/rId36.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4" Target="media/rId134.png" /><Relationship Type="http://schemas.openxmlformats.org/officeDocument/2006/relationships/image" Id="rId75" Target="media/rId75.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83" Target="media/rId83.png" /><Relationship Type="http://schemas.openxmlformats.org/officeDocument/2006/relationships/image" Id="rId79" Target="media/rId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2026-09-24T01:26:03Z</dcterms:created>
  <dcterms:modified xsi:type="dcterms:W3CDTF">2026-09-24T01:26:03Z</dcterms:modified>
</cp:coreProperties>
</file>

<file path=docProps/custom.xml><?xml version="1.0" encoding="utf-8"?>
<Properties xmlns="http://schemas.openxmlformats.org/officeDocument/2006/custom-properties" xmlns:vt="http://schemas.openxmlformats.org/officeDocument/2006/docPropsVTypes"/>
</file>