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数据截止：2026-08-13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上旬至08-13：家居建材『中报密集披露+818大促季+地方国补滚动扩容』三线并进。中报端结构性分化加剧——江河集团(建筑装饰/幕墙工程端)H1净利+34%并触发股价异动，与地产链零售家居(慕思/志邦/惠达/金牌预亏预减)形成鲜明对照，扣非与经营现金流才是真分水岭；欧派、好莱客把闲置资金转向理财/私募，龙头主动收缩资本开支。渠道端818打响家具补贴战：京东家具超级品类日携马頔办『亿元补贴至高返50%』，微信小店重构家具类目(08-24生效)，快手818宠粉节(08-04~08-28)；曲美家居把抖音自播费率打到平台下限5%，折射内容电商『降费率保ROI』。政策端地方国补白名单滚动扩容(福建三明尤溪第十七批/武汉第六批)、口径细化(南平『智能沙发』并入按摩椅不得重复申领)，标准端CABEE辐射隔热涂料团标(10-01实施)、CBDA标准管理办法修订(08-11)落地。宏观硬数据(7月社零/70城房价/规上工业)定于08-17、7月BHI预计08-15，本期尚未公布，下期二次补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8条，其中高影响3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4条，其中高影响0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1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8条，其中高影响3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建/材/上/游///绿/色/能/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全/屋/智/能///家/电/家/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家/装///家/居///家/电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