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数据截止：2026-08-13</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上旬至08-13：家居建材『中报密集披露+818大促季+地方国补滚动扩容』三线并进。中报端结构性分化加剧——江河集团(建筑装饰/幕墙工程端)H1净利+34%并触发股价异动，与地产链零售家居(慕思/志邦/惠达/金牌预亏预减)形成鲜明对照，扣非与经营现金流才是真分水岭；欧派、好莱客把闲置资金转向理财/私募，龙头主动收缩资本开支。渠道端818打响家具补贴战：京东家具超级品类日携马頔办『亿元补贴至高返50%』，微信小店重构家具类目(08-24生效)，快手818宠粉节(08-04~08-28)；曲美家居把抖音自播费率打到平台下限5%，折射内容电商『降费率保ROI』。政策端地方国补白名单滚动扩容(福建三明尤溪第十七批/武汉第六批)、口径细化(南平『智能沙发』并入按摩椅不得重复申领)，标准端CABEE辐射隔热涂料团标(10-01实施)、CBDA标准管理办法修订(08-11)落地。宏观硬数据(7月社零/70城房价/规上工业)定于08-17、7月BHI预计08-15，本期尚未公布，下期二次补采。</w:t>
      </w:r>
    </w:p>
    <w:p>
      <w:pPr>
        <w:pStyle w:val="Heading2"/>
      </w:pPr>
      <w:r>
        <w:rPr>
          <w:rFonts w:ascii="Arial" w:hAnsi="Arial" w:eastAsia="微软雅黑"/>
          <w:b/>
          <w:color w:val="2E5B9A"/>
          <w:sz w:val="27"/>
        </w:rPr>
        <w:t>1.一　宏观数据（8条）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8条，其中高影响3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平台大事（4条）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4条，其中高影响0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1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头部商家（8条）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8条，其中高影响3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京东（9条）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半年报预告(预减)</w:t>
            </w:r>
          </w:p>
        </w:tc>
        <w:tc>
          <w:tcPr>
            <w:tcW w:type="dxa" w:w="4252"/>
            <w:shd w:val="clear" w:fill="F4F6F9"/>
          </w:tcPr>
          <w:p>
            <w:pPr>
              <w:jc w:val="center"/>
            </w:pPr>
            <w:r>
              <w:rPr>
                <w:rFonts w:ascii="Arial" w:hAnsi="Arial" w:eastAsia="宋体"/>
                <w:b w:val="0"/>
                <w:sz w:val="18"/>
              </w:rPr>
              <w:t>预计2026H1归母净利润1.75亿-2.00亿元，同比下降…</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蒙娜丽莎(002918)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预计2026H1归母净利润4088万-6131万元，同比扭亏…</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预计2026H1归母净利润亏损1.10亿-1.40亿元，由盈…</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预计2026H1归母净利润亏损7200万-9000万元。卫浴…</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梦百合(603313)</w:t>
            </w:r>
          </w:p>
        </w:tc>
        <w:tc>
          <w:tcPr>
            <w:tcW w:type="dxa" w:w="1474"/>
            <w:shd w:val="clear" w:fill="F4F6F9"/>
          </w:tcPr>
          <w:p>
            <w:pPr>
              <w:jc w:val="center"/>
            </w:pPr>
            <w:r>
              <w:rPr>
                <w:rFonts w:ascii="Arial" w:hAnsi="Arial" w:eastAsia="宋体"/>
                <w:b w:val="0"/>
                <w:sz w:val="18"/>
              </w:rPr>
              <w:t>半年报预告(预减)</w:t>
            </w:r>
          </w:p>
        </w:tc>
        <w:tc>
          <w:tcPr>
            <w:tcW w:type="dxa" w:w="4252"/>
            <w:shd w:val="clear" w:fill="F4F6F9"/>
          </w:tcPr>
          <w:p>
            <w:pPr>
              <w:jc w:val="center"/>
            </w:pPr>
            <w:r>
              <w:rPr>
                <w:rFonts w:ascii="Arial" w:hAnsi="Arial" w:eastAsia="宋体"/>
                <w:b w:val="0"/>
                <w:sz w:val="18"/>
              </w:rPr>
              <w:t>预计2026H1归母净利润0元-800万元，同比下降93.0…</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好莱客(603898)</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预计2026H1归母净利润亏损约2700万-3700万元，由…</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年报问询函回复</w:t>
            </w:r>
          </w:p>
        </w:tc>
        <w:tc>
          <w:tcPr>
            <w:tcW w:type="dxa" w:w="4252"/>
            <w:shd w:val="clear" w:fill="F4F6F9"/>
          </w:tcPr>
          <w:p>
            <w:pPr>
              <w:jc w:val="center"/>
            </w:pPr>
            <w:r>
              <w:rPr>
                <w:rFonts w:ascii="Arial" w:hAnsi="Arial" w:eastAsia="宋体"/>
                <w:b w:val="0"/>
                <w:sz w:val="18"/>
              </w:rPr>
              <w:t>回复上交所对2025年报的问询函：2025年归母净利7.75…</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预计2026H1归母净利润4.07亿-5.09亿元，同比减少…</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预计2026H1归母净利润4790.70万-7026.36万…</w:t>
            </w:r>
          </w:p>
        </w:tc>
      </w:tr>
      <w:tr>
        <w:tc>
          <w:tcPr>
            <w:tcW w:type="dxa" w:w="1134"/>
          </w:tcPr>
          <w:p>
            <w:pPr>
              <w:jc w:val="left"/>
            </w:pPr>
            <w:r>
              <w:rPr>
                <w:rFonts w:ascii="Arial" w:hAnsi="Arial" w:eastAsia="宋体"/>
                <w:b w:val="0"/>
                <w:sz w:val="18"/>
              </w:rPr>
              <w:t>2026-07-13</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预计2026H1归母净利润-1.89亿至-1.26亿元，去年…</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红星美凯龙(601828)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预计2026H1归母净利润5000万-7500万元（上年同期…</w:t>
            </w:r>
          </w:p>
        </w:tc>
      </w:tr>
      <w:tr>
        <w:tc>
          <w:tcPr>
            <w:tcW w:type="dxa" w:w="1134"/>
          </w:tcPr>
          <w:p>
            <w:pPr>
              <w:jc w:val="left"/>
            </w:pPr>
            <w:r>
              <w:rPr>
                <w:rFonts w:ascii="Arial" w:hAnsi="Arial" w:eastAsia="宋体"/>
                <w:b w:val="0"/>
                <w:sz w:val="18"/>
              </w:rPr>
              <w:t>2026-07-10</w:t>
            </w:r>
          </w:p>
        </w:tc>
        <w:tc>
          <w:tcPr>
            <w:tcW w:type="dxa" w:w="1814"/>
          </w:tcPr>
          <w:p>
            <w:pPr>
              <w:jc w:val="center"/>
            </w:pPr>
            <w:r>
              <w:rPr>
                <w:rFonts w:ascii="Arial" w:hAnsi="Arial" w:eastAsia="宋体"/>
                <w:b w:val="0"/>
                <w:sz w:val="18"/>
              </w:rPr>
              <w:t>九牧集团</w:t>
            </w:r>
          </w:p>
        </w:tc>
        <w:tc>
          <w:tcPr>
            <w:tcW w:type="dxa" w:w="1474"/>
          </w:tcPr>
          <w:p>
            <w:pPr>
              <w:jc w:val="center"/>
            </w:pPr>
            <w:r>
              <w:rPr>
                <w:rFonts w:ascii="Arial" w:hAnsi="Arial" w:eastAsia="宋体"/>
                <w:b w:val="0"/>
                <w:sz w:val="18"/>
              </w:rPr>
              <w:t>标准发布/技术引领</w:t>
            </w:r>
          </w:p>
        </w:tc>
        <w:tc>
          <w:tcPr>
            <w:tcW w:type="dxa" w:w="4252"/>
          </w:tcPr>
          <w:p>
            <w:pPr>
              <w:jc w:val="center"/>
            </w:pPr>
            <w:r>
              <w:rPr>
                <w:rFonts w:ascii="Arial" w:hAnsi="Arial" w:eastAsia="宋体"/>
                <w:b w:val="0"/>
                <w:sz w:val="18"/>
              </w:rPr>
              <w:t>作为第一牵头单位主导制定的GB/T 24986.7-2026…</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恒洁卫浴</w:t>
            </w:r>
          </w:p>
        </w:tc>
        <w:tc>
          <w:tcPr>
            <w:tcW w:type="dxa" w:w="1474"/>
            <w:shd w:val="clear" w:fill="F4F6F9"/>
          </w:tcPr>
          <w:p>
            <w:pPr>
              <w:jc w:val="center"/>
            </w:pPr>
            <w:r>
              <w:rPr>
                <w:rFonts w:ascii="Arial" w:hAnsi="Arial" w:eastAsia="宋体"/>
                <w:b w:val="0"/>
                <w:sz w:val="18"/>
              </w:rPr>
              <w:t>发布会/渠道活动</w:t>
            </w:r>
          </w:p>
        </w:tc>
        <w:tc>
          <w:tcPr>
            <w:tcW w:type="dxa" w:w="4252"/>
            <w:shd w:val="clear" w:fill="F4F6F9"/>
          </w:tcPr>
          <w:p>
            <w:pPr>
              <w:jc w:val="center"/>
            </w:pPr>
            <w:r>
              <w:rPr>
                <w:rFonts w:ascii="Arial" w:hAnsi="Arial" w:eastAsia="宋体"/>
                <w:b w:val="0"/>
                <w:sz w:val="18"/>
              </w:rPr>
              <w:t>'焕新中国行·乐动此间'恒洁28周年庆启幕（佛山）。全国30…</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舒达智能</w:t>
            </w:r>
          </w:p>
        </w:tc>
        <w:tc>
          <w:tcPr>
            <w:tcW w:type="dxa" w:w="1474"/>
          </w:tcPr>
          <w:p>
            <w:pPr>
              <w:jc w:val="center"/>
            </w:pPr>
            <w:r>
              <w:rPr>
                <w:rFonts w:ascii="Arial" w:hAnsi="Arial" w:eastAsia="宋体"/>
                <w:b w:val="0"/>
                <w:sz w:val="18"/>
              </w:rPr>
              <w:t>新品发布(展会)</w:t>
            </w:r>
          </w:p>
        </w:tc>
        <w:tc>
          <w:tcPr>
            <w:tcW w:type="dxa" w:w="4252"/>
          </w:tcPr>
          <w:p>
            <w:pPr>
              <w:jc w:val="center"/>
            </w:pPr>
            <w:r>
              <w:rPr>
                <w:rFonts w:ascii="Arial" w:hAnsi="Arial" w:eastAsia="宋体"/>
                <w:b w:val="0"/>
                <w:sz w:val="18"/>
              </w:rPr>
              <w:t>2026广州建博会亮相，携手天猫精灵打造智慧适老空间，推出A…</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兔宝宝</w:t>
            </w:r>
          </w:p>
        </w:tc>
        <w:tc>
          <w:tcPr>
            <w:tcW w:type="dxa" w:w="1474"/>
            <w:shd w:val="clear" w:fill="F4F6F9"/>
          </w:tcPr>
          <w:p>
            <w:pPr>
              <w:jc w:val="center"/>
            </w:pPr>
            <w:r>
              <w:rPr>
                <w:rFonts w:ascii="Arial" w:hAnsi="Arial" w:eastAsia="宋体"/>
                <w:b w:val="0"/>
                <w:sz w:val="18"/>
              </w:rPr>
              <w:t>荣誉/技术</w:t>
            </w:r>
          </w:p>
        </w:tc>
        <w:tc>
          <w:tcPr>
            <w:tcW w:type="dxa" w:w="4252"/>
            <w:shd w:val="clear" w:fill="F4F6F9"/>
          </w:tcPr>
          <w:p>
            <w:pPr>
              <w:jc w:val="center"/>
            </w:pPr>
            <w:r>
              <w:rPr>
                <w:rFonts w:ascii="Arial" w:hAnsi="Arial" w:eastAsia="宋体"/>
                <w:b w:val="0"/>
                <w:sz w:val="18"/>
              </w:rPr>
              <w:t>参与项目获2025年度国家科学技术进步奖二等奖，为兔宝宝历史…</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新品/白皮书(展会)</w:t>
            </w:r>
          </w:p>
        </w:tc>
        <w:tc>
          <w:tcPr>
            <w:tcW w:type="dxa" w:w="4252"/>
          </w:tcPr>
          <w:p>
            <w:pPr>
              <w:jc w:val="center"/>
            </w:pPr>
            <w:r>
              <w:rPr>
                <w:rFonts w:ascii="Arial" w:hAnsi="Arial" w:eastAsia="宋体"/>
                <w:b w:val="0"/>
                <w:sz w:val="18"/>
              </w:rPr>
              <w:t>在2026广州建博会发布《中国厨房收纳实用指南》白皮书，升级…</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万华生态</w:t>
            </w:r>
          </w:p>
        </w:tc>
        <w:tc>
          <w:tcPr>
            <w:tcW w:type="dxa" w:w="1474"/>
            <w:shd w:val="clear" w:fill="F4F6F9"/>
          </w:tcPr>
          <w:p>
            <w:pPr>
              <w:jc w:val="center"/>
            </w:pPr>
            <w:r>
              <w:rPr>
                <w:rFonts w:ascii="Arial" w:hAnsi="Arial" w:eastAsia="宋体"/>
                <w:b w:val="0"/>
                <w:sz w:val="18"/>
              </w:rPr>
              <w:t>新品/供应链(展会)</w:t>
            </w:r>
          </w:p>
        </w:tc>
        <w:tc>
          <w:tcPr>
            <w:tcW w:type="dxa" w:w="4252"/>
            <w:shd w:val="clear" w:fill="F4F6F9"/>
          </w:tcPr>
          <w:p>
            <w:pPr>
              <w:jc w:val="center"/>
            </w:pPr>
            <w:r>
              <w:rPr>
                <w:rFonts w:ascii="Arial" w:hAnsi="Arial" w:eastAsia="宋体"/>
                <w:b w:val="0"/>
                <w:sz w:val="18"/>
              </w:rPr>
              <w:t>2026广州建博会推'无醛整家'解决方案，展示100㎡住宅7…</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科达制造(600499)</w:t>
            </w:r>
          </w:p>
        </w:tc>
        <w:tc>
          <w:tcPr>
            <w:tcW w:type="dxa" w:w="1474"/>
          </w:tcPr>
          <w:p>
            <w:pPr>
              <w:jc w:val="center"/>
            </w:pPr>
            <w:r>
              <w:rPr>
                <w:rFonts w:ascii="Arial" w:hAnsi="Arial" w:eastAsia="宋体"/>
                <w:b w:val="0"/>
                <w:sz w:val="18"/>
              </w:rPr>
              <w:t>半年报预告(大幅预增)</w:t>
            </w:r>
          </w:p>
        </w:tc>
        <w:tc>
          <w:tcPr>
            <w:tcW w:type="dxa" w:w="4252"/>
          </w:tcPr>
          <w:p>
            <w:pPr>
              <w:jc w:val="center"/>
            </w:pPr>
            <w:r>
              <w:rPr>
                <w:rFonts w:ascii="Arial" w:hAnsi="Arial" w:eastAsia="宋体"/>
                <w:b w:val="0"/>
                <w:sz w:val="18"/>
              </w:rPr>
              <w:t>预计2026H1归母净利润12.60亿-13.60亿元，同比…</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松霖科技(603992)</w:t>
            </w:r>
          </w:p>
        </w:tc>
        <w:tc>
          <w:tcPr>
            <w:tcW w:type="dxa" w:w="1474"/>
            <w:shd w:val="clear" w:fill="F4F6F9"/>
          </w:tcPr>
          <w:p>
            <w:pPr>
              <w:jc w:val="center"/>
            </w:pPr>
            <w:r>
              <w:rPr>
                <w:rFonts w:ascii="Arial" w:hAnsi="Arial" w:eastAsia="宋体"/>
                <w:b w:val="0"/>
                <w:sz w:val="18"/>
              </w:rPr>
              <w:t>半年报预告(预增)</w:t>
            </w:r>
          </w:p>
        </w:tc>
        <w:tc>
          <w:tcPr>
            <w:tcW w:type="dxa" w:w="4252"/>
            <w:shd w:val="clear" w:fill="F4F6F9"/>
          </w:tcPr>
          <w:p>
            <w:pPr>
              <w:jc w:val="center"/>
            </w:pPr>
            <w:r>
              <w:rPr>
                <w:rFonts w:ascii="Arial" w:hAnsi="Arial" w:eastAsia="宋体"/>
                <w:b w:val="0"/>
                <w:sz w:val="18"/>
              </w:rPr>
              <w:t>预计2026H1归母净利润1.40亿-1.85亿元，同比增长…</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瑞尔特(002790)</w:t>
            </w:r>
          </w:p>
        </w:tc>
        <w:tc>
          <w:tcPr>
            <w:tcW w:type="dxa" w:w="1474"/>
          </w:tcPr>
          <w:p>
            <w:pPr>
              <w:jc w:val="center"/>
            </w:pPr>
            <w:r>
              <w:rPr>
                <w:rFonts w:ascii="Arial" w:hAnsi="Arial" w:eastAsia="宋体"/>
                <w:b w:val="0"/>
                <w:sz w:val="18"/>
              </w:rPr>
              <w:t>半年报预告(预亏/转亏)</w:t>
            </w:r>
          </w:p>
        </w:tc>
        <w:tc>
          <w:tcPr>
            <w:tcW w:type="dxa" w:w="4252"/>
          </w:tcPr>
          <w:p>
            <w:pPr>
              <w:jc w:val="center"/>
            </w:pPr>
            <w:r>
              <w:rPr>
                <w:rFonts w:ascii="Arial" w:hAnsi="Arial" w:eastAsia="宋体"/>
                <w:b w:val="0"/>
                <w:sz w:val="18"/>
              </w:rPr>
              <w:t>预计2026H1归母净利润亏损1100万-1600万元，由盈…</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海鸥住工(002084)</w:t>
            </w:r>
          </w:p>
        </w:tc>
        <w:tc>
          <w:tcPr>
            <w:tcW w:type="dxa" w:w="1474"/>
            <w:shd w:val="clear" w:fill="F4F6F9"/>
          </w:tcPr>
          <w:p>
            <w:pPr>
              <w:jc w:val="center"/>
            </w:pPr>
            <w:r>
              <w:rPr>
                <w:rFonts w:ascii="Arial" w:hAnsi="Arial" w:eastAsia="宋体"/>
                <w:b w:val="0"/>
                <w:sz w:val="18"/>
              </w:rPr>
              <w:t>半年报预告(预亏扩大)</w:t>
            </w:r>
          </w:p>
        </w:tc>
        <w:tc>
          <w:tcPr>
            <w:tcW w:type="dxa" w:w="4252"/>
            <w:shd w:val="clear" w:fill="F4F6F9"/>
          </w:tcPr>
          <w:p>
            <w:pPr>
              <w:jc w:val="center"/>
            </w:pPr>
            <w:r>
              <w:rPr>
                <w:rFonts w:ascii="Arial" w:hAnsi="Arial" w:eastAsia="宋体"/>
                <w:b w:val="0"/>
                <w:sz w:val="18"/>
              </w:rPr>
              <w:t>预计2026H1归母净利润亏损3700万-4700万元，亏损…</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帝欧家居(002798)</w:t>
            </w:r>
          </w:p>
        </w:tc>
        <w:tc>
          <w:tcPr>
            <w:tcW w:type="dxa" w:w="1474"/>
          </w:tcPr>
          <w:p>
            <w:pPr>
              <w:jc w:val="center"/>
            </w:pPr>
            <w:r>
              <w:rPr>
                <w:rFonts w:ascii="Arial" w:hAnsi="Arial" w:eastAsia="宋体"/>
                <w:b w:val="0"/>
                <w:sz w:val="18"/>
              </w:rPr>
              <w:t>半年报预告(减亏)</w:t>
            </w:r>
          </w:p>
        </w:tc>
        <w:tc>
          <w:tcPr>
            <w:tcW w:type="dxa" w:w="4252"/>
          </w:tcPr>
          <w:p>
            <w:pPr>
              <w:jc w:val="center"/>
            </w:pPr>
            <w:r>
              <w:rPr>
                <w:rFonts w:ascii="Arial" w:hAnsi="Arial" w:eastAsia="宋体"/>
                <w:b w:val="0"/>
                <w:sz w:val="18"/>
              </w:rPr>
              <w:t>预计2026H1归母净利润亏损2300万-3500万元，同比…</w:t>
            </w:r>
          </w:p>
        </w:tc>
      </w:tr>
      <w:tr>
        <w:tc>
          <w:tcPr>
            <w:tcW w:type="dxa" w:w="1134"/>
            <w:shd w:val="clear" w:fill="F4F6F9"/>
          </w:tcPr>
          <w:p>
            <w:pPr>
              <w:jc w:val="left"/>
            </w:pPr>
            <w:r>
              <w:rPr>
                <w:rFonts w:ascii="Arial" w:hAnsi="Arial" w:eastAsia="宋体"/>
                <w:b w:val="0"/>
                <w:sz w:val="18"/>
              </w:rPr>
              <w:t>2026-07-23</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重大资产收购意向</w:t>
            </w:r>
          </w:p>
        </w:tc>
        <w:tc>
          <w:tcPr>
            <w:tcW w:type="dxa" w:w="4252"/>
            <w:shd w:val="clear" w:fill="F4F6F9"/>
          </w:tcPr>
          <w:p>
            <w:pPr>
              <w:jc w:val="center"/>
            </w:pPr>
            <w:r>
              <w:rPr>
                <w:rFonts w:ascii="Arial" w:hAnsi="Arial" w:eastAsia="宋体"/>
                <w:b w:val="0"/>
                <w:sz w:val="18"/>
              </w:rPr>
              <w:t>PVC弹性地板龙头拟收购半导体存储测试设备企业欧康诺不低于7…</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股价异动/风险提示</w:t>
            </w:r>
          </w:p>
        </w:tc>
        <w:tc>
          <w:tcPr>
            <w:tcW w:type="dxa" w:w="4252"/>
          </w:tcPr>
          <w:p>
            <w:pPr>
              <w:jc w:val="center"/>
            </w:pPr>
            <w:r>
              <w:rPr>
                <w:rFonts w:ascii="Arial" w:hAnsi="Arial" w:eastAsia="宋体"/>
                <w:b w:val="0"/>
                <w:sz w:val="18"/>
              </w:rPr>
              <w:t>7月21-27日连续5涨停累计涨幅61.09%、走出6连板（…</w:t>
            </w:r>
          </w:p>
        </w:tc>
      </w:tr>
      <w:tr>
        <w:tc>
          <w:tcPr>
            <w:tcW w:type="dxa" w:w="1134"/>
            <w:shd w:val="clear" w:fill="F4F6F9"/>
          </w:tcPr>
          <w:p>
            <w:pPr>
              <w:jc w:val="left"/>
            </w:pPr>
            <w:r>
              <w:rPr>
                <w:rFonts w:ascii="Arial" w:hAnsi="Arial" w:eastAsia="宋体"/>
                <w:b w:val="0"/>
                <w:sz w:val="18"/>
              </w:rPr>
              <w:t>2026-08-07</w:t>
            </w:r>
          </w:p>
        </w:tc>
        <w:tc>
          <w:tcPr>
            <w:tcW w:type="dxa" w:w="1814"/>
            <w:shd w:val="clear" w:fill="F4F6F9"/>
          </w:tcPr>
          <w:p>
            <w:pPr>
              <w:jc w:val="center"/>
            </w:pPr>
            <w:r>
              <w:rPr>
                <w:rFonts w:ascii="Arial" w:hAnsi="Arial" w:eastAsia="宋体"/>
                <w:b w:val="0"/>
                <w:sz w:val="18"/>
              </w:rPr>
              <w:t>伟星新材(002372)</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营收18.97亿元(-8.71%)、归母净利3.90亿元(+…</w:t>
            </w:r>
          </w:p>
        </w:tc>
      </w:tr>
      <w:tr>
        <w:tc>
          <w:tcPr>
            <w:tcW w:type="dxa" w:w="1134"/>
          </w:tcPr>
          <w:p>
            <w:pPr>
              <w:jc w:val="left"/>
            </w:pPr>
            <w:r>
              <w:rPr>
                <w:rFonts w:ascii="Arial" w:hAnsi="Arial" w:eastAsia="宋体"/>
                <w:b w:val="0"/>
                <w:sz w:val="18"/>
              </w:rPr>
              <w:t>2026-08-10</w:t>
            </w:r>
          </w:p>
        </w:tc>
        <w:tc>
          <w:tcPr>
            <w:tcW w:type="dxa" w:w="1814"/>
          </w:tcPr>
          <w:p>
            <w:pPr>
              <w:jc w:val="center"/>
            </w:pPr>
            <w:r>
              <w:rPr>
                <w:rFonts w:ascii="Arial" w:hAnsi="Arial" w:eastAsia="宋体"/>
                <w:b w:val="0"/>
                <w:sz w:val="18"/>
              </w:rPr>
              <w:t>悍高集团(001221)</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营收16.78亿元(+15.74%)、归母净利2.92亿元(…</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塔牌集团(002233)</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营收17.42亿元(-15.30%)、归母净利2.19亿元(…</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江河集团(601886)</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营收108.24亿元(+15.90%)、归母净利4.41亿元…</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定增落地/股本变动</w:t>
            </w:r>
          </w:p>
        </w:tc>
        <w:tc>
          <w:tcPr>
            <w:tcW w:type="dxa" w:w="4252"/>
            <w:shd w:val="clear" w:fill="F4F6F9"/>
          </w:tcPr>
          <w:p>
            <w:pPr>
              <w:jc w:val="center"/>
            </w:pPr>
            <w:r>
              <w:rPr>
                <w:rFonts w:ascii="Arial" w:hAnsi="Arial" w:eastAsia="宋体"/>
                <w:b w:val="0"/>
                <w:sz w:val="18"/>
              </w:rPr>
              <w:t>2025年度向特定对象发行A股落地：向盈峰集团有限公司发行1…</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居然智家(000785)</w:t>
            </w:r>
          </w:p>
        </w:tc>
        <w:tc>
          <w:tcPr>
            <w:tcW w:type="dxa" w:w="1474"/>
          </w:tcPr>
          <w:p>
            <w:pPr>
              <w:jc w:val="center"/>
            </w:pPr>
            <w:r>
              <w:rPr>
                <w:rFonts w:ascii="Arial" w:hAnsi="Arial" w:eastAsia="宋体"/>
                <w:b w:val="0"/>
                <w:sz w:val="18"/>
              </w:rPr>
              <w:t>实控人变更进展</w:t>
            </w:r>
          </w:p>
        </w:tc>
        <w:tc>
          <w:tcPr>
            <w:tcW w:type="dxa" w:w="4252"/>
          </w:tcPr>
          <w:p>
            <w:pPr>
              <w:jc w:val="center"/>
            </w:pPr>
            <w:r>
              <w:rPr>
                <w:rFonts w:ascii="Arial" w:hAnsi="Arial" w:eastAsia="宋体"/>
                <w:b w:val="0"/>
                <w:sz w:val="18"/>
              </w:rPr>
              <w:t>原实际控制人汪林朋先生逝世，其配偶杨芳女士通过夫妻共同财产分…</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资产出售进展</w:t>
            </w:r>
          </w:p>
        </w:tc>
        <w:tc>
          <w:tcPr>
            <w:tcW w:type="dxa" w:w="4252"/>
            <w:shd w:val="clear" w:fill="F4F6F9"/>
          </w:tcPr>
          <w:p>
            <w:pPr>
              <w:jc w:val="center"/>
            </w:pPr>
            <w:r>
              <w:rPr>
                <w:rFonts w:ascii="Arial" w:hAnsi="Arial" w:eastAsia="宋体"/>
                <w:b w:val="0"/>
                <w:sz w:val="18"/>
              </w:rPr>
              <w:t>出售广西新高盛薄型建陶有限公司100%股权及债权：股权转让价…</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股权激励回购注销</w:t>
            </w:r>
          </w:p>
        </w:tc>
        <w:tc>
          <w:tcPr>
            <w:tcW w:type="dxa" w:w="4252"/>
          </w:tcPr>
          <w:p>
            <w:pPr>
              <w:jc w:val="center"/>
            </w:pPr>
            <w:r>
              <w:rPr>
                <w:rFonts w:ascii="Arial" w:hAnsi="Arial" w:eastAsia="宋体"/>
                <w:b w:val="0"/>
                <w:sz w:val="18"/>
              </w:rPr>
              <w:t>2023年限制性股票激励计划回购注销完成：注销1,550,1…</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募集资金现金管理</w:t>
            </w:r>
          </w:p>
        </w:tc>
        <w:tc>
          <w:tcPr>
            <w:tcW w:type="dxa" w:w="4252"/>
            <w:shd w:val="clear" w:fill="F4F6F9"/>
          </w:tcPr>
          <w:p>
            <w:pPr>
              <w:jc w:val="center"/>
            </w:pPr>
            <w:r>
              <w:rPr>
                <w:rFonts w:ascii="Arial" w:hAnsi="Arial" w:eastAsia="宋体"/>
                <w:b w:val="0"/>
                <w:sz w:val="18"/>
              </w:rPr>
              <w:t>08-11、08-12连续披露《关于使用闲置募集资金进行现金…</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好莱客(603898)</w:t>
            </w:r>
          </w:p>
        </w:tc>
        <w:tc>
          <w:tcPr>
            <w:tcW w:type="dxa" w:w="1474"/>
          </w:tcPr>
          <w:p>
            <w:pPr>
              <w:jc w:val="center"/>
            </w:pPr>
            <w:r>
              <w:rPr>
                <w:rFonts w:ascii="Arial" w:hAnsi="Arial" w:eastAsia="宋体"/>
                <w:b w:val="0"/>
                <w:sz w:val="18"/>
              </w:rPr>
              <w:t>对外投资</w:t>
            </w:r>
          </w:p>
        </w:tc>
        <w:tc>
          <w:tcPr>
            <w:tcW w:type="dxa" w:w="4252"/>
          </w:tcPr>
          <w:p>
            <w:pPr>
              <w:jc w:val="center"/>
            </w:pPr>
            <w:r>
              <w:rPr>
                <w:rFonts w:ascii="Arial" w:hAnsi="Arial" w:eastAsia="宋体"/>
                <w:b w:val="0"/>
                <w:sz w:val="18"/>
              </w:rPr>
              <w:t>披露《关于全资子公司认购私募基金份额的公告》，同日发布202…</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慕思股份(001323)（半年报预告(预减)｜2026-07-14）</w:t>
      </w:r>
    </w:p>
    <w:p>
      <w:pPr>
        <w:spacing w:line="360" w:lineRule="auto"/>
        <w:ind w:firstLine="420"/>
      </w:pPr>
      <w:r>
        <w:rPr>
          <w:rFonts w:ascii="Arial" w:hAnsi="Arial" w:eastAsia="宋体"/>
          <w:b w:val="0"/>
          <w:sz w:val="21"/>
        </w:rPr>
        <w:t>预计2026H1归母净利润1.75亿-2.00亿元，同比下降44.09%-51.08%；扣非1.70亿-1.95亿元；基本EPS 0.40-0.46元/股。软体睡眠家具龙头业绩承压，反映高端睡眠消费同样受地产与消费信心拖累。（公告日07-14，落在近30天窗口内）</w:t>
      </w:r>
    </w:p>
    <w:p>
      <w:pPr>
        <w:spacing w:after="40"/>
      </w:pPr>
      <w:r>
        <w:rPr>
          <w:rFonts w:ascii="Arial" w:hAnsi="Arial" w:eastAsia="宋体"/>
          <w:i/>
          <w:color w:val="888888"/>
          <w:sz w:val="17"/>
        </w:rPr>
        <w:t>来源：巨潮资讯网·慕思股份2026半年度业绩预告　https://www.cninfo.com.cn/new/disclosure/stock?stockCode=001323</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三棵树(603737)（年报问询函回复｜2026-07-24）</w:t>
      </w:r>
    </w:p>
    <w:p>
      <w:pPr>
        <w:spacing w:line="360" w:lineRule="auto"/>
        <w:ind w:firstLine="420"/>
      </w:pPr>
      <w:r>
        <w:rPr>
          <w:rFonts w:ascii="Arial" w:hAnsi="Arial" w:eastAsia="宋体"/>
          <w:b w:val="0"/>
          <w:sz w:val="21"/>
        </w:rPr>
        <w:t>回复上交所对2025年报的问询函：2025年归母净利7.75亿元(同比+133.45%)、营收125.27亿元(+3.49%)、综合毛利率33.79%(+4.19pct)、扣非净利5.57亿(+278.22%)、经营现金流净额18.68亿(+85.19%)；C端零售收入56.54亿(+16.23%)、B端工程65.89亿(-6.34%)。涂料龙头C端零售逆势高增、B端工程收缩，结构转型成效显现。</w:t>
      </w:r>
    </w:p>
    <w:p>
      <w:pPr>
        <w:spacing w:after="40"/>
      </w:pPr>
      <w:r>
        <w:rPr>
          <w:rFonts w:ascii="Arial" w:hAnsi="Arial" w:eastAsia="宋体"/>
          <w:i/>
          <w:color w:val="888888"/>
          <w:sz w:val="17"/>
        </w:rPr>
        <w:t>来源：新浪财经·鹰眼工作室　https://finance.sina.com.cn/stock/aigc/weigui/2026-07-24/doc-iniixfyi1611889.shtml</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无。本期补采7月CPI(+0.5%,居住-0.3%)与7月P</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本周(2026-08-06)为非交互cron刷新,未获章鹏账</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46个数据源：深层采集(depth3)22个、中层15个、浅层3个、阻塞(depth0)6个。仍阻塞：抖音/淘天/拼多多/小红书本窗口无可核验的家装818专项招商规则一手源；京麦『类目调整公告』详情页登录墙；甘肃省商务厅报道WAF拦截(HTTP 412)；三明市商务局预征集原文连接失败；内部sale-analyzer工具HTTP 504不可用；抖店罗盘见layerC说明。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