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数据截止：2026-08-06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(截至08-06)以7月月度经济/景气读数集中释放为主，头部商家正式中报将于8月中下旬密集披露，届时二次补充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(截至08-06)看点集中在7月月度读数：7月PMI全面回落(制造业49.2%、建筑业47.0%)确认需求端先行指标走弱；中指院显示新房价格结构性微涨(百城环比+0.26%)但二手房续跌(-0.44%)、1-7月百强房企销售降幅连续五个月收窄，房企端边际企稳有望缓慢传导竣工与精装需求；建材工业景气指数7月MPI 95.3续处非景气区间。平台端京东MALL率先启动『冷风暖水秋季家装节』(08-08~09-14)抢占818后中央空调/舒适家赛道。政策端8月1日一批国标实施(甲醛能耗限额等，家居间接相关)。头部商家2026H1正式中报将于8月中下旬集中披露(箭牌08-27)，届时本月要闻二次补充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4条，其中高影响1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2026-07-30 16:17 CST。【数据日期提示】本区块为2026-07-30经夸克浏览器现采的近7天(2026/07/23-07/29)数据。抖店罗盘对市场类目只公开数量级区间（如 ¥1亿-¥1.5亿），不显示精确值；文中区间原样保留。较上周期百分比为口径公开的精确 WoW。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¥4.5亿 - ¥5亿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+5.52%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-0.85%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+0.37%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-0.77%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-4.17%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¥750万-¥1,000万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21.76%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19.47%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¥7,500万-¥1亿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3.79%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0.08%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7/9-7/15 GMV ¥4.5-5亿，环比+1.5%；订单+7%、买家+4.9%，说明客单价（¥50-100 区间上端）在拉动，非纯流量红利。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 ~50% 大盘，注意全屋智能件单价¥200-300 vs 卫浴建材¥100-200：智能硬件在抖音已进入高价心智，卫浴走走量。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GMV，说明抖音家装建材不再是低价白牌天下，中高端已跑起来。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54.8% + 商品卡 21.87% + 短视频 19.7% = 96.4%，图文仅 0.1%——图文种草模型在这个类目失效，直播和货架是主战场。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GMV，搜索占比不低，说明用户"抖音搜家装"心智已成型。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单品中，智能锁 4 席（掌静脉/掌静脉/双子星/联想T30pro）、监控摄像头 4 席（步猎鹰/神眸/斯麦特/AUX），共 8 席，与用户跟的 AI 锁/AI 监控摄像头 2 大赛道高度重叠——这些品牌应立即加入天猫竞品追踪清单。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建/材/上/游///绿/色/能/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预计2026H1归母净利润1.75亿-2.00亿元，同比下降…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年报问询函回复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回复上交所对2025年报的问询函：2025年归母净利7.75…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