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数据截止：2026-08-13</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pStyle w:val="Heading2"/>
      </w:pPr>
      <w:r>
        <w:rPr>
          <w:rFonts w:ascii="Arial" w:hAnsi="Arial" w:eastAsia="微软雅黑"/>
          <w:b/>
          <w:color w:val="2E5B9A"/>
          <w:sz w:val="27"/>
        </w:rPr>
        <w:t>1.一　宏观数据（14条）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14条，其中高影响7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11条，其中高影响3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政策标准（9条）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9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17条，其中高影响4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抖音（15条）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本周(2026-08-06)为非交互cron刷新,未获授权用户账</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硬阻断：HTTP 412 + 瑞数型动态JS WAF（响应含</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课程正文需登录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学堂列表页可读55216字符，但目标《京准通建材Q3宣讲》为</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需商家登录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SPA 外壳可读20字符。窗口内4条内容（安装模式手册图片版</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共接入79个数据源：深层采集(depth3)27个、中层19个、浅层13个、阻塞(depth0)20个。本轮攻破：中装协滑块验证(verify.php)、199IT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信通院·白皮书栏目（A层）</w:t>
      </w:r>
    </w:p>
    <w:p>
      <w:pPr>
        <w:spacing w:line="360" w:lineRule="auto"/>
        <w:ind w:firstLine="400"/>
      </w:pPr>
      <w:r>
        <w:rPr>
          <w:rFonts w:ascii="Arial" w:hAnsi="Arial" w:eastAsia="宋体"/>
          <w:b w:val="0"/>
          <w:sz w:val="20"/>
        </w:rPr>
        <w:t>阻塞原因：硬阻断：HTTP 412 + 瑞数型动态JS WAF（响应含 &lt;script r='m'&gt;、/VLCSicruddwp/5cohI7j8Jall.2a95215.js、meta 轮换）。已尝试9种路径变体、完整Chrome请求头、Googlebot/Baiduspider UA、WebFetch，全部失败。须授权浏览器执行JS挑战，已排入夸克批次。</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抖店大学 / 抖店内容中心（C层）</w:t>
      </w:r>
    </w:p>
    <w:p>
      <w:pPr>
        <w:spacing w:line="360" w:lineRule="auto"/>
        <w:ind w:firstLine="400"/>
      </w:pPr>
      <w:r>
        <w:rPr>
          <w:rFonts w:ascii="Arial" w:hAnsi="Arial" w:eastAsia="宋体"/>
          <w:b w:val="0"/>
          <w:sz w:val="20"/>
        </w:rPr>
        <w:t>阻塞原因：SPA 外壳可读20字符。窗口内4条内容（安装模式手册图片版、双周刊附件、直播流量提升视频课、京准通建材Q3宣讲）已定位但正文未取到，列入补录清单，已排入夸克批次。</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阻塞原因：帮助中心正文由JS注入（可读21字符）；巨量算数报告页可读7字符且需创作者/企业号授权状态。均已排入夸克批次。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