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数据截止：2026-08-13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至08-13：家居建材『中报密集披露+818大促季+地方国补滚动扩容』三线并进。中报端结构性分化加剧——江河集团(建筑装饰/幕墙工程端)H1净利+34%并触发股价异动，与地产链零售家居(慕思/志邦/惠达/金牌预亏预减)形成鲜明对照，扣非与经营现金流才是真分水岭；欧派、好莱客把闲置资金转向理财/私募，龙头主动收缩资本开支。渠道端818打响家具补贴战：京东家具超级品类日携马頔办『亿元补贴至高返50%』，微信小店重构家具类目(08-24生效)，快手818宠粉节(08-04~08-28)；曲美家居把抖音自播费率打到平台下限5%，折射内容电商『降费率保ROI』。政策端地方国补白名单滚动扩容(福建三明尤溪第十七批/武汉第六批)、口径细化(南平『智能沙发』并入按摩椅不得重复申领)，标准端CABEE辐射隔热涂料团标(10-01实施)、CBDA标准管理办法修订(08-11)落地。宏观硬数据(7月社零/70城房价/规上工业)定于08-17、7月BHI预计08-15，本期尚未公布，下期二次补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宏观数据（15条）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15条，其中高影响7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抖音电商罗盘(授权访问抓取)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12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9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18条，其中高影响4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