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数据截止：2026-08-13</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pStyle w:val="Heading2"/>
      </w:pPr>
      <w:r>
        <w:rPr>
          <w:rFonts w:ascii="Arial" w:hAnsi="Arial" w:eastAsia="微软雅黑"/>
          <w:b/>
          <w:color w:val="2E5B9A"/>
          <w:sz w:val="27"/>
        </w:rPr>
        <w:t>1.一　宏观数据（15条）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15条，其中高影响7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抖音电商罗盘(授权访问抓取)</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来源：抖音电商罗盘(授权访问抓取)　https://compass.jinritemai.com/shop/chance/category-overview</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12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政策标准（9条）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9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头部商家（18条）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18条，其中高影响4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跨平台趋势（5条）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授权访问进入类目概览，抓到智能家居/家装建材近7天(08/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阻塞原因：帮助中心正文由JS注入（可读21字符）；巨量算数报告页可读7字符且需创作者/企业号授权状态。均已排入夸克批次。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