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数据截止：2026-08-13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至08-13：家居建材『中报密集披露+818大促季+地方国补滚动扩容』三线并进。中报端结构性分化加剧——江河集团(建筑装饰/幕墙工程端)H1净利+34%并触发股价异动，与地产链零售家居(慕思/志邦/惠达/金牌预亏预减)形成鲜明对照，扣非与经营现金流才是真分水岭；欧派、好莱客把闲置资金转向理财/私募，龙头主动收缩资本开支。渠道端818打响家具补贴战：京东家具超级品类日携马頔办『亿元补贴至高返50%』，微信小店重构家具类目(08-24生效)，快手818宠粉节(08-04~08-28)；曲美家居把抖音自播费率打到平台下限5%，折射内容电商『降费率保ROI』。政策端地方国补白名单滚动扩容(福建三明尤溪第十七批/武汉第六批)、口径细化(南平『智能沙发』并入按摩椅不得重复申领)，标准端CABEE辐射隔热涂料团标(10-01实施)、CBDA标准管理办法修订(08-11)落地。宏观硬数据(7月社零/70城房价/规上工业)定于08-17、7月BHI预计08-15，本期尚未公布，下期二次补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8条，其中高影响3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4条，其中高影响0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1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8条，其中高影响3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建/材/上/游///绿/色/能/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全/屋/智/能///家/电/家/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家/装///家/居///家/电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预计2026H1归母净利润1.75亿-2.00亿元，同比下降…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年报问询函回复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回复上交所对2025年报的问询函：2025年归母净利7.75…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