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数据窗口：近30天（2026-08-11 至 2026-09-09） ＋ 本月要闻（自然月）</w:t>
      </w:r>
    </w:p>
    <w:p>
      <w:pPr>
        <w:jc w:val="center"/>
      </w:pPr>
      <w:r>
        <w:rPr>
          <w:rFonts w:ascii="Arial" w:hAnsi="Arial" w:eastAsia="宋体"/>
          <w:color w:val="666666"/>
          <w:sz w:val="22"/>
        </w:rPr>
        <w:t>数据截止：2026-09-09</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9月上旬主线是房地产交付制度与家居电商信息标准开始传导，线下家博与平台全渠道促销同步承接秋季焕新；需求端仍受房价和地产投资下行约束。</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一、本月要闻（2026年9月（自然月至今））</w:t>
      </w:r>
    </w:p>
    <w:p>
      <w:pPr>
        <w:spacing w:line="360" w:lineRule="auto"/>
        <w:ind w:firstLine="440"/>
      </w:pPr>
      <w:r>
        <w:rPr>
          <w:rFonts w:ascii="Arial" w:hAnsi="Arial" w:eastAsia="宋体"/>
          <w:b w:val="0"/>
          <w:sz w:val="22"/>
        </w:rPr>
        <w:t>本页聚焦2026年9月1日至9月9日已核实的宏观、平台、政策与商家/行业要闻；8月下旬事项保留在近30天专题数据中。</w:t>
      </w:r>
    </w:p>
    <w:p>
      <w:pPr>
        <w:spacing w:line="360" w:lineRule="auto"/>
        <w:ind w:firstLine="440"/>
      </w:pPr>
      <w:r>
        <w:rPr>
          <w:rFonts w:ascii="Arial" w:hAnsi="Arial" w:eastAsia="宋体"/>
          <w:b w:val="0"/>
          <w:sz w:val="22"/>
        </w:rPr>
        <w:t>9月上旬主线是房地产交付制度与家居电商信息标准开始传导，线下家博与平台全渠道促销同步承接秋季焕新；需求端仍受房价和地产投资下行约束。</w:t>
      </w:r>
    </w:p>
    <w:p>
      <w:pPr>
        <w:pStyle w:val="Heading2"/>
      </w:pPr>
      <w:r>
        <w:rPr>
          <w:rFonts w:ascii="Arial" w:hAnsi="Arial" w:eastAsia="微软雅黑"/>
          <w:b/>
          <w:color w:val="2E5B9A"/>
          <w:sz w:val="27"/>
        </w:rPr>
        <w:t>1.一　宏观数据（1条）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2026-09-08</w:t>
            </w:r>
          </w:p>
        </w:tc>
        <w:tc>
          <w:tcPr>
            <w:tcW w:type="dxa" w:w="5386"/>
          </w:tcPr>
          <w:p>
            <w:pPr>
              <w:jc w:val="center"/>
            </w:pPr>
            <w:r>
              <w:rPr>
                <w:rFonts w:ascii="Arial" w:hAnsi="Arial" w:eastAsia="宋体"/>
                <w:b w:val="0"/>
                <w:sz w:val="19"/>
              </w:rPr>
              <w:t>前8个月我国货物贸易进出口增长17.6%，外需保持较快增长</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海关总署数据（中国食品土畜进出口商会统计快报，2026-09-08）</w:t>
            </w:r>
          </w:p>
        </w:tc>
      </w:tr>
    </w:tbl>
    <w:p>
      <w:pPr>
        <w:spacing w:line="360" w:lineRule="auto"/>
      </w:pPr>
      <w:r>
        <w:rPr>
          <w:rFonts w:ascii="Arial" w:hAnsi="Arial" w:eastAsia="宋体"/>
          <w:b/>
          <w:sz w:val="21"/>
        </w:rPr>
        <w:t>【2026-09-08｜外贸｜影响中】前8个月我国货物贸易进出口增长17.6%，外需保持较快增长</w:t>
      </w:r>
    </w:p>
    <w:p>
      <w:pPr>
        <w:spacing w:line="360" w:lineRule="auto"/>
        <w:ind w:firstLine="420"/>
      </w:pPr>
      <w:r>
        <w:rPr>
          <w:rFonts w:ascii="Arial" w:hAnsi="Arial" w:eastAsia="宋体"/>
          <w:b w:val="0"/>
          <w:sz w:val="21"/>
        </w:rPr>
        <w:t>前8个月外贸延续较快增长，为家具、家电和建材出口链提供总量支撑；具体到家居子行业仍需等待分品类海关数据。</w:t>
      </w:r>
    </w:p>
    <w:p>
      <w:pPr>
        <w:spacing w:after="40"/>
      </w:pPr>
      <w:r>
        <w:rPr>
          <w:rFonts w:ascii="Arial" w:hAnsi="Arial" w:eastAsia="宋体"/>
          <w:i/>
          <w:color w:val="888888"/>
          <w:sz w:val="17"/>
        </w:rPr>
        <w:t>来源：海关总署数据（中国食品土畜进出口商会统计快报，2026-09-08）　https://www.cccfna.org.cn/maoyitongji/tongjikuaibao/ff808081a012a84501a07f9ee55a0cc0.html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本组共1条，其中高影响0条。前8个月外贸保持较快增长，为家居出口链提供总量支撑；但国内房地产投资与房价仍承压，内外需分化延续。</w:t>
      </w:r>
    </w:p>
    <w:p>
      <w:pPr>
        <w:pStyle w:val="Heading2"/>
      </w:pPr>
      <w:r>
        <w:rPr>
          <w:rFonts w:ascii="Arial" w:hAnsi="Arial" w:eastAsia="微软雅黑"/>
          <w:b/>
          <w:color w:val="2E5B9A"/>
          <w:sz w:val="27"/>
        </w:rPr>
        <w:t>1.二　平台大事（1条）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2026-09-02</w:t>
            </w:r>
          </w:p>
        </w:tc>
        <w:tc>
          <w:tcPr>
            <w:tcW w:type="dxa" w:w="5386"/>
          </w:tcPr>
          <w:p>
            <w:pPr>
              <w:jc w:val="center"/>
            </w:pPr>
            <w:r>
              <w:rPr>
                <w:rFonts w:ascii="Arial" w:hAnsi="Arial" w:eastAsia="宋体"/>
                <w:b w:val="0"/>
                <w:sz w:val="19"/>
              </w:rPr>
              <w:t>京东MALL秋季家博荟强化家具建材一站式体验与送装承接</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新华报业网/交汇点（新浪转载，2026-09-02）</w:t>
            </w:r>
          </w:p>
        </w:tc>
      </w:tr>
    </w:tbl>
    <w:p>
      <w:pPr>
        <w:spacing w:line="360" w:lineRule="auto"/>
      </w:pPr>
      <w:r>
        <w:rPr>
          <w:rFonts w:ascii="Arial" w:hAnsi="Arial" w:eastAsia="宋体"/>
          <w:b/>
          <w:sz w:val="21"/>
        </w:rPr>
        <w:t>【2026-09-02｜全渠道｜影响中】京东MALL秋季家博荟强化家具建材一站式体验与送装承接</w:t>
      </w:r>
    </w:p>
    <w:p>
      <w:pPr>
        <w:spacing w:line="360" w:lineRule="auto"/>
        <w:ind w:firstLine="420"/>
      </w:pPr>
      <w:r>
        <w:rPr>
          <w:rFonts w:ascii="Arial" w:hAnsi="Arial" w:eastAsia="宋体"/>
          <w:b w:val="0"/>
          <w:sz w:val="21"/>
        </w:rPr>
        <w:t>活动覆盖家具、卫浴、照明与家电，以品牌折扣、指定小区优惠、家装补贴和设计送装服务推动线下体验到成交闭环。</w:t>
      </w:r>
    </w:p>
    <w:p>
      <w:pPr>
        <w:spacing w:after="40"/>
      </w:pPr>
      <w:r>
        <w:rPr>
          <w:rFonts w:ascii="Arial" w:hAnsi="Arial" w:eastAsia="宋体"/>
          <w:i/>
          <w:color w:val="888888"/>
          <w:sz w:val="17"/>
        </w:rPr>
        <w:t>来源：新华报业网/交汇点（新浪转载，2026-09-02）　https://k.sina.cn/article_5675440730_152485a5a020026qaa.html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本组共1条，其中高影响0条。京东MALL以线下体验、设计服务和送装承接秋季焕新，平台竞争从单纯价格促销进一步转向全渠道履约能力。</w:t>
      </w:r>
    </w:p>
    <w:p>
      <w:pPr>
        <w:pStyle w:val="Heading2"/>
      </w:pPr>
      <w:r>
        <w:rPr>
          <w:rFonts w:ascii="Arial" w:hAnsi="Arial" w:eastAsia="微软雅黑"/>
          <w:b/>
          <w:color w:val="2E5B9A"/>
          <w:sz w:val="27"/>
        </w:rPr>
        <w:t>1.三　政策标准（1条）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2026-09-07</w:t>
            </w:r>
          </w:p>
        </w:tc>
        <w:tc>
          <w:tcPr>
            <w:tcW w:type="dxa" w:w="5386"/>
          </w:tcPr>
          <w:p>
            <w:pPr>
              <w:jc w:val="center"/>
            </w:pPr>
            <w:r>
              <w:rPr>
                <w:rFonts w:ascii="Arial" w:hAnsi="Arial" w:eastAsia="宋体"/>
                <w:b w:val="0"/>
                <w:sz w:val="19"/>
              </w:rPr>
              <w:t>家居产品与家装建材电商信息描述国家标准进入实施期</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泉州市市场监督管理局（2026-09-07）</w:t>
            </w:r>
          </w:p>
        </w:tc>
      </w:tr>
    </w:tbl>
    <w:p>
      <w:pPr>
        <w:spacing w:line="360" w:lineRule="auto"/>
      </w:pPr>
      <w:r>
        <w:rPr>
          <w:rFonts w:ascii="Arial" w:hAnsi="Arial" w:eastAsia="宋体"/>
          <w:b/>
          <w:sz w:val="21"/>
        </w:rPr>
        <w:t>【2026-09-07｜标准实施｜影响高】家居产品与家装建材电商信息描述国家标准进入实施期</w:t>
      </w:r>
    </w:p>
    <w:p>
      <w:pPr>
        <w:spacing w:line="360" w:lineRule="auto"/>
        <w:ind w:firstLine="420"/>
      </w:pPr>
      <w:r>
        <w:rPr>
          <w:rFonts w:ascii="Arial" w:hAnsi="Arial" w:eastAsia="宋体"/>
          <w:b w:val="0"/>
          <w:sz w:val="21"/>
        </w:rPr>
        <w:t>监管部门汇总确认GB/T 47600.3—2026家居产品、GB/T 47600.4—2026家装建材电商信息描述标准已于9月1日起实施，平台与商家应检查商品信息字段和宣称一致性。</w:t>
      </w:r>
    </w:p>
    <w:p>
      <w:pPr>
        <w:spacing w:after="40"/>
      </w:pPr>
      <w:r>
        <w:rPr>
          <w:rFonts w:ascii="Arial" w:hAnsi="Arial" w:eastAsia="宋体"/>
          <w:i/>
          <w:color w:val="888888"/>
          <w:sz w:val="17"/>
        </w:rPr>
        <w:t>来源：泉州市市场监督管理局（2026-09-07）　https://scjgj.quanzhou.gov.cn/xxgk/flfg/flfggz/202609/t20260907_3325492.htm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本组共1条，其中高影响1条。家居产品与家装建材电商信息描述国家标准进入实施期，平台字段、商品素材和宣称一致性成为本月最紧迫的合规任务。</w:t>
      </w:r>
    </w:p>
    <w:p>
      <w:pPr>
        <w:pStyle w:val="Heading2"/>
      </w:pPr>
      <w:r>
        <w:rPr>
          <w:rFonts w:ascii="Arial" w:hAnsi="Arial" w:eastAsia="微软雅黑"/>
          <w:b/>
          <w:color w:val="2E5B9A"/>
          <w:sz w:val="27"/>
        </w:rPr>
        <w:t>1.四　头部商家（1条）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2026-09-01</w:t>
            </w:r>
          </w:p>
        </w:tc>
        <w:tc>
          <w:tcPr>
            <w:tcW w:type="dxa" w:w="5386"/>
          </w:tcPr>
          <w:p>
            <w:pPr>
              <w:jc w:val="center"/>
            </w:pPr>
            <w:r>
              <w:rPr>
                <w:rFonts w:ascii="Arial" w:hAnsi="Arial" w:eastAsia="宋体"/>
                <w:b w:val="0"/>
                <w:sz w:val="19"/>
              </w:rPr>
              <w:t>3200余家品牌齐聚上海家具家居双展，新渠道与数字获客受关注</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上观新闻（新浪财经转载，2026-09-01）</w:t>
            </w:r>
          </w:p>
        </w:tc>
      </w:tr>
    </w:tbl>
    <w:p>
      <w:pPr>
        <w:spacing w:line="360" w:lineRule="auto"/>
      </w:pPr>
      <w:r>
        <w:rPr>
          <w:rFonts w:ascii="Arial" w:hAnsi="Arial" w:eastAsia="宋体"/>
          <w:b/>
          <w:sz w:val="21"/>
        </w:rPr>
        <w:t>【2026-09-01｜展会/渠道｜影响中】3200余家品牌齐聚上海家具家居双展，新渠道与数字获客受关注</w:t>
      </w:r>
    </w:p>
    <w:p>
      <w:pPr>
        <w:spacing w:line="360" w:lineRule="auto"/>
        <w:ind w:firstLine="420"/>
      </w:pPr>
      <w:r>
        <w:rPr>
          <w:rFonts w:ascii="Arial" w:hAnsi="Arial" w:eastAsia="宋体"/>
          <w:b w:val="0"/>
          <w:sz w:val="21"/>
        </w:rPr>
        <w:t>双展总面积35万平方米，面向买手、私域团长、达人和跨境采购的新渠道活动有200余家企业参与，显示品牌获客继续向内容化、私域化与跨境化延伸。</w:t>
      </w:r>
    </w:p>
    <w:p>
      <w:pPr>
        <w:spacing w:after="40"/>
      </w:pPr>
      <w:r>
        <w:rPr>
          <w:rFonts w:ascii="Arial" w:hAnsi="Arial" w:eastAsia="宋体"/>
          <w:i/>
          <w:color w:val="888888"/>
          <w:sz w:val="17"/>
        </w:rPr>
        <w:t>来源：上观新闻（新浪财经转载，2026-09-01）　https://finance.sina.com.cn/jjxw/2026-09-01/doc-iniqitru8344921.shtml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本组共1条，其中高影响0条。家具双展把买手、私域、达人和跨境采购纳入获客体系，品牌渠道经营继续向内容化、私域化和国际化延伸。</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本章以国家统计局最新可得的2026年7月及1—7月数据为主体，并补充窗口内住房政策与价格信号。家装建材家具行业作为地产后周期消费，需求端与住宅交付、存量房交易及改善型置换高度相关。</w:t>
      </w:r>
    </w:p>
    <w:p>
      <w:pPr>
        <w:pStyle w:val="Heading2"/>
      </w:pPr>
      <w:r>
        <w:rPr>
          <w:rFonts w:ascii="Arial" w:hAnsi="Arial" w:eastAsia="微软雅黑"/>
          <w:b/>
          <w:color w:val="2E5B9A"/>
          <w:sz w:val="27"/>
        </w:rPr>
        <w:t>2.1　需求端 · 限额以上单位零售额同比（7月单月）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145亿元</w:t>
            </w:r>
          </w:p>
        </w:tc>
        <w:tc>
          <w:tcPr>
            <w:tcW w:type="dxa" w:w="1701"/>
          </w:tcPr>
          <w:p>
            <w:pPr>
              <w:jc w:val="center"/>
            </w:pPr>
            <w:r>
              <w:rPr>
                <w:rFonts w:ascii="Arial" w:hAnsi="Arial" w:eastAsia="宋体"/>
                <w:b w:val="0"/>
                <w:sz w:val="19"/>
              </w:rPr>
              <w:t>-8.8%</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94亿元</w:t>
            </w:r>
          </w:p>
        </w:tc>
        <w:tc>
          <w:tcPr>
            <w:tcW w:type="dxa" w:w="1701"/>
            <w:shd w:val="clear" w:fill="F4F6F9"/>
          </w:tcPr>
          <w:p>
            <w:pPr>
              <w:jc w:val="center"/>
            </w:pPr>
            <w:r>
              <w:rPr>
                <w:rFonts w:ascii="Arial" w:hAnsi="Arial" w:eastAsia="宋体"/>
                <w:b w:val="0"/>
                <w:sz w:val="19"/>
              </w:rPr>
              <w:t>-14.2%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946亿元</w:t>
            </w:r>
          </w:p>
        </w:tc>
        <w:tc>
          <w:tcPr>
            <w:tcW w:type="dxa" w:w="1701"/>
          </w:tcPr>
          <w:p>
            <w:pPr>
              <w:jc w:val="center"/>
            </w:pPr>
            <w:r>
              <w:rPr>
                <w:rFonts w:ascii="Arial" w:hAnsi="Arial" w:eastAsia="宋体"/>
                <w:b w:val="0"/>
                <w:sz w:val="19"/>
              </w:rPr>
              <w:t>-1.9%</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39022亿元</w:t>
            </w:r>
          </w:p>
        </w:tc>
        <w:tc>
          <w:tcPr>
            <w:tcW w:type="dxa" w:w="1701"/>
            <w:shd w:val="clear" w:fill="F4F6F9"/>
          </w:tcPr>
          <w:p>
            <w:pPr>
              <w:jc w:val="center"/>
            </w:pPr>
            <w:r>
              <w:rPr>
                <w:rFonts w:ascii="Arial" w:hAnsi="Arial" w:eastAsia="宋体"/>
                <w:b w:val="0"/>
                <w:sz w:val="19"/>
              </w:rPr>
              <w:t>+0.6%</w:t>
            </w:r>
          </w:p>
        </w:tc>
        <w:tc>
          <w:tcPr>
            <w:tcW w:type="dxa" w:w="1701"/>
            <w:shd w:val="clear" w:fill="F4F6F9"/>
          </w:tcPr>
          <w:p>
            <w:pPr>
              <w:jc w:val="center"/>
            </w:pPr>
            <w:r>
              <w:rPr>
                <w:rFonts w:ascii="Arial" w:hAnsi="Arial" w:eastAsia="宋体"/>
                <w:b w:val="0"/>
                <w:sz w:val="19"/>
              </w:rPr>
              <w:t>2026-08-17</w:t>
            </w:r>
          </w:p>
        </w:tc>
      </w:tr>
    </w:tbl>
    <w:p>
      <w:pPr>
        <w:spacing w:after="40"/>
      </w:pPr>
      <w:r>
        <w:rPr>
          <w:rFonts w:ascii="Arial" w:hAnsi="Arial" w:eastAsia="宋体"/>
          <w:i/>
          <w:color w:val="888888"/>
          <w:sz w:val="17"/>
        </w:rPr>
        <w:t>来源：国家统计局 https://www.stats.gov.cn/sj/zxfb/202608/t20260817_1965052.html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家具类（-8.8%）、建筑及装潢材料类（-14.2%）、家电类（-1.9%）均同比下滑，其中建材跌幅最深，家具降幅较6月扩大；社零总额仅增长0.6%。行业需求仍弱，家电受补贴托底相对抗跌，运营应优先争取存量翻新、智能升级和服务型增量。</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规模以上工业增加值（7月单月）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+4.5%</w:t>
            </w:r>
          </w:p>
        </w:tc>
        <w:tc>
          <w:tcPr>
            <w:tcW w:type="dxa" w:w="1701"/>
            <w:shd w:val="clear" w:fill="F4F6F9"/>
          </w:tcPr>
          <w:p>
            <w:pPr>
              <w:jc w:val="center"/>
            </w:pPr>
            <w:r>
              <w:rPr>
                <w:rFonts w:ascii="Arial" w:hAnsi="Arial" w:eastAsia="宋体"/>
                <w:b w:val="0"/>
                <w:sz w:val="19"/>
              </w:rPr>
              <w:t>2026-08-17</w:t>
            </w:r>
          </w:p>
        </w:tc>
      </w:tr>
    </w:tbl>
    <w:p>
      <w:pPr>
        <w:spacing w:after="40"/>
      </w:pPr>
      <w:r>
        <w:rPr>
          <w:rFonts w:ascii="Arial" w:hAnsi="Arial" w:eastAsia="宋体"/>
          <w:i/>
          <w:color w:val="888888"/>
          <w:sz w:val="17"/>
        </w:rPr>
        <w:t>来源：国家统计局最新工业增加值及建材行业公开数据</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7月规模以上工业增加值同比增长4.5%，但地产强相关建材供给仍受需求不足与价格压力约束。供给侧应控制低效库存，资源向智能硬件、节能家电和可标准化交付的五金建材倾斜。</w:t>
      </w:r>
    </w:p>
    <w:p>
      <w:pPr>
        <w:pStyle w:val="Heading2"/>
      </w:pPr>
      <w:r>
        <w:rPr>
          <w:rFonts w:ascii="Arial" w:hAnsi="Arial" w:eastAsia="微软雅黑"/>
          <w:b/>
          <w:color w:val="2E5B9A"/>
          <w:sz w:val="27"/>
        </w:rPr>
        <w:t>2.3　房地产维度 · 销售 / 投资 / 开工 / 政策（最新可得）</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同比/变化</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70城商品住宅销售价格(7月)</w:t>
            </w:r>
          </w:p>
        </w:tc>
        <w:tc>
          <w:tcPr>
            <w:tcW w:type="dxa" w:w="2154"/>
          </w:tcPr>
          <w:p>
            <w:pPr>
              <w:jc w:val="center"/>
            </w:pPr>
            <w:r>
              <w:rPr>
                <w:rFonts w:ascii="Arial" w:hAnsi="Arial" w:eastAsia="宋体"/>
                <w:b w:val="0"/>
                <w:sz w:val="19"/>
              </w:rPr>
              <w:t>一线:新房环比0%/同比-1.1%;二手环比+0.2%/同比-3.7%。上海新房同比+3.0%(唯一正增长)</w:t>
            </w:r>
          </w:p>
        </w:tc>
        <w:tc>
          <w:tcPr>
            <w:tcW w:type="dxa" w:w="1531"/>
          </w:tcPr>
          <w:p>
            <w:pPr>
              <w:jc w:val="center"/>
            </w:pPr>
            <w:r>
              <w:rPr>
                <w:rFonts w:ascii="Arial" w:hAnsi="Arial" w:eastAsia="宋体"/>
                <w:b w:val="0"/>
                <w:sz w:val="19"/>
              </w:rPr>
              <w:t>新房同比降幅收窄0.2pp;二手降幅收窄1.2pp(连续4个月收窄,释放'筑底信号')</w:t>
            </w:r>
          </w:p>
        </w:tc>
        <w:tc>
          <w:tcPr>
            <w:tcW w:type="dxa" w:w="1701"/>
          </w:tcPr>
          <w:p>
            <w:pPr>
              <w:jc w:val="center"/>
            </w:pPr>
            <w:r>
              <w:rPr>
                <w:rFonts w:ascii="Arial" w:hAnsi="Arial" w:eastAsia="宋体"/>
                <w:b w:val="0"/>
                <w:sz w:val="19"/>
              </w:rPr>
            </w:r>
          </w:p>
        </w:tc>
      </w:tr>
      <w:tr>
        <w:tc>
          <w:tcPr>
            <w:tcW w:type="dxa" w:w="3685"/>
            <w:shd w:val="clear" w:fill="F4F6F9"/>
          </w:tcPr>
          <w:p>
            <w:pPr>
              <w:jc w:val="left"/>
            </w:pPr>
            <w:r>
              <w:rPr>
                <w:rFonts w:ascii="Arial" w:hAnsi="Arial" w:eastAsia="宋体"/>
                <w:b w:val="0"/>
                <w:sz w:val="19"/>
              </w:rPr>
              <w:t>周度住宅成交监测</w:t>
            </w:r>
          </w:p>
        </w:tc>
        <w:tc>
          <w:tcPr>
            <w:tcW w:type="dxa" w:w="2154"/>
            <w:shd w:val="clear" w:fill="F4F6F9"/>
          </w:tcPr>
          <w:p>
            <w:pPr>
              <w:jc w:val="center"/>
            </w:pPr>
            <w:r>
              <w:rPr>
                <w:rFonts w:ascii="Arial" w:hAnsi="Arial" w:eastAsia="宋体"/>
                <w:b w:val="0"/>
                <w:sz w:val="19"/>
              </w:rPr>
              <w:t>W33新房146万㎡/二手26355套;W34新房176万㎡/二手27656套(一线9676套+10.9%同比)</w:t>
            </w:r>
          </w:p>
        </w:tc>
        <w:tc>
          <w:tcPr>
            <w:tcW w:type="dxa" w:w="1531"/>
            <w:shd w:val="clear" w:fill="F4F6F9"/>
          </w:tcPr>
          <w:p>
            <w:pPr>
              <w:jc w:val="center"/>
            </w:pPr>
            <w:r>
              <w:rPr>
                <w:rFonts w:ascii="Arial" w:hAnsi="Arial" w:eastAsia="宋体"/>
                <w:b w:val="0"/>
                <w:sz w:val="19"/>
              </w:rPr>
              <w:t>W33新房-5.3%/二手+12.0%;W34新房-9.7%/二手+7.2%</w:t>
            </w:r>
          </w:p>
        </w:tc>
        <w:tc>
          <w:tcPr>
            <w:tcW w:type="dxa" w:w="1701"/>
            <w:shd w:val="clear" w:fill="F4F6F9"/>
          </w:tcPr>
          <w:p>
            <w:pPr>
              <w:jc w:val="center"/>
            </w:pPr>
            <w:r>
              <w:rPr>
                <w:rFonts w:ascii="Arial" w:hAnsi="Arial" w:eastAsia="宋体"/>
                <w:b w:val="0"/>
                <w:sz w:val="19"/>
              </w:rPr>
            </w:r>
          </w:p>
        </w:tc>
      </w:tr>
      <w:tr>
        <w:tc>
          <w:tcPr>
            <w:tcW w:type="dxa" w:w="3685"/>
          </w:tcPr>
          <w:p>
            <w:pPr>
              <w:jc w:val="left"/>
            </w:pPr>
            <w:r>
              <w:rPr>
                <w:rFonts w:ascii="Arial" w:hAnsi="Arial" w:eastAsia="宋体"/>
                <w:b w:val="0"/>
                <w:sz w:val="19"/>
              </w:rPr>
              <w:t>上海优化房地产政策（沪八条）</w:t>
            </w:r>
          </w:p>
        </w:tc>
        <w:tc>
          <w:tcPr>
            <w:tcW w:type="dxa" w:w="2154"/>
          </w:tcPr>
          <w:p>
            <w:pPr>
              <w:jc w:val="center"/>
            </w:pPr>
            <w:r>
              <w:rPr>
                <w:rFonts w:ascii="Arial" w:hAnsi="Arial" w:eastAsia="宋体"/>
                <w:b w:val="0"/>
                <w:sz w:val="19"/>
              </w:rPr>
              <w:t>外环外二套房商贷最低首付15%；符合条件的以旧换新家庭最高补贴8万元</w:t>
            </w:r>
          </w:p>
        </w:tc>
        <w:tc>
          <w:tcPr>
            <w:tcW w:type="dxa" w:w="1531"/>
          </w:tcPr>
          <w:p>
            <w:pPr>
              <w:jc w:val="center"/>
            </w:pPr>
            <w:r>
              <w:rPr>
                <w:rFonts w:ascii="Arial" w:hAnsi="Arial" w:eastAsia="宋体"/>
                <w:b w:val="0"/>
                <w:sz w:val="19"/>
              </w:rPr>
              <w:t>政策调整</w:t>
            </w:r>
          </w:p>
        </w:tc>
        <w:tc>
          <w:tcPr>
            <w:tcW w:type="dxa" w:w="1701"/>
          </w:tcPr>
          <w:p>
            <w:pPr>
              <w:jc w:val="center"/>
            </w:pPr>
            <w:r>
              <w:rPr>
                <w:rFonts w:ascii="Arial" w:hAnsi="Arial" w:eastAsia="宋体"/>
                <w:b w:val="0"/>
                <w:sz w:val="19"/>
              </w:rPr>
              <w:t>2026-08-20</w:t>
            </w:r>
          </w:p>
        </w:tc>
      </w:tr>
      <w:tr>
        <w:tc>
          <w:tcPr>
            <w:tcW w:type="dxa" w:w="3685"/>
            <w:shd w:val="clear" w:fill="F4F6F9"/>
          </w:tcPr>
          <w:p>
            <w:pPr>
              <w:jc w:val="left"/>
            </w:pPr>
            <w:r>
              <w:rPr>
                <w:rFonts w:ascii="Arial" w:hAnsi="Arial" w:eastAsia="宋体"/>
                <w:b w:val="0"/>
                <w:sz w:val="19"/>
              </w:rPr>
              <w:t>完善商品住房销售制度</w:t>
            </w:r>
          </w:p>
        </w:tc>
        <w:tc>
          <w:tcPr>
            <w:tcW w:type="dxa" w:w="2154"/>
            <w:shd w:val="clear" w:fill="F4F6F9"/>
          </w:tcPr>
          <w:p>
            <w:pPr>
              <w:jc w:val="center"/>
            </w:pPr>
            <w:r>
              <w:rPr>
                <w:rFonts w:ascii="Arial" w:hAnsi="Arial" w:eastAsia="宋体"/>
                <w:b w:val="0"/>
                <w:sz w:val="19"/>
              </w:rPr>
              <w:t>预售项目单体原则上主体结构封顶；新供地项目优先现房销售</w:t>
            </w:r>
          </w:p>
        </w:tc>
        <w:tc>
          <w:tcPr>
            <w:tcW w:type="dxa" w:w="1531"/>
            <w:shd w:val="clear" w:fill="F4F6F9"/>
          </w:tcPr>
          <w:p>
            <w:pPr>
              <w:jc w:val="center"/>
            </w:pPr>
            <w:r>
              <w:rPr>
                <w:rFonts w:ascii="Arial" w:hAnsi="Arial" w:eastAsia="宋体"/>
                <w:b w:val="0"/>
                <w:sz w:val="19"/>
              </w:rPr>
              <w:t>制度调整</w:t>
            </w:r>
          </w:p>
        </w:tc>
        <w:tc>
          <w:tcPr>
            <w:tcW w:type="dxa" w:w="1701"/>
            <w:shd w:val="clear" w:fill="F4F6F9"/>
          </w:tcPr>
          <w:p>
            <w:pPr>
              <w:jc w:val="center"/>
            </w:pPr>
            <w:r>
              <w:rPr>
                <w:rFonts w:ascii="Arial" w:hAnsi="Arial" w:eastAsia="宋体"/>
                <w:b w:val="0"/>
                <w:sz w:val="19"/>
              </w:rPr>
              <w:t>2026-08-28</w:t>
            </w:r>
          </w:p>
        </w:tc>
      </w:tr>
      <w:tr>
        <w:tc>
          <w:tcPr>
            <w:tcW w:type="dxa" w:w="3685"/>
          </w:tcPr>
          <w:p>
            <w:pPr>
              <w:jc w:val="left"/>
            </w:pPr>
            <w:r>
              <w:rPr>
                <w:rFonts w:ascii="Arial" w:hAnsi="Arial" w:eastAsia="宋体"/>
                <w:b w:val="0"/>
                <w:sz w:val="19"/>
              </w:rPr>
              <w:t>全国房地产开发投资（1-6月）</w:t>
            </w:r>
          </w:p>
        </w:tc>
        <w:tc>
          <w:tcPr>
            <w:tcW w:type="dxa" w:w="2154"/>
          </w:tcPr>
          <w:p>
            <w:pPr>
              <w:jc w:val="center"/>
            </w:pPr>
            <w:r>
              <w:rPr>
                <w:rFonts w:ascii="Arial" w:hAnsi="Arial" w:eastAsia="宋体"/>
                <w:b w:val="0"/>
                <w:sz w:val="19"/>
              </w:rPr>
              <w:t>38074亿元</w:t>
            </w:r>
          </w:p>
        </w:tc>
        <w:tc>
          <w:tcPr>
            <w:tcW w:type="dxa" w:w="1531"/>
          </w:tcPr>
          <w:p>
            <w:pPr>
              <w:jc w:val="center"/>
            </w:pPr>
            <w:r>
              <w:rPr>
                <w:rFonts w:ascii="Arial" w:hAnsi="Arial" w:eastAsia="宋体"/>
                <w:b w:val="0"/>
                <w:sz w:val="19"/>
              </w:rPr>
              <w:t>-18.0%</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全国房地产开发投资（1-7月）</w:t>
            </w:r>
          </w:p>
        </w:tc>
        <w:tc>
          <w:tcPr>
            <w:tcW w:type="dxa" w:w="2154"/>
            <w:shd w:val="clear" w:fill="F4F6F9"/>
          </w:tcPr>
          <w:p>
            <w:pPr>
              <w:jc w:val="center"/>
            </w:pPr>
            <w:r>
              <w:rPr>
                <w:rFonts w:ascii="Arial" w:hAnsi="Arial" w:eastAsia="宋体"/>
                <w:b w:val="0"/>
                <w:sz w:val="19"/>
              </w:rPr>
              <w:t>43009亿元</w:t>
            </w:r>
          </w:p>
        </w:tc>
        <w:tc>
          <w:tcPr>
            <w:tcW w:type="dxa" w:w="1531"/>
            <w:shd w:val="clear" w:fill="F4F6F9"/>
          </w:tcPr>
          <w:p>
            <w:pPr>
              <w:jc w:val="center"/>
            </w:pPr>
            <w:r>
              <w:rPr>
                <w:rFonts w:ascii="Arial" w:hAnsi="Arial" w:eastAsia="宋体"/>
                <w:b w:val="0"/>
                <w:sz w:val="19"/>
              </w:rPr>
              <w:t>-19.2%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房屋施工面积（1-6月）</w:t>
            </w:r>
          </w:p>
        </w:tc>
        <w:tc>
          <w:tcPr>
            <w:tcW w:type="dxa" w:w="2154"/>
          </w:tcPr>
          <w:p>
            <w:pPr>
              <w:jc w:val="center"/>
            </w:pPr>
            <w:r>
              <w:rPr>
                <w:rFonts w:ascii="Arial" w:hAnsi="Arial" w:eastAsia="宋体"/>
                <w:b w:val="0"/>
                <w:sz w:val="19"/>
              </w:rPr>
              <w:t>554049万平方米</w:t>
            </w:r>
          </w:p>
        </w:tc>
        <w:tc>
          <w:tcPr>
            <w:tcW w:type="dxa" w:w="1531"/>
          </w:tcPr>
          <w:p>
            <w:pPr>
              <w:jc w:val="center"/>
            </w:pPr>
            <w:r>
              <w:rPr>
                <w:rFonts w:ascii="Arial" w:hAnsi="Arial" w:eastAsia="宋体"/>
                <w:b w:val="0"/>
                <w:sz w:val="19"/>
              </w:rPr>
              <w:t>-12.5%</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房屋竣工面积（1-6月）</w:t>
            </w:r>
          </w:p>
        </w:tc>
        <w:tc>
          <w:tcPr>
            <w:tcW w:type="dxa" w:w="2154"/>
            <w:shd w:val="clear" w:fill="F4F6F9"/>
          </w:tcPr>
          <w:p>
            <w:pPr>
              <w:jc w:val="center"/>
            </w:pPr>
            <w:r>
              <w:rPr>
                <w:rFonts w:ascii="Arial" w:hAnsi="Arial" w:eastAsia="宋体"/>
                <w:b w:val="0"/>
                <w:sz w:val="19"/>
              </w:rPr>
              <w:t>17221万平方米</w:t>
            </w:r>
          </w:p>
        </w:tc>
        <w:tc>
          <w:tcPr>
            <w:tcW w:type="dxa" w:w="1531"/>
            <w:shd w:val="clear" w:fill="F4F6F9"/>
          </w:tcPr>
          <w:p>
            <w:pPr>
              <w:jc w:val="center"/>
            </w:pPr>
            <w:r>
              <w:rPr>
                <w:rFonts w:ascii="Arial" w:hAnsi="Arial" w:eastAsia="宋体"/>
                <w:b w:val="0"/>
                <w:sz w:val="19"/>
              </w:rPr>
              <w:t>-23.7%</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来源：国家统计局及住房城乡建设主管部门；各行附可核验URL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1—7月房地产开发投资同比下降19.2%，销售面积与销售额仍双位数下降，新增需求承压；上海降低外环外二套房首付并提供以旧换新补贴、三部门推动预售封顶与现房销售，则分别从改善型置换和交付确定性侧提供结构性支撑。</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r>
        <w:tc>
          <w:tcPr>
            <w:tcW w:type="dxa" w:w="3402"/>
          </w:tcPr>
          <w:p>
            <w:pPr>
              <w:jc w:val="left"/>
            </w:pPr>
            <w:r>
              <w:rPr>
                <w:rFonts w:ascii="Arial" w:hAnsi="Arial" w:eastAsia="宋体"/>
                <w:b w:val="0"/>
                <w:sz w:val="19"/>
              </w:rPr>
              <w:t>70个大中城市商品住宅价格（7月）</w:t>
            </w:r>
          </w:p>
        </w:tc>
        <w:tc>
          <w:tcPr>
            <w:tcW w:type="dxa" w:w="3685"/>
          </w:tcPr>
          <w:p>
            <w:pPr>
              <w:jc w:val="center"/>
            </w:pPr>
            <w:r>
              <w:rPr>
                <w:rFonts w:ascii="Arial" w:hAnsi="Arial" w:eastAsia="宋体"/>
                <w:b w:val="0"/>
                <w:sz w:val="19"/>
              </w:rPr>
              <w:t>新房环比上涨17城、持平6城、下降47城；二手房上涨5城、持平3城、下降62城</w:t>
            </w:r>
          </w:p>
        </w:tc>
        <w:tc>
          <w:tcPr>
            <w:tcW w:type="dxa" w:w="1984"/>
          </w:tcPr>
          <w:p>
            <w:pPr>
              <w:jc w:val="center"/>
            </w:pPr>
            <w:r>
              <w:rPr>
                <w:rFonts w:ascii="Arial" w:hAnsi="Arial" w:eastAsia="宋体"/>
                <w:b w:val="0"/>
                <w:sz w:val="19"/>
              </w:rPr>
              <w:t>新房仅4城上涨；二手房70城全部下降</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70城中，新房价格环比上涨17城、下降47城；二手房仅5城上涨、62城下降，且同比口径70城全部下降。二手房是局改与翻新需求的重要入口，价格弱势会压制改善预算；上海等地降低置换门槛可形成局部对冲，但尚不足以扭转全国趋势。</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抖店罗盘（2026/08/06 - 2026/08/12 (本期现采·Chrome·授权账号)）</w:t>
      </w:r>
    </w:p>
    <w:p>
      <w:pPr>
        <w:spacing w:line="360" w:lineRule="auto"/>
        <w:ind w:firstLine="440"/>
      </w:pPr>
      <w:r>
        <w:rPr>
          <w:rFonts w:ascii="Arial" w:hAnsi="Arial" w:eastAsia="宋体"/>
          <w:b w:val="0"/>
          <w:sz w:val="22"/>
        </w:rPr>
        <w:t>数据来源：抖店罗盘·类目概览（https://compass.jinritemai.com/shop/chance/category-overview），采集时间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 本轮状态：2026-09-09已用本机夸克打开抖店罗盘类目概览，授权状态有效且页面可进入；自动读取仅得到页面框架、日期2026/09/02-09/08及筛选项，核心指标区显示empty，未能核实新数值，因此沿用2026-08-13已核实数据，不改写指标。</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已核实周期内支付GMV ¥5亿 - ¥5.5亿、环比+1.81%，订单+4.98%、件数+4.38%，买家-0.06%。2026-09-09夸克复核显示授权状态有效，但新周期核心指标区为空，故本表明确沿用上次已核实值，不以空页面推断或编造新数据。</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本章汇总近30天（2026-08-11 至 2026-09-09）内各主要电商平台在家装建材家具品类的战报、战略与政策动向，均来自公开可查链接。</w:t>
      </w:r>
    </w:p>
    <w:p>
      <w:pPr>
        <w:pStyle w:val="Heading2"/>
      </w:pPr>
      <w:r>
        <w:rPr>
          <w:rFonts w:ascii="Arial" w:hAnsi="Arial" w:eastAsia="微软雅黑"/>
          <w:b/>
          <w:color w:val="2E5B9A"/>
          <w:sz w:val="27"/>
        </w:rPr>
        <w:t>4.1　京东（28条）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2026-09-02</w:t>
            </w:r>
          </w:p>
        </w:tc>
        <w:tc>
          <w:tcPr>
            <w:tcW w:type="dxa" w:w="5953"/>
            <w:shd w:val="clear" w:fill="F4F6F9"/>
          </w:tcPr>
          <w:p>
            <w:pPr>
              <w:jc w:val="center"/>
            </w:pPr>
            <w:r>
              <w:rPr>
                <w:rFonts w:ascii="Arial" w:hAnsi="Arial" w:eastAsia="宋体"/>
                <w:b w:val="0"/>
                <w:sz w:val="18"/>
              </w:rPr>
              <w:t>京东MALL秋季家博荟覆盖家具、卫浴、照明与家电，强化设计到送装一站式服务</w:t>
            </w:r>
          </w:p>
        </w:tc>
        <w:tc>
          <w:tcPr>
            <w:tcW w:type="dxa" w:w="1417"/>
            <w:shd w:val="clear" w:fill="F4F6F9"/>
          </w:tcPr>
          <w:p>
            <w:pPr>
              <w:jc w:val="center"/>
            </w:pPr>
            <w:r>
              <w:rPr>
                <w:rFonts w:ascii="Arial" w:hAnsi="Arial" w:eastAsia="宋体"/>
                <w:b w:val="0"/>
                <w:sz w:val="18"/>
              </w:rPr>
              <w:t>家居家装</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pPr>
      <w:r>
        <w:rPr>
          <w:rFonts w:ascii="Arial" w:hAnsi="Arial" w:eastAsia="宋体"/>
          <w:b/>
          <w:sz w:val="21"/>
        </w:rPr>
        <w:t>京东MALL秋季家博荟覆盖家具、卫浴、照明与家电，强化设计到送装一站式服务</w:t>
      </w:r>
    </w:p>
    <w:p>
      <w:pPr>
        <w:spacing w:line="360" w:lineRule="auto"/>
        <w:ind w:firstLine="420"/>
      </w:pPr>
      <w:r>
        <w:rPr>
          <w:rFonts w:ascii="Arial" w:hAnsi="Arial" w:eastAsia="宋体"/>
          <w:b w:val="0"/>
          <w:sz w:val="21"/>
        </w:rPr>
        <w:t>京东MALL及京东电器城市旗舰店启动秋季家博荟，覆盖床垫、沙发、卫浴、浴霸和照明；披露9个家具品牌单件95折、指定小区满1万元9折及家装三重补贴最高省15%，并提供设计咨询、空间规划、体验与送装衔接。</w:t>
      </w:r>
    </w:p>
    <w:p>
      <w:pPr>
        <w:spacing w:after="40"/>
      </w:pPr>
      <w:r>
        <w:rPr>
          <w:rFonts w:ascii="Arial" w:hAnsi="Arial" w:eastAsia="宋体"/>
          <w:i/>
          <w:color w:val="888888"/>
          <w:sz w:val="17"/>
        </w:rPr>
        <w:t>来源：新华报业网/交汇点（新浪转载，2026-09-02）　https://k.sina.cn/article_5675440730_152485a5a020026qaa.html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r>
        <w:tc>
          <w:tcPr>
            <w:tcW w:type="dxa" w:w="1247"/>
          </w:tcPr>
          <w:p>
            <w:pPr>
              <w:jc w:val="left"/>
            </w:pPr>
            <w:r>
              <w:rPr>
                <w:rFonts w:ascii="Arial" w:hAnsi="Arial" w:eastAsia="宋体"/>
                <w:b w:val="0"/>
                <w:sz w:val="18"/>
              </w:rPr>
              <w:t>2026-08-26</w:t>
            </w:r>
          </w:p>
        </w:tc>
        <w:tc>
          <w:tcPr>
            <w:tcW w:type="dxa" w:w="5953"/>
          </w:tcPr>
          <w:p>
            <w:pPr>
              <w:jc w:val="center"/>
            </w:pPr>
            <w:r>
              <w:rPr>
                <w:rFonts w:ascii="Arial" w:hAnsi="Arial" w:eastAsia="宋体"/>
                <w:b w:val="0"/>
                <w:sz w:val="18"/>
              </w:rPr>
              <w:t>抖音电商发布2026年Q3甄选品牌&amp;靶向商家新商政策(商家版)：入驻送5万千川红</w:t>
            </w:r>
          </w:p>
        </w:tc>
        <w:tc>
          <w:tcPr>
            <w:tcW w:type="dxa" w:w="1417"/>
          </w:tcPr>
          <w:p>
            <w:pPr>
              <w:jc w:val="center"/>
            </w:pPr>
            <w:r>
              <w:rPr>
                <w:rFonts w:ascii="Arial" w:hAnsi="Arial" w:eastAsia="宋体"/>
                <w:b w:val="0"/>
                <w:sz w:val="18"/>
              </w:rPr>
              <w:t>招商</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pPr>
      <w:r>
        <w:rPr>
          <w:rFonts w:ascii="Arial" w:hAnsi="Arial" w:eastAsia="宋体"/>
          <w:b/>
          <w:sz w:val="21"/>
        </w:rPr>
        <w:t>抖音电商发布2026年Q3甄选品牌&amp;靶向商家新商政策(商家版)：入驻送5万千川红包、0-180天返千川券最高150万、中重奢首年免佣佣金低至0.6%</w:t>
      </w:r>
    </w:p>
    <w:p>
      <w:pPr>
        <w:spacing w:line="360" w:lineRule="auto"/>
        <w:ind w:firstLine="420"/>
      </w:pPr>
      <w:r>
        <w:rPr>
          <w:rFonts w:ascii="Arial" w:hAnsi="Arial" w:eastAsia="宋体"/>
          <w:b w:val="0"/>
          <w:sz w:val="21"/>
        </w:rPr>
        <w:t>抖音电商面向甄选品牌与靶向商家发布Q3新商政策指南(明示'对外对商家使用'),配套LIGHT运营框架(Landing入驻/Identity叙事/Gravity造势/Honor转化/Together长效)。招商激励:入驻即送5万千川红包、入驻0-180天持续返还千川券最高150万、中重奢专项首年免佣佣金低至0.6%;超级旗舰店销售30单前豁免体验分考核。货架侧2025年商品卡增量贡献达40%,内容侧'家居家电重生活方式/测评'为差异化内容方向。家居家装商家可参照该框架规划入驻节奏与冷启动。</w:t>
      </w:r>
    </w:p>
    <w:p>
      <w:pPr>
        <w:spacing w:after="40"/>
      </w:pPr>
      <w:r>
        <w:rPr>
          <w:rFonts w:ascii="Arial" w:hAnsi="Arial" w:eastAsia="宋体"/>
          <w:i/>
          <w:color w:val="888888"/>
          <w:sz w:val="17"/>
        </w:rPr>
        <w:t>来源：字节飞书wiki/抖音电商商家政策(2026-Q3,夸克实测抓取)　https://bytedance.larkoffice.com/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2026-08-19</w:t>
            </w:r>
          </w:p>
        </w:tc>
        <w:tc>
          <w:tcPr>
            <w:tcW w:type="dxa" w:w="5953"/>
          </w:tcPr>
          <w:p>
            <w:pPr>
              <w:jc w:val="center"/>
            </w:pPr>
            <w:r>
              <w:rPr>
                <w:rFonts w:ascii="Arial" w:hAnsi="Arial" w:eastAsia="宋体"/>
                <w:b w:val="0"/>
                <w:sz w:val="18"/>
              </w:rPr>
              <w:t>快手Q2新商家入驻环比近增10%，免费AI经营工具覆盖超85万商家</w:t>
            </w:r>
          </w:p>
        </w:tc>
        <w:tc>
          <w:tcPr>
            <w:tcW w:type="dxa" w:w="1417"/>
          </w:tcPr>
          <w:p>
            <w:pPr>
              <w:jc w:val="center"/>
            </w:pPr>
            <w:r>
              <w:rPr>
                <w:rFonts w:ascii="Arial" w:hAnsi="Arial" w:eastAsia="宋体"/>
                <w:b w:val="0"/>
                <w:sz w:val="18"/>
              </w:rPr>
              <w:t>商家生态</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pPr>
      <w:r>
        <w:rPr>
          <w:rFonts w:ascii="Arial" w:hAnsi="Arial" w:eastAsia="宋体"/>
          <w:b/>
          <w:sz w:val="21"/>
        </w:rPr>
        <w:t>快手Q2新商家入驻环比近增10%，免费AI经营工具覆盖超85万商家</w:t>
      </w:r>
    </w:p>
    <w:p>
      <w:pPr>
        <w:spacing w:line="360" w:lineRule="auto"/>
        <w:ind w:firstLine="420"/>
      </w:pPr>
      <w:r>
        <w:rPr>
          <w:rFonts w:ascii="Arial" w:hAnsi="Arial" w:eastAsia="宋体"/>
          <w:b w:val="0"/>
          <w:sz w:val="21"/>
        </w:rPr>
        <w:t>快手公告称二季度新商家入驻量环比增长近10%，入驻后第二个月达到经营规模的商家同比增长近30%；上半年超过85万商家使用免费AI经营工具，全站推广净成交ROI产品渗透率由一季度45%升至二季度55%。</w:t>
      </w:r>
    </w:p>
    <w:p>
      <w:pPr>
        <w:spacing w:after="40"/>
      </w:pPr>
      <w:r>
        <w:rPr>
          <w:rFonts w:ascii="Arial" w:hAnsi="Arial" w:eastAsia="宋体"/>
          <w:i/>
          <w:color w:val="888888"/>
          <w:sz w:val="17"/>
        </w:rPr>
        <w:t>来源：快手科技2026Q2公告（PR Newswire，2026-08-19）　https://www.prnewswire.com/news-releases/kuaishou-technology-announces-second-quarter-and-interim-2026-unaudited-financial-results-302855081.html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跨平台趋势（10条）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2026-08-29</w:t>
            </w:r>
          </w:p>
        </w:tc>
        <w:tc>
          <w:tcPr>
            <w:tcW w:type="dxa" w:w="5953"/>
            <w:shd w:val="clear" w:fill="F4F6F9"/>
          </w:tcPr>
          <w:p>
            <w:pPr>
              <w:jc w:val="center"/>
            </w:pPr>
            <w:r>
              <w:rPr>
                <w:rFonts w:ascii="Arial" w:hAnsi="Arial" w:eastAsia="宋体"/>
                <w:b w:val="0"/>
                <w:sz w:val="18"/>
              </w:rPr>
              <w:t>《中国新电商发展报告（2026）》发布，AI经营延伸至内容、营销、客服和供应链</w:t>
            </w:r>
          </w:p>
        </w:tc>
        <w:tc>
          <w:tcPr>
            <w:tcW w:type="dxa" w:w="1417"/>
            <w:shd w:val="clear" w:fill="F4F6F9"/>
          </w:tcPr>
          <w:p>
            <w:pPr>
              <w:jc w:val="center"/>
            </w:pPr>
            <w:r>
              <w:rPr>
                <w:rFonts w:ascii="Arial" w:hAnsi="Arial" w:eastAsia="宋体"/>
                <w:b w:val="0"/>
                <w:sz w:val="18"/>
              </w:rPr>
              <w:t>数智零售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本章覆盖近30天（2026-08-11 至 2026-09-09）内影响家装建材家具行业的政策法规、国家/团体标准及行业协会动态。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r>
        <w:tc>
          <w:tcPr>
            <w:tcW w:type="dxa" w:w="1247"/>
          </w:tcPr>
          <w:p>
            <w:pPr>
              <w:jc w:val="left"/>
            </w:pPr>
            <w:r>
              <w:rPr>
                <w:rFonts w:ascii="Arial" w:hAnsi="Arial" w:eastAsia="宋体"/>
                <w:b w:val="0"/>
                <w:sz w:val="18"/>
              </w:rPr>
              <w:t>2026-08</w:t>
            </w:r>
          </w:p>
        </w:tc>
        <w:tc>
          <w:tcPr>
            <w:tcW w:type="dxa" w:w="4252"/>
          </w:tcPr>
          <w:p>
            <w:pPr>
              <w:jc w:val="center"/>
            </w:pPr>
            <w:r>
              <w:rPr>
                <w:rFonts w:ascii="Arial" w:hAnsi="Arial" w:eastAsia="宋体"/>
                <w:b w:val="0"/>
                <w:sz w:val="18"/>
              </w:rPr>
              <w:t>中国建筑装饰协会成立装配式装修工作领导小组；住建部：上半年各地新开工建设城市绿道24</w:t>
            </w:r>
          </w:p>
        </w:tc>
        <w:tc>
          <w:tcPr>
            <w:tcW w:type="dxa" w:w="1304"/>
          </w:tcPr>
          <w:p>
            <w:pPr>
              <w:jc w:val="center"/>
            </w:pPr>
            <w:r>
              <w:rPr>
                <w:rFonts w:ascii="Arial" w:hAnsi="Arial" w:eastAsia="宋体"/>
                <w:b w:val="0"/>
                <w:sz w:val="18"/>
              </w:rPr>
              <w:t>行业组织/标准</w:t>
            </w:r>
          </w:p>
        </w:tc>
        <w:tc>
          <w:tcPr>
            <w:tcW w:type="dxa" w:w="1814"/>
          </w:tcPr>
          <w:p>
            <w:pPr>
              <w:jc w:val="center"/>
            </w:pPr>
            <w:r>
              <w:rPr>
                <w:rFonts w:ascii="Arial" w:hAnsi="Arial" w:eastAsia="宋体"/>
                <w:b w:val="0"/>
                <w:sz w:val="18"/>
              </w:rPr>
              <w:t>装修/建材/装配式装修</w:t>
            </w:r>
          </w:p>
        </w:tc>
      </w:tr>
      <w:tr>
        <w:tc>
          <w:tcPr>
            <w:tcW w:type="dxa" w:w="1247"/>
            <w:shd w:val="clear" w:fill="F4F6F9"/>
          </w:tcPr>
          <w:p>
            <w:pPr>
              <w:jc w:val="left"/>
            </w:pPr>
            <w:r>
              <w:rPr>
                <w:rFonts w:ascii="Arial" w:hAnsi="Arial" w:eastAsia="宋体"/>
                <w:b w:val="0"/>
                <w:sz w:val="18"/>
              </w:rPr>
              <w:t>2026-08-28</w:t>
            </w:r>
          </w:p>
        </w:tc>
        <w:tc>
          <w:tcPr>
            <w:tcW w:type="dxa" w:w="4252"/>
            <w:shd w:val="clear" w:fill="F4F6F9"/>
          </w:tcPr>
          <w:p>
            <w:pPr>
              <w:jc w:val="center"/>
            </w:pPr>
            <w:r>
              <w:rPr>
                <w:rFonts w:ascii="Arial" w:hAnsi="Arial" w:eastAsia="宋体"/>
                <w:b w:val="0"/>
                <w:sz w:val="18"/>
              </w:rPr>
              <w:t>住房城乡建设部等三部门完善商品住房销售制度</w:t>
            </w:r>
          </w:p>
        </w:tc>
        <w:tc>
          <w:tcPr>
            <w:tcW w:type="dxa" w:w="1304"/>
            <w:shd w:val="clear" w:fill="F4F6F9"/>
          </w:tcPr>
          <w:p>
            <w:pPr>
              <w:jc w:val="center"/>
            </w:pPr>
            <w:r>
              <w:rPr>
                <w:rFonts w:ascii="Arial" w:hAnsi="Arial" w:eastAsia="宋体"/>
                <w:b w:val="0"/>
                <w:sz w:val="18"/>
              </w:rPr>
              <w:t>房地产/交付</w:t>
            </w:r>
          </w:p>
        </w:tc>
        <w:tc>
          <w:tcPr>
            <w:tcW w:type="dxa" w:w="1814"/>
            <w:shd w:val="clear" w:fill="F4F6F9"/>
          </w:tcPr>
          <w:p>
            <w:pPr>
              <w:jc w:val="center"/>
            </w:pPr>
            <w:r>
              <w:rPr>
                <w:rFonts w:ascii="Arial" w:hAnsi="Arial" w:eastAsia="宋体"/>
                <w:b w:val="0"/>
                <w:sz w:val="18"/>
              </w:rPr>
              <w:t>房地产/家装/家具/建材</w:t>
            </w:r>
          </w:p>
        </w:tc>
      </w:tr>
      <w:tr>
        <w:tc>
          <w:tcPr>
            <w:tcW w:type="dxa" w:w="1247"/>
          </w:tcPr>
          <w:p>
            <w:pPr>
              <w:jc w:val="left"/>
            </w:pPr>
            <w:r>
              <w:rPr>
                <w:rFonts w:ascii="Arial" w:hAnsi="Arial" w:eastAsia="宋体"/>
                <w:b w:val="0"/>
                <w:sz w:val="18"/>
              </w:rPr>
              <w:t>2026-08-28</w:t>
            </w:r>
          </w:p>
        </w:tc>
        <w:tc>
          <w:tcPr>
            <w:tcW w:type="dxa" w:w="4252"/>
          </w:tcPr>
          <w:p>
            <w:pPr>
              <w:jc w:val="center"/>
            </w:pPr>
            <w:r>
              <w:rPr>
                <w:rFonts w:ascii="Arial" w:hAnsi="Arial" w:eastAsia="宋体"/>
                <w:b w:val="0"/>
                <w:sz w:val="18"/>
              </w:rPr>
              <w:t>商务部等7部门推动商品消费扩容升级，明确推广智能家居与全屋智能改造</w:t>
            </w:r>
          </w:p>
        </w:tc>
        <w:tc>
          <w:tcPr>
            <w:tcW w:type="dxa" w:w="1304"/>
          </w:tcPr>
          <w:p>
            <w:pPr>
              <w:jc w:val="center"/>
            </w:pPr>
            <w:r>
              <w:rPr>
                <w:rFonts w:ascii="Arial" w:hAnsi="Arial" w:eastAsia="宋体"/>
                <w:b w:val="0"/>
                <w:sz w:val="18"/>
              </w:rPr>
              <w:t>促消费</w:t>
            </w:r>
          </w:p>
        </w:tc>
        <w:tc>
          <w:tcPr>
            <w:tcW w:type="dxa" w:w="1814"/>
          </w:tcPr>
          <w:p>
            <w:pPr>
              <w:jc w:val="center"/>
            </w:pPr>
            <w:r>
              <w:rPr>
                <w:rFonts w:ascii="Arial" w:hAnsi="Arial" w:eastAsia="宋体"/>
                <w:b w:val="0"/>
                <w:sz w:val="18"/>
              </w:rPr>
              <w:t>家具/家装/智能家居/绿色建材/</w:t>
            </w:r>
          </w:p>
        </w:tc>
      </w:tr>
      <w:tr>
        <w:tc>
          <w:tcPr>
            <w:tcW w:type="dxa" w:w="1247"/>
            <w:shd w:val="clear" w:fill="F4F6F9"/>
          </w:tcPr>
          <w:p>
            <w:pPr>
              <w:jc w:val="left"/>
            </w:pPr>
            <w:r>
              <w:rPr>
                <w:rFonts w:ascii="Arial" w:hAnsi="Arial" w:eastAsia="宋体"/>
                <w:b w:val="0"/>
                <w:sz w:val="18"/>
              </w:rPr>
              <w:t>2026-08-31</w:t>
            </w:r>
          </w:p>
        </w:tc>
        <w:tc>
          <w:tcPr>
            <w:tcW w:type="dxa" w:w="4252"/>
            <w:shd w:val="clear" w:fill="F4F6F9"/>
          </w:tcPr>
          <w:p>
            <w:pPr>
              <w:jc w:val="center"/>
            </w:pPr>
            <w:r>
              <w:rPr>
                <w:rFonts w:ascii="Arial" w:hAnsi="Arial" w:eastAsia="宋体"/>
                <w:b w:val="0"/>
                <w:sz w:val="18"/>
              </w:rPr>
              <w:t>9月1日起家居产品与家装建材电商信息描述等国家标准实施</w:t>
            </w:r>
          </w:p>
        </w:tc>
        <w:tc>
          <w:tcPr>
            <w:tcW w:type="dxa" w:w="1304"/>
            <w:shd w:val="clear" w:fill="F4F6F9"/>
          </w:tcPr>
          <w:p>
            <w:pPr>
              <w:jc w:val="center"/>
            </w:pPr>
            <w:r>
              <w:rPr>
                <w:rFonts w:ascii="Arial" w:hAnsi="Arial" w:eastAsia="宋体"/>
                <w:b w:val="0"/>
                <w:sz w:val="18"/>
              </w:rPr>
              <w:t>国家标准</w:t>
            </w:r>
          </w:p>
        </w:tc>
        <w:tc>
          <w:tcPr>
            <w:tcW w:type="dxa" w:w="1814"/>
            <w:shd w:val="clear" w:fill="F4F6F9"/>
          </w:tcPr>
          <w:p>
            <w:pPr>
              <w:jc w:val="center"/>
            </w:pPr>
            <w:r>
              <w:rPr>
                <w:rFonts w:ascii="Arial" w:hAnsi="Arial" w:eastAsia="宋体"/>
                <w:b w:val="0"/>
                <w:sz w:val="18"/>
              </w:rPr>
              <w:t>家居产品/家装建材/家用电器/电</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pPr>
      <w:r>
        <w:rPr>
          <w:rFonts w:ascii="Arial" w:hAnsi="Arial" w:eastAsia="宋体"/>
          <w:b/>
          <w:sz w:val="21"/>
        </w:rPr>
        <w:t>中国建筑装饰协会成立装配式装修工作领导小组；住建部：上半年各地新开工建设城市绿道2450公里</w:t>
      </w:r>
    </w:p>
    <w:p>
      <w:pPr>
        <w:spacing w:line="360" w:lineRule="auto"/>
        <w:ind w:firstLine="420"/>
      </w:pPr>
      <w:r>
        <w:rPr>
          <w:rFonts w:ascii="Arial" w:hAnsi="Arial" w:eastAsia="宋体"/>
          <w:b w:val="0"/>
          <w:sz w:val="21"/>
        </w:rPr>
        <w:t>中国建筑装饰协会发布《关于成立装配式装修工作领导小组的通知》,推动装配式装修标准化与产业化落地;住建部披露上半年各地新开工建设城市绿道2450公里。协会同步开展2026年度建筑装饰行业信用评价,并推介玛歌原木定制等品牌;金隅天坛联手华为鸿蒙智家布局全场景智慧家装。</w:t>
      </w:r>
    </w:p>
    <w:p>
      <w:pPr>
        <w:spacing w:line="360" w:lineRule="auto"/>
        <w:ind w:firstLine="420"/>
      </w:pPr>
      <w:r>
        <w:rPr>
          <w:rFonts w:ascii="Arial" w:hAnsi="Arial" w:eastAsia="宋体"/>
          <w:b w:val="0"/>
          <w:color w:val="8A6300"/>
          <w:sz w:val="21"/>
        </w:rPr>
        <w:t>影响：装配式装修被行业组织正式列为重点方向,利好标准化、部品化供应链与整装企业;信用评价体系强化行业规范,倒逼中小装企合规;鸿蒙智家×传统家居龙头合作印证全屋智能加速渗透家装环节。</w:t>
      </w:r>
    </w:p>
    <w:p>
      <w:pPr>
        <w:spacing w:after="40"/>
      </w:pPr>
      <w:r>
        <w:rPr>
          <w:rFonts w:ascii="Arial" w:hAnsi="Arial" w:eastAsia="宋体"/>
          <w:i/>
          <w:color w:val="888888"/>
          <w:sz w:val="17"/>
        </w:rPr>
        <w:t>来源：中国建筑装饰协会/中装新网(2026-08,夸克实测抓取)　http://www.cbda.cn/</w:t>
      </w:r>
    </w:p>
    <w:p>
      <w:pPr>
        <w:spacing w:line="360" w:lineRule="auto"/>
      </w:pPr>
      <w:r>
        <w:rPr>
          <w:rFonts w:ascii="Arial" w:hAnsi="Arial" w:eastAsia="宋体"/>
          <w:b/>
          <w:sz w:val="21"/>
        </w:rPr>
        <w:t>住房城乡建设部等三部门完善商品住房销售制度</w:t>
      </w:r>
    </w:p>
    <w:p>
      <w:pPr>
        <w:spacing w:line="360" w:lineRule="auto"/>
        <w:ind w:firstLine="420"/>
      </w:pPr>
      <w:r>
        <w:rPr>
          <w:rFonts w:ascii="Arial" w:hAnsi="Arial" w:eastAsia="宋体"/>
          <w:b w:val="0"/>
          <w:sz w:val="21"/>
        </w:rPr>
        <w:t>预售项目单体建筑原则上须主体结构封顶，购房款全部进入监管账户；新供地及尚未取得建设工程规划许可证的项目优先采用现房销售，并推动交房即交证。</w:t>
      </w:r>
    </w:p>
    <w:p>
      <w:pPr>
        <w:spacing w:line="360" w:lineRule="auto"/>
        <w:ind w:firstLine="420"/>
      </w:pPr>
      <w:r>
        <w:rPr>
          <w:rFonts w:ascii="Arial" w:hAnsi="Arial" w:eastAsia="宋体"/>
          <w:b w:val="0"/>
          <w:color w:val="8A6300"/>
          <w:sz w:val="21"/>
        </w:rPr>
        <w:t>影响：提升住宅交付确定性，利好装修、家具和建材需求从签约向交付节点更稳定转化。</w:t>
      </w:r>
    </w:p>
    <w:p>
      <w:pPr>
        <w:spacing w:after="40"/>
      </w:pPr>
      <w:r>
        <w:rPr>
          <w:rFonts w:ascii="Arial" w:hAnsi="Arial" w:eastAsia="宋体"/>
          <w:i/>
          <w:color w:val="888888"/>
          <w:sz w:val="17"/>
        </w:rPr>
        <w:t>来源：住房城乡建设部（建房规〔2026〕3号）　https://www.mohurd.gov.cn/gongkai/zc/xzgfxwjk/art/2026/art_105194568.html</w:t>
      </w:r>
    </w:p>
    <w:p>
      <w:pPr>
        <w:spacing w:line="360" w:lineRule="auto"/>
      </w:pPr>
      <w:r>
        <w:rPr>
          <w:rFonts w:ascii="Arial" w:hAnsi="Arial" w:eastAsia="宋体"/>
          <w:b/>
          <w:sz w:val="21"/>
        </w:rPr>
        <w:t>商务部等7部门推动商品消费扩容升级，明确推广智能家居与全屋智能改造</w:t>
      </w:r>
    </w:p>
    <w:p>
      <w:pPr>
        <w:spacing w:line="360" w:lineRule="auto"/>
        <w:ind w:firstLine="420"/>
      </w:pPr>
      <w:r>
        <w:rPr>
          <w:rFonts w:ascii="Arial" w:hAnsi="Arial" w:eastAsia="宋体"/>
          <w:b w:val="0"/>
          <w:sz w:val="21"/>
        </w:rPr>
        <w:t>提出培育规范化大型家装企业和平台，发展定制及预约服务，建设体验中心、推动全屋智能改造，完善废旧家具送新收旧，扩大绿色建材应用并推进智能家电家居互联互通和数据接口标准。</w:t>
      </w:r>
    </w:p>
    <w:p>
      <w:pPr>
        <w:spacing w:line="360" w:lineRule="auto"/>
        <w:ind w:firstLine="420"/>
      </w:pPr>
      <w:r>
        <w:rPr>
          <w:rFonts w:ascii="Arial" w:hAnsi="Arial" w:eastAsia="宋体"/>
          <w:b w:val="0"/>
          <w:color w:val="8A6300"/>
          <w:sz w:val="21"/>
        </w:rPr>
        <w:t>影响：为整装平台、绿色建材、智能家居和送新收旧服务带来政策性需求与标准化机会。</w:t>
      </w:r>
    </w:p>
    <w:p>
      <w:pPr>
        <w:spacing w:after="40"/>
      </w:pPr>
      <w:r>
        <w:rPr>
          <w:rFonts w:ascii="Arial" w:hAnsi="Arial" w:eastAsia="宋体"/>
          <w:i/>
          <w:color w:val="888888"/>
          <w:sz w:val="17"/>
        </w:rPr>
        <w:t>来源：商务部消费促进司（昌吉州商务局全文转载）　https://www.cj.gov.cn/p129/tzgg/20260828/594034.html</w:t>
      </w:r>
    </w:p>
    <w:p>
      <w:pPr>
        <w:spacing w:line="360" w:lineRule="auto"/>
      </w:pPr>
      <w:r>
        <w:rPr>
          <w:rFonts w:ascii="Arial" w:hAnsi="Arial" w:eastAsia="宋体"/>
          <w:b/>
          <w:sz w:val="21"/>
        </w:rPr>
        <w:t>9月1日起家居产品与家装建材电商信息描述等国家标准实施</w:t>
      </w:r>
    </w:p>
    <w:p>
      <w:pPr>
        <w:spacing w:line="360" w:lineRule="auto"/>
        <w:ind w:firstLine="420"/>
      </w:pPr>
      <w:r>
        <w:rPr>
          <w:rFonts w:ascii="Arial" w:hAnsi="Arial" w:eastAsia="宋体"/>
          <w:b w:val="0"/>
          <w:sz w:val="21"/>
        </w:rPr>
        <w:t>自9月1日起实施的标准包括GB/T 47600.3—2026《电子商务交易产品信息描述 第3部分：家居产品》、GB/T 47600.4—2026《第4部分：家装建材》，以及家电健康、节能环保规范。</w:t>
      </w:r>
    </w:p>
    <w:p>
      <w:pPr>
        <w:spacing w:line="360" w:lineRule="auto"/>
        <w:ind w:firstLine="420"/>
      </w:pPr>
      <w:r>
        <w:rPr>
          <w:rFonts w:ascii="Arial" w:hAnsi="Arial" w:eastAsia="宋体"/>
          <w:b w:val="0"/>
          <w:color w:val="8A6300"/>
          <w:sz w:val="21"/>
        </w:rPr>
        <w:t>影响：平台商品信息字段、商家素材与家电健康节能宣称需同步校准，降低描述缺失和不一致风险。</w:t>
      </w:r>
    </w:p>
    <w:p>
      <w:pPr>
        <w:spacing w:after="40"/>
      </w:pPr>
      <w:r>
        <w:rPr>
          <w:rFonts w:ascii="Arial" w:hAnsi="Arial" w:eastAsia="宋体"/>
          <w:i/>
          <w:color w:val="888888"/>
          <w:sz w:val="17"/>
        </w:rPr>
        <w:t>来源：国家市场监督管理总局（2026-08-31）　https://www.samr.gov.cn/xw/zj/art/2026/art_26c874532f4c4f318d3dcaf04e7cdfac.html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r>
        <w:tc>
          <w:tcPr>
            <w:tcW w:type="dxa" w:w="1247"/>
            <w:shd w:val="clear" w:fill="F4F6F9"/>
          </w:tcPr>
          <w:p>
            <w:pPr>
              <w:jc w:val="left"/>
            </w:pPr>
            <w:r>
              <w:rPr>
                <w:rFonts w:ascii="Arial" w:hAnsi="Arial" w:eastAsia="宋体"/>
                <w:b w:val="0"/>
                <w:sz w:val="18"/>
              </w:rPr>
              <w:t>2026-08-26</w:t>
            </w:r>
          </w:p>
        </w:tc>
        <w:tc>
          <w:tcPr>
            <w:tcW w:type="dxa" w:w="5669"/>
            <w:shd w:val="clear" w:fill="F4F6F9"/>
          </w:tcPr>
          <w:p>
            <w:pPr>
              <w:jc w:val="center"/>
            </w:pPr>
            <w:r>
              <w:rPr>
                <w:rFonts w:ascii="Arial" w:hAnsi="Arial" w:eastAsia="宋体"/>
                <w:b w:val="0"/>
                <w:sz w:val="18"/>
              </w:rPr>
              <w:t>阿拉丁照明网：两大LED巨头官宣涨价——昕诺飞部分产品最高涨15%、洲明科技9月5日</w:t>
            </w:r>
          </w:p>
        </w:tc>
        <w:tc>
          <w:tcPr>
            <w:tcW w:type="dxa" w:w="1701"/>
            <w:shd w:val="clear" w:fill="F4F6F9"/>
          </w:tcPr>
          <w:p>
            <w:pPr>
              <w:jc w:val="center"/>
            </w:pPr>
            <w:r>
              <w:rPr>
                <w:rFonts w:ascii="Arial" w:hAnsi="Arial" w:eastAsia="宋体"/>
                <w:b w:val="0"/>
                <w:sz w:val="18"/>
              </w:rPr>
              <w:t>细分品类/灯具光源</w:t>
            </w:r>
          </w:p>
        </w:tc>
      </w:tr>
      <w:tr>
        <w:tc>
          <w:tcPr>
            <w:tcW w:type="dxa" w:w="1247"/>
          </w:tcPr>
          <w:p>
            <w:pPr>
              <w:jc w:val="left"/>
            </w:pPr>
            <w:r>
              <w:rPr>
                <w:rFonts w:ascii="Arial" w:hAnsi="Arial" w:eastAsia="宋体"/>
                <w:b w:val="0"/>
                <w:sz w:val="18"/>
              </w:rPr>
              <w:t>2026-09-01</w:t>
            </w:r>
          </w:p>
        </w:tc>
        <w:tc>
          <w:tcPr>
            <w:tcW w:type="dxa" w:w="5669"/>
          </w:tcPr>
          <w:p>
            <w:pPr>
              <w:jc w:val="center"/>
            </w:pPr>
            <w:r>
              <w:rPr>
                <w:rFonts w:ascii="Arial" w:hAnsi="Arial" w:eastAsia="宋体"/>
                <w:b w:val="0"/>
                <w:sz w:val="18"/>
              </w:rPr>
              <w:t>2026家具家居双展9月在上海启幕，3200余家品牌参与</w:t>
            </w:r>
          </w:p>
        </w:tc>
        <w:tc>
          <w:tcPr>
            <w:tcW w:type="dxa" w:w="1701"/>
          </w:tcPr>
          <w:p>
            <w:pPr>
              <w:jc w:val="center"/>
            </w:pPr>
            <w:r>
              <w:rPr>
                <w:rFonts w:ascii="Arial" w:hAnsi="Arial" w:eastAsia="宋体"/>
                <w:b w:val="0"/>
                <w:sz w:val="18"/>
              </w:rPr>
              <w:t>展会/新渠道</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需求端仍受房地产投资与二手房价格承压影响，但9月家具家居双展汇聚3200余家品牌，买手、私域、达人和跨境采购成为重点新渠道。叠加电商信息描述标准实施，供给侧竞争从单纯扩品转向『合规信息+数字获客+可交付服务』。</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本章汇总近30天（2026-08-11 至 2026-09-09）内家装建材家具头部上市公司公告与品牌大事件。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r>
        <w:tc>
          <w:tcPr>
            <w:tcW w:type="dxa" w:w="1134"/>
          </w:tcPr>
          <w:p>
            <w:pPr>
              <w:jc w:val="left"/>
            </w:pPr>
            <w:r>
              <w:rPr>
                <w:rFonts w:ascii="Arial" w:hAnsi="Arial" w:eastAsia="宋体"/>
                <w:b w:val="0"/>
                <w:sz w:val="18"/>
              </w:rPr>
              <w:t>2026-08-24</w:t>
            </w:r>
          </w:p>
        </w:tc>
        <w:tc>
          <w:tcPr>
            <w:tcW w:type="dxa" w:w="1814"/>
          </w:tcPr>
          <w:p>
            <w:pPr>
              <w:jc w:val="center"/>
            </w:pPr>
            <w:r>
              <w:rPr>
                <w:rFonts w:ascii="Arial" w:hAnsi="Arial" w:eastAsia="宋体"/>
                <w:b w:val="0"/>
                <w:sz w:val="18"/>
              </w:rPr>
              <w:t>石头科技</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第一财经8-24报道:石头科技2026上半年营收100.84…</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战略调整</w:t>
            </w:r>
          </w:p>
        </w:tc>
        <w:tc>
          <w:tcPr>
            <w:tcW w:type="dxa" w:w="4252"/>
            <w:shd w:val="clear" w:fill="F4F6F9"/>
          </w:tcPr>
          <w:p>
            <w:pPr>
              <w:jc w:val="center"/>
            </w:pPr>
            <w:r>
              <w:rPr>
                <w:rFonts w:ascii="Arial" w:hAnsi="Arial" w:eastAsia="宋体"/>
                <w:b w:val="0"/>
                <w:sz w:val="18"/>
              </w:rPr>
              <w:t>亿欧8-25报道:追觅科技明确将资源聚焦清洁电器、大家电、厨…</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九牧/天猫优品</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双方围绕专属产品定制、联合营销、服务升级和下沉渠道拓展展开合…</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芝华仕</w:t>
            </w:r>
          </w:p>
        </w:tc>
        <w:tc>
          <w:tcPr>
            <w:tcW w:type="dxa" w:w="1474"/>
            <w:shd w:val="clear" w:fill="F4F6F9"/>
          </w:tcPr>
          <w:p>
            <w:pPr>
              <w:jc w:val="center"/>
            </w:pPr>
            <w:r>
              <w:rPr>
                <w:rFonts w:ascii="Arial" w:hAnsi="Arial" w:eastAsia="宋体"/>
                <w:b w:val="0"/>
                <w:sz w:val="18"/>
              </w:rPr>
              <w:t>营销战报</w:t>
            </w:r>
          </w:p>
        </w:tc>
        <w:tc>
          <w:tcPr>
            <w:tcW w:type="dxa" w:w="4252"/>
            <w:shd w:val="clear" w:fill="F4F6F9"/>
          </w:tcPr>
          <w:p>
            <w:pPr>
              <w:jc w:val="center"/>
            </w:pPr>
            <w:r>
              <w:rPr>
                <w:rFonts w:ascii="Arial" w:hAnsi="Arial" w:eastAsia="宋体"/>
                <w:b w:val="0"/>
                <w:sz w:val="18"/>
              </w:rPr>
              <w:t>京东口径显示活动期全渠道成交额同比增长超过8倍、线下成交额接…</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pPr>
      <w:r>
        <w:rPr>
          <w:rFonts w:ascii="Arial" w:hAnsi="Arial" w:eastAsia="宋体"/>
          <w:b/>
          <w:sz w:val="21"/>
        </w:rPr>
        <w:t>石头科技（财报｜2026-08-24）</w:t>
      </w:r>
    </w:p>
    <w:p>
      <w:pPr>
        <w:spacing w:line="360" w:lineRule="auto"/>
        <w:ind w:firstLine="420"/>
      </w:pPr>
      <w:r>
        <w:rPr>
          <w:rFonts w:ascii="Arial" w:hAnsi="Arial" w:eastAsia="宋体"/>
          <w:b w:val="0"/>
          <w:sz w:val="21"/>
        </w:rPr>
        <w:t>第一财经8-24报道:石头科技2026上半年营收100.84亿元(半年首破百亿),归母净利同比增超45%、扣非净利增超60%,巩固全球扫地机/清洁电器龙头地位。逆势量利齐升,与定制家居龙头利润腰斩形成K型反差,主要靠产品创新与海外市场驱动。</w:t>
      </w:r>
    </w:p>
    <w:p>
      <w:pPr>
        <w:spacing w:after="40"/>
      </w:pPr>
      <w:r>
        <w:rPr>
          <w:rFonts w:ascii="Arial" w:hAnsi="Arial" w:eastAsia="宋体"/>
          <w:i/>
          <w:color w:val="888888"/>
          <w:sz w:val="17"/>
        </w:rPr>
        <w:t>来源：第一财经(2026-08-24)　https://www.yicai.com/news/103332786.html</w:t>
      </w:r>
    </w:p>
    <w:p>
      <w:pPr>
        <w:spacing w:line="360" w:lineRule="auto"/>
      </w:pPr>
      <w:r>
        <w:rPr>
          <w:rFonts w:ascii="Arial" w:hAnsi="Arial" w:eastAsia="宋体"/>
          <w:b/>
          <w:sz w:val="21"/>
        </w:rPr>
        <w:t>追觅科技（战略调整｜2026-08-25）</w:t>
      </w:r>
    </w:p>
    <w:p>
      <w:pPr>
        <w:spacing w:line="360" w:lineRule="auto"/>
        <w:ind w:firstLine="420"/>
      </w:pPr>
      <w:r>
        <w:rPr>
          <w:rFonts w:ascii="Arial" w:hAnsi="Arial" w:eastAsia="宋体"/>
          <w:b w:val="0"/>
          <w:sz w:val="21"/>
        </w:rPr>
        <w:t>亿欧8-25报道:追觅科技明确将资源聚焦清洁电器、大家电、厨电、AI四大主业,收敛前期多元化扩张。反映智能硬件头部在竞争与利润压力下向核心品类与出海再聚焦。</w:t>
      </w:r>
    </w:p>
    <w:p>
      <w:pPr>
        <w:spacing w:after="40"/>
      </w:pPr>
      <w:r>
        <w:rPr>
          <w:rFonts w:ascii="Arial" w:hAnsi="Arial" w:eastAsia="宋体"/>
          <w:i/>
          <w:color w:val="888888"/>
          <w:sz w:val="17"/>
        </w:rPr>
        <w:t>来源：亿欧(2026-08-25)　https://www.iyiou.com/news/202608251139057</w:t>
      </w:r>
    </w:p>
    <w:p>
      <w:pPr>
        <w:spacing w:line="360" w:lineRule="auto"/>
      </w:pPr>
      <w:r>
        <w:rPr>
          <w:rFonts w:ascii="Arial" w:hAnsi="Arial" w:eastAsia="宋体"/>
          <w:b/>
          <w:sz w:val="21"/>
        </w:rPr>
        <w:t>九牧/天猫优品（战略合作｜2026-08-25）</w:t>
      </w:r>
    </w:p>
    <w:p>
      <w:pPr>
        <w:spacing w:line="360" w:lineRule="auto"/>
        <w:ind w:firstLine="420"/>
      </w:pPr>
      <w:r>
        <w:rPr>
          <w:rFonts w:ascii="Arial" w:hAnsi="Arial" w:eastAsia="宋体"/>
          <w:b w:val="0"/>
          <w:sz w:val="21"/>
        </w:rPr>
        <w:t>双方围绕专属产品定制、联合营销、服务升级和下沉渠道拓展展开合作；报道明确1亿元为年度销售目标而非投资额，经营结果仍需后续验证。</w:t>
      </w:r>
    </w:p>
    <w:p>
      <w:pPr>
        <w:spacing w:after="40"/>
      </w:pPr>
      <w:r>
        <w:rPr>
          <w:rFonts w:ascii="Arial" w:hAnsi="Arial" w:eastAsia="宋体"/>
          <w:i/>
          <w:color w:val="888888"/>
          <w:sz w:val="17"/>
        </w:rPr>
        <w:t>来源：艾肯家电网（新浪科技转载，2026-08-25）　https://finance.sina.com.cn/tech/roll/2026-08-25/doc-inipnyqu1608594.shtml</w:t>
      </w:r>
    </w:p>
    <w:p>
      <w:pPr>
        <w:spacing w:line="360" w:lineRule="auto"/>
      </w:pPr>
      <w:r>
        <w:rPr>
          <w:rFonts w:ascii="Arial" w:hAnsi="Arial" w:eastAsia="宋体"/>
          <w:b/>
          <w:sz w:val="21"/>
        </w:rPr>
        <w:t>芝华仕（营销战报｜2026-08-25）</w:t>
      </w:r>
    </w:p>
    <w:p>
      <w:pPr>
        <w:spacing w:line="360" w:lineRule="auto"/>
        <w:ind w:firstLine="420"/>
      </w:pPr>
      <w:r>
        <w:rPr>
          <w:rFonts w:ascii="Arial" w:hAnsi="Arial" w:eastAsia="宋体"/>
          <w:b w:val="0"/>
          <w:sz w:val="21"/>
        </w:rPr>
        <w:t>京东口径显示活动期全渠道成交额同比增长超过8倍、线下成交额接近5倍，两场直播累计观看超过30万人次；数据为平台自报，未见独立审计。</w:t>
      </w:r>
    </w:p>
    <w:p>
      <w:pPr>
        <w:spacing w:after="40"/>
      </w:pPr>
      <w:r>
        <w:rPr>
          <w:rFonts w:ascii="Arial" w:hAnsi="Arial" w:eastAsia="宋体"/>
          <w:i/>
          <w:color w:val="888888"/>
          <w:sz w:val="17"/>
        </w:rPr>
        <w:t>来源：中国家电网（稿源京东，2026-08-25）　https://tech.cheaa.com/2026/0825/657819.shtml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30项指标</w:t>
            </w:r>
          </w:p>
        </w:tc>
        <w:tc>
          <w:tcPr>
            <w:tcW w:type="dxa" w:w="2551"/>
          </w:tcPr>
          <w:p>
            <w:pPr>
              <w:jc w:val="center"/>
            </w:pPr>
            <w:r>
              <w:rPr>
                <w:rFonts w:ascii="Arial" w:hAnsi="Arial" w:eastAsia="宋体"/>
                <w:b w:val="0"/>
                <w:sz w:val="17"/>
              </w:rPr>
              <w:t>无阻塞。本轮补充7月70城房价与1-7月房地产市场官方数据；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已登录（夸克复核</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2026-09-09授权访问有效，页面显示日期2026/0</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销售额指数为综合估算指数,仅可同区间横向比大小,不可换算真实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巨量算数 / 抖音指数（创作者中心-抖音指数）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家装关键词趋势·近30天(2</w:t>
            </w:r>
          </w:p>
        </w:tc>
        <w:tc>
          <w:tcPr>
            <w:tcW w:type="dxa" w:w="2551"/>
          </w:tcPr>
          <w:p>
            <w:pPr>
              <w:jc w:val="center"/>
            </w:pPr>
            <w:r>
              <w:rPr>
                <w:rFonts w:ascii="Arial" w:hAnsi="Arial" w:eastAsia="宋体"/>
                <w:b w:val="0"/>
                <w:sz w:val="17"/>
              </w:rPr>
              <w:t>搜索/综合指数为抖音生态内相对指数,非真实GMV/销量,可比</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2026-09-09近30天公开源增量（住建部/</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新增12条结构化记录+4条9</w:t>
            </w:r>
          </w:p>
        </w:tc>
        <w:tc>
          <w:tcPr>
            <w:tcW w:type="dxa" w:w="2551"/>
          </w:tcPr>
          <w:p>
            <w:pPr>
              <w:jc w:val="center"/>
            </w:pPr>
            <w:r>
              <w:rPr>
                <w:rFonts w:ascii="Arial" w:hAnsi="Arial" w:eastAsia="宋体"/>
                <w:b w:val="0"/>
                <w:sz w:val="17"/>
              </w:rPr>
              <w:t>拼多多官方IR与京东部分财报正文抓取受限，未采用未核实数字；</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共接入81个数据源：深层采集(depth3)34个、中层17个、浅层13个、阻塞(depth0)17个。公开层采集说明：本轮新增12条近30天结构化记录，并重置4组9月自然月至今亮点各1条。 本轮新增说明：2026-09-09刷新：补充70城房价、上海房地产优化、商品住房销售制度、商品消费扩容、家居/家装建材电商信息标准、京东MALL秋季家博、快手AI经营、家具双展及九牧/芝华仕渠道动作。 阻塞说明：抖店罗盘授权访问有效，但2026/09/02-09/08类目概览核心指标区显示empty，无法核实新值，沿用2026-08-13数据；拼多多IR与京东部分财报正文访问失败，未录入未核实指标。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守份额而非等回暖：7月家具-8.8%/建材-14.2%显著跑输社零+0.6%，行业缺乏总量红利，KPI设定与资源投放应以守住类目份额、抢竞品份额为主基调，不宜押注大盘自然反弹。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