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汇报稿（精要版）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数据截止：2026-08-12</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8月上旬到中旬（截至08-12）呈现『宏观继续探底、资本动作密集、地方补贴下沉』三条主线。宏观端7月读数集中落地：PMI全面回落（制造业49.2%、建筑业47.0%）、CPI中『居住』-0.3%为七大类唯一下降项、PPI +3.5%与CPI +0.5%的剪刀差扩至3.0个百分点，家居建材中下游被上游成本与终端价格两头挤压；唯一强项是外需，前7个月进出口30.13万亿(+17.3%)、7月单月+19.2%，与国内家具-6.6%/建材-10.5%形成极强背离，确认产业链『外热内冷』。地产端百城新房环比+0.26%微涨、二手房-0.44%续跌，中指第32周二手房成交同比+7.8%但8月累计已转负(-0.3%)，三季度存量翻新的自然引流窗口偏弱。商家端2026H1中报8月7日开闸，首批4家已充分说明『看归母增速会看错人』：伟星新材归母+43.90%但扣非EPS仅0.14元对基本EPS 0.25元、增长来自非经常性损益；江河集团双位数双增但每股经营现金流-0.62元、以垫资换增长；悍高集团是唯一利润与现金流同步为正；塔牌集团归母近乎腰斩。资本与治理动作同样密集：顾家18.71亿定增落地、控股方增持至37.39%但发行价从19.15元下修至17.94元；居然智家实控人交接进入收尾、杨芳控制43.93%；惠达以『股权1元+债权6800万』剥离亏损陶瓷资产；箭牌2023年激励计划因考核未达成整体作废；欧派与好莱客同期把资金转向现金管理与私募基金，定制龙头主动收缩资本开支。政策端最值得警惕的是深圳把线上国补资格从平台级下沉到店铺级白名单，若被复制将直接改变国补品类的店铺间流量与GMV分配；盐城盐都区400万消费券中家装家居100万元、为家电50万元的两倍，与7月北京/福建/重庆的智能家居扩围一起，说明地方财政对『家装』的独立支持正在成形。平台端京东在8月上旬密集修订经营类目阈值(08-17生效)与不当使用关键词细则(08-19生效)，并调整家电家居安装维修经营模式，8月下旬可能形成一波中小商家的平台间迁移。</w:t>
      </w:r>
    </w:p>
    <w:p>
      <w:pPr>
        <w:pStyle w:val="Heading2"/>
      </w:pPr>
      <w:r>
        <w:rPr>
          <w:rFonts w:ascii="Arial" w:hAnsi="Arial" w:eastAsia="微软雅黑"/>
          <w:b/>
          <w:color w:val="2E5B9A"/>
          <w:sz w:val="27"/>
        </w:rPr>
        <w:t>1.一　宏观数据（7条）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2026-07-31</w:t>
            </w:r>
          </w:p>
        </w:tc>
        <w:tc>
          <w:tcPr>
            <w:tcW w:type="dxa" w:w="5386"/>
          </w:tcPr>
          <w:p>
            <w:pPr>
              <w:jc w:val="center"/>
            </w:pPr>
            <w:r>
              <w:rPr>
                <w:rFonts w:ascii="Arial" w:hAnsi="Arial" w:eastAsia="宋体"/>
                <w:b w:val="0"/>
                <w:sz w:val="19"/>
              </w:rPr>
              <w:t>7月PMI全面回落：制造业49.2%、建筑业47.0%，需求端先行指标走弱</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2026-08-03</w:t>
            </w:r>
          </w:p>
        </w:tc>
        <w:tc>
          <w:tcPr>
            <w:tcW w:type="dxa" w:w="5386"/>
            <w:shd w:val="clear" w:fill="F4F6F9"/>
          </w:tcPr>
          <w:p>
            <w:pPr>
              <w:jc w:val="center"/>
            </w:pPr>
            <w:r>
              <w:rPr>
                <w:rFonts w:ascii="Arial" w:hAnsi="Arial" w:eastAsia="宋体"/>
                <w:b w:val="0"/>
                <w:sz w:val="19"/>
              </w:rPr>
              <w:t>1-7月百强房企销售1.80万亿，降幅连续五个月收窄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中指研究院(财联社转载)</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7月百城房价：新房环比+0.26%微涨、二手房-0.44%续跌</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中指研究院(新浪财经转载)</w:t>
            </w:r>
          </w:p>
        </w:tc>
      </w:tr>
      <w:tr>
        <w:tc>
          <w:tcPr>
            <w:tcW w:type="dxa" w:w="1247"/>
            <w:shd w:val="clear" w:fill="F4F6F9"/>
          </w:tcPr>
          <w:p>
            <w:pPr>
              <w:jc w:val="left"/>
            </w:pPr>
            <w:r>
              <w:rPr>
                <w:rFonts w:ascii="Arial" w:hAnsi="Arial" w:eastAsia="宋体"/>
                <w:b w:val="0"/>
                <w:sz w:val="19"/>
              </w:rPr>
              <w:t>2026-08-03</w:t>
            </w:r>
          </w:p>
        </w:tc>
        <w:tc>
          <w:tcPr>
            <w:tcW w:type="dxa" w:w="5386"/>
            <w:shd w:val="clear" w:fill="F4F6F9"/>
          </w:tcPr>
          <w:p>
            <w:pPr>
              <w:jc w:val="center"/>
            </w:pPr>
            <w:r>
              <w:rPr>
                <w:rFonts w:ascii="Arial" w:hAnsi="Arial" w:eastAsia="宋体"/>
                <w:b w:val="0"/>
                <w:sz w:val="19"/>
              </w:rPr>
              <w:t>7月建材工业景气指数MPI 95.3点，环比降6.0点续处非景气区间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中国建筑材料联合会</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7月CPI同比+0.5%，『居住』-0.3%是七大类中唯一下降项；PPI+3.5%，剪刀差扩至3.0pct</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2026-08-07</w:t>
            </w:r>
          </w:p>
        </w:tc>
        <w:tc>
          <w:tcPr>
            <w:tcW w:type="dxa" w:w="5386"/>
            <w:shd w:val="clear" w:fill="F4F6F9"/>
          </w:tcPr>
          <w:p>
            <w:pPr>
              <w:jc w:val="center"/>
            </w:pPr>
            <w:r>
              <w:rPr>
                <w:rFonts w:ascii="Arial" w:hAnsi="Arial" w:eastAsia="宋体"/>
                <w:b w:val="0"/>
                <w:sz w:val="19"/>
              </w:rPr>
              <w:t>前7个月货物贸易进出口30.13万亿元(+17.3%)，7月单月4.66万亿(+19.2%)，外需与内需背离加剧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海关总署（经央视新闻/中国日报网转载）</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中指第32周：重点城市二手房成交24463套(环比-10.4%/同比+7.8%)，8月累计同比已转负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7条，其中高影响3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平台大事（2条）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条，其中高影响0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政策标准（3条）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3条，其中高影响1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头部商家（6条）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6条，其中高影响2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2026-07-30 16:17 CST。【数据日期提示】本区块为2026-07-30经夸克浏览器现采的近7天(2026/07/23-07/29)数据。抖店罗盘对市场类目只公开数量级区间（如 ¥1亿-¥1.5亿），不显示精确值；文中区间原样保留。较上周期百分比为口径公开的精确 WoW。</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¥4.5亿 - ¥5亿</w:t>
            </w:r>
          </w:p>
        </w:tc>
        <w:tc>
          <w:tcPr>
            <w:tcW w:type="dxa" w:w="2268"/>
          </w:tcPr>
          <w:p>
            <w:pPr>
              <w:jc w:val="center"/>
            </w:pPr>
            <w:r>
              <w:rPr>
                <w:rFonts w:ascii="Arial" w:hAnsi="Arial" w:eastAsia="宋体"/>
                <w:b w:val="0"/>
                <w:sz w:val="19"/>
              </w:rPr>
              <w:t>+1.12%</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+0.57%</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+5.52%</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-0.85%</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+0.37%</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-0.77%</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+1.70%</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-4.17%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胶粘剂</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防护材料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门及配件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墙面材料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1%-2.5%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¥750万-¥1,000万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商品卡</w:t>
            </w:r>
          </w:p>
        </w:tc>
        <w:tc>
          <w:tcPr>
            <w:tcW w:type="dxa" w:w="1984"/>
            <w:shd w:val="clear" w:fill="F4F6F9"/>
          </w:tcPr>
          <w:p>
            <w:pPr>
              <w:jc w:val="center"/>
            </w:pPr>
            <w:r>
              <w:rPr>
                <w:rFonts w:ascii="Arial" w:hAnsi="Arial" w:eastAsia="宋体"/>
                <w:b w:val="0"/>
                <w:sz w:val="19"/>
              </w:rPr>
              <w:t>21.76%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短视频</w:t>
            </w:r>
          </w:p>
        </w:tc>
        <w:tc>
          <w:tcPr>
            <w:tcW w:type="dxa" w:w="1984"/>
          </w:tcPr>
          <w:p>
            <w:pPr>
              <w:jc w:val="center"/>
            </w:pPr>
            <w:r>
              <w:rPr>
                <w:rFonts w:ascii="Arial" w:hAnsi="Arial" w:eastAsia="宋体"/>
                <w:b w:val="0"/>
                <w:sz w:val="19"/>
              </w:rPr>
              <w:t>19.47%</w:t>
            </w:r>
          </w:p>
        </w:tc>
        <w:tc>
          <w:tcPr>
            <w:tcW w:type="dxa" w:w="3402"/>
          </w:tcPr>
          <w:p>
            <w:pPr>
              <w:jc w:val="center"/>
            </w:pPr>
            <w:r>
              <w:rPr>
                <w:rFonts w:ascii="Arial" w:hAnsi="Arial" w:eastAsia="宋体"/>
                <w:b w:val="0"/>
                <w:sz w:val="19"/>
              </w:rPr>
              <w:t>¥7,500万-¥1亿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3.79%</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0.08%</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7/9-7/15 GMV ¥4.5-5亿，环比+1.5%；订单+7%、买家+4.9%，说明客单价（¥50-100 区间上端）在拉动，非纯流量红利。</w:t>
      </w:r>
    </w:p>
    <w:p>
      <w:pPr>
        <w:spacing w:line="336" w:lineRule="auto"/>
        <w:ind w:left="360"/>
      </w:pPr>
      <w:r>
        <w:rPr>
          <w:rFonts w:ascii="Arial" w:hAnsi="Arial" w:eastAsia="宋体"/>
          <w:sz w:val="21"/>
        </w:rPr>
        <w:t>• TOP2 子类目 全屋智能(25-30%) + 卫浴建材(20-25%) 合计 ~50% 大盘，注意全屋智能件单价¥200-300 vs 卫浴建材¥100-200：智能硬件在抖音已进入高价心智，卫浴走走量。</w:t>
      </w:r>
    </w:p>
    <w:p>
      <w:pPr>
        <w:spacing w:line="336" w:lineRule="auto"/>
        <w:ind w:left="360"/>
      </w:pPr>
      <w:r>
        <w:rPr>
          <w:rFonts w:ascii="Arial" w:hAnsi="Arial" w:eastAsia="宋体"/>
          <w:sz w:val="21"/>
        </w:rPr>
        <w:t>• 价格带极度头重脚轻：¥39以上占 75-80% GMV，说明抖音家装建材不再是低价白牌天下，中高端已跑起来。</w:t>
      </w:r>
    </w:p>
    <w:p>
      <w:pPr>
        <w:spacing w:line="336" w:lineRule="auto"/>
        <w:ind w:left="360"/>
      </w:pPr>
      <w:r>
        <w:rPr>
          <w:rFonts w:ascii="Arial" w:hAnsi="Arial" w:eastAsia="宋体"/>
          <w:sz w:val="21"/>
        </w:rPr>
        <w:t>• 载体：直播 54.8% + 商品卡 21.87% + 短视频 19.7% = 96.4%，图文仅 0.1%——图文种草模型在这个类目失效，直播和货架是主战场。</w:t>
      </w:r>
    </w:p>
    <w:p>
      <w:pPr>
        <w:spacing w:line="336" w:lineRule="auto"/>
        <w:ind w:left="360"/>
      </w:pPr>
      <w:r>
        <w:rPr>
          <w:rFonts w:ascii="Arial" w:hAnsi="Arial" w:eastAsia="宋体"/>
          <w:sz w:val="21"/>
        </w:rPr>
        <w:t>• 渠道 TOP3：短视频引流(25-30%) + 直播推荐(20-25%) + 搜索(15-20%) = 60-70% GMV，搜索占比不低，说明用户"抖音搜家装"心智已成型。</w:t>
      </w:r>
    </w:p>
    <w:p>
      <w:pPr>
        <w:spacing w:line="336" w:lineRule="auto"/>
        <w:ind w:left="360"/>
      </w:pPr>
      <w:r>
        <w:rPr>
          <w:rFonts w:ascii="Arial" w:hAnsi="Arial" w:eastAsia="宋体"/>
          <w:sz w:val="21"/>
        </w:rPr>
        <w:t>• TOP15 单品中，智能锁 4 席（掌静脉/掌静脉/双子星/联想T30pro）、监控摄像头 4 席（步猎鹰/神眸/斯麦特/AUX），共 8 席，与用户跟的 AI 锁/AI 监控摄像头 2 大赛道高度重叠——这些品牌应立即加入天猫竞品追踪清单。</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京东（7条）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4.8　跨平台趋势（2条）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北京市新增10类『智能家居（含适老化）』以旧换新补贴产品（含智能马桶、智能床）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福建省2026年智能家居产品购新补贴品类扩围：新增智能吸油烟机/燃气灶/洗碗机/干衣</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市场监管总局批准发布508项重要国家标准（含建材26项、家用电器9项）</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建材/灯具光源/全屋智能</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GB 18584-2024落地执法案例：湖南楚荣家具因床头柜甲醛超标召回53件</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家具/建材</w:t>
            </w:r>
          </w:p>
        </w:tc>
      </w:tr>
      <w:tr>
        <w:tc>
          <w:tcPr>
            <w:tcW w:type="dxa" w:w="1247"/>
          </w:tcPr>
          <w:p>
            <w:pPr>
              <w:jc w:val="left"/>
            </w:pPr>
            <w:r>
              <w:rPr>
                <w:rFonts w:ascii="Arial" w:hAnsi="Arial" w:eastAsia="宋体"/>
                <w:b w:val="0"/>
                <w:sz w:val="18"/>
              </w:rPr>
              <w:t>2025-05-30</w:t>
            </w:r>
          </w:p>
        </w:tc>
        <w:tc>
          <w:tcPr>
            <w:tcW w:type="dxa" w:w="4252"/>
          </w:tcPr>
          <w:p>
            <w:pPr>
              <w:jc w:val="center"/>
            </w:pPr>
            <w:r>
              <w:rPr>
                <w:rFonts w:ascii="Arial" w:hAnsi="Arial" w:eastAsia="宋体"/>
                <w:b w:val="0"/>
                <w:sz w:val="18"/>
              </w:rPr>
              <w:t>GB18580-2025《室内装饰装修材料人造板及其制品中甲醛释放限量》正式实施（E</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家具/装修/建材/全屋定制</w:t>
            </w:r>
          </w:p>
        </w:tc>
      </w:tr>
      <w:tr>
        <w:tc>
          <w:tcPr>
            <w:tcW w:type="dxa" w:w="1247"/>
            <w:shd w:val="clear" w:fill="F4F6F9"/>
          </w:tcPr>
          <w:p>
            <w:pPr>
              <w:jc w:val="left"/>
            </w:pPr>
            <w:r>
              <w:rPr>
                <w:rFonts w:ascii="Arial" w:hAnsi="Arial" w:eastAsia="宋体"/>
                <w:b w:val="0"/>
                <w:sz w:val="18"/>
              </w:rPr>
              <w:t>2026-07-10</w:t>
            </w:r>
          </w:p>
        </w:tc>
        <w:tc>
          <w:tcPr>
            <w:tcW w:type="dxa" w:w="4252"/>
            <w:shd w:val="clear" w:fill="F4F6F9"/>
          </w:tcPr>
          <w:p>
            <w:pPr>
              <w:jc w:val="center"/>
            </w:pPr>
            <w:r>
              <w:rPr>
                <w:rFonts w:ascii="Arial" w:hAnsi="Arial" w:eastAsia="宋体"/>
                <w:b w:val="0"/>
                <w:sz w:val="18"/>
              </w:rPr>
              <w:t>GB/T 24986.7-2026《家用和类似用途电器可靠性试验及评价 第7部分：电</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卫浴厨房</w:t>
            </w:r>
          </w:p>
        </w:tc>
      </w:tr>
      <w:tr>
        <w:tc>
          <w:tcPr>
            <w:tcW w:type="dxa" w:w="1247"/>
          </w:tcPr>
          <w:p>
            <w:pPr>
              <w:jc w:val="left"/>
            </w:pPr>
            <w:r>
              <w:rPr>
                <w:rFonts w:ascii="Arial" w:hAnsi="Arial" w:eastAsia="宋体"/>
                <w:b w:val="0"/>
                <w:sz w:val="18"/>
              </w:rPr>
              <w:t>2026-01-05</w:t>
            </w:r>
          </w:p>
        </w:tc>
        <w:tc>
          <w:tcPr>
            <w:tcW w:type="dxa" w:w="4252"/>
          </w:tcPr>
          <w:p>
            <w:pPr>
              <w:jc w:val="center"/>
            </w:pPr>
            <w:r>
              <w:rPr>
                <w:rFonts w:ascii="Arial" w:hAnsi="Arial" w:eastAsia="宋体"/>
                <w:b w:val="0"/>
                <w:sz w:val="18"/>
              </w:rPr>
              <w:t>T/CREA 056—2026《住宅全案整装服务标准》正式发布并召开宣贯会</w:t>
            </w:r>
          </w:p>
        </w:tc>
        <w:tc>
          <w:tcPr>
            <w:tcW w:type="dxa" w:w="1304"/>
          </w:tcPr>
          <w:p>
            <w:pPr>
              <w:jc w:val="center"/>
            </w:pPr>
            <w:r>
              <w:rPr>
                <w:rFonts w:ascii="Arial" w:hAnsi="Arial" w:eastAsia="宋体"/>
                <w:b w:val="0"/>
                <w:sz w:val="18"/>
              </w:rPr>
              <w:t>行业规范</w:t>
            </w:r>
          </w:p>
        </w:tc>
        <w:tc>
          <w:tcPr>
            <w:tcW w:type="dxa" w:w="1814"/>
          </w:tcPr>
          <w:p>
            <w:pPr>
              <w:jc w:val="center"/>
            </w:pPr>
            <w:r>
              <w:rPr>
                <w:rFonts w:ascii="Arial" w:hAnsi="Arial" w:eastAsia="宋体"/>
                <w:b w:val="0"/>
                <w:sz w:val="18"/>
              </w:rPr>
              <w:t>装修/全屋定制/家具</w:t>
            </w:r>
          </w:p>
        </w:tc>
      </w:tr>
      <w:tr>
        <w:tc>
          <w:tcPr>
            <w:tcW w:type="dxa" w:w="1247"/>
            <w:shd w:val="clear" w:fill="F4F6F9"/>
          </w:tcPr>
          <w:p>
            <w:pPr>
              <w:jc w:val="left"/>
            </w:pPr>
            <w:r>
              <w:rPr>
                <w:rFonts w:ascii="Arial" w:hAnsi="Arial" w:eastAsia="宋体"/>
                <w:b w:val="0"/>
                <w:sz w:val="18"/>
              </w:rPr>
              <w:t>2026-06-18</w:t>
            </w:r>
          </w:p>
        </w:tc>
        <w:tc>
          <w:tcPr>
            <w:tcW w:type="dxa" w:w="4252"/>
            <w:shd w:val="clear" w:fill="F4F6F9"/>
          </w:tcPr>
          <w:p>
            <w:pPr>
              <w:jc w:val="center"/>
            </w:pPr>
            <w:r>
              <w:rPr>
                <w:rFonts w:ascii="Arial" w:hAnsi="Arial" w:eastAsia="宋体"/>
                <w:b w:val="0"/>
                <w:sz w:val="18"/>
              </w:rPr>
              <w:t>湖南省消费品以旧换新新增10类智能家居家电品类，6月18日起补贴</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w:t>
            </w:r>
          </w:p>
        </w:tc>
      </w:tr>
      <w:tr>
        <w:tc>
          <w:tcPr>
            <w:tcW w:type="dxa" w:w="1247"/>
          </w:tcPr>
          <w:p>
            <w:pPr>
              <w:jc w:val="left"/>
            </w:pPr>
            <w:r>
              <w:rPr>
                <w:rFonts w:ascii="Arial" w:hAnsi="Arial" w:eastAsia="宋体"/>
                <w:b w:val="0"/>
                <w:sz w:val="18"/>
              </w:rPr>
              <w:t>2026-05-18</w:t>
            </w:r>
          </w:p>
        </w:tc>
        <w:tc>
          <w:tcPr>
            <w:tcW w:type="dxa" w:w="4252"/>
          </w:tcPr>
          <w:p>
            <w:pPr>
              <w:jc w:val="center"/>
            </w:pPr>
            <w:r>
              <w:rPr>
                <w:rFonts w:ascii="Arial" w:hAnsi="Arial" w:eastAsia="宋体"/>
                <w:b w:val="0"/>
                <w:sz w:val="18"/>
              </w:rPr>
              <w:t>关于开展重点行业节能降碳改造攻坚三年行动的通知（发改环资〔2026〕698号）</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2026-01-08</w:t>
            </w:r>
          </w:p>
        </w:tc>
        <w:tc>
          <w:tcPr>
            <w:tcW w:type="dxa" w:w="4252"/>
            <w:shd w:val="clear" w:fill="F4F6F9"/>
          </w:tcPr>
          <w:p>
            <w:pPr>
              <w:jc w:val="center"/>
            </w:pPr>
            <w:r>
              <w:rPr>
                <w:rFonts w:ascii="Arial" w:hAnsi="Arial" w:eastAsia="宋体"/>
                <w:b w:val="0"/>
                <w:sz w:val="18"/>
              </w:rPr>
              <w:t>商务部等7部门《关于提质增效实施2026年消费品以旧换新工作的通知》延续国补，家居/</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家具/卫浴厨房/全屋智能/灯具光</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福州市扩大2026年智能家居产品购新补贴品类：与省级同步扩围至约10类</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家具/卫浴洁具/五金建材</w:t>
            </w:r>
          </w:p>
        </w:tc>
      </w:tr>
      <w:tr>
        <w:tc>
          <w:tcPr>
            <w:tcW w:type="dxa" w:w="1247"/>
            <w:shd w:val="clear" w:fill="F4F6F9"/>
          </w:tcPr>
          <w:p>
            <w:pPr>
              <w:jc w:val="left"/>
            </w:pPr>
            <w:r>
              <w:rPr>
                <w:rFonts w:ascii="Arial" w:hAnsi="Arial" w:eastAsia="宋体"/>
                <w:b w:val="0"/>
                <w:sz w:val="18"/>
              </w:rPr>
              <w:t>2026-07-24</w:t>
            </w:r>
          </w:p>
        </w:tc>
        <w:tc>
          <w:tcPr>
            <w:tcW w:type="dxa" w:w="4252"/>
            <w:shd w:val="clear" w:fill="F4F6F9"/>
          </w:tcPr>
          <w:p>
            <w:pPr>
              <w:jc w:val="center"/>
            </w:pPr>
            <w:r>
              <w:rPr>
                <w:rFonts w:ascii="Arial" w:hAnsi="Arial" w:eastAsia="宋体"/>
                <w:b w:val="0"/>
                <w:sz w:val="18"/>
              </w:rPr>
              <w:t>重庆市对2026年智能家居（含适老化家居）购新补贴垫付超50万元单位预拨付资金</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家具/适老化家居/卫浴洁具</w:t>
            </w:r>
          </w:p>
        </w:tc>
      </w:tr>
      <w:tr>
        <w:tc>
          <w:tcPr>
            <w:tcW w:type="dxa" w:w="1247"/>
          </w:tcPr>
          <w:p>
            <w:pPr>
              <w:jc w:val="left"/>
            </w:pPr>
            <w:r>
              <w:rPr>
                <w:rFonts w:ascii="Arial" w:hAnsi="Arial" w:eastAsia="宋体"/>
                <w:b w:val="0"/>
                <w:sz w:val="18"/>
              </w:rPr>
              <w:t>2026-07-31</w:t>
            </w:r>
          </w:p>
        </w:tc>
        <w:tc>
          <w:tcPr>
            <w:tcW w:type="dxa" w:w="4252"/>
          </w:tcPr>
          <w:p>
            <w:pPr>
              <w:jc w:val="center"/>
            </w:pPr>
            <w:r>
              <w:rPr>
                <w:rFonts w:ascii="Arial" w:hAnsi="Arial" w:eastAsia="宋体"/>
                <w:b w:val="0"/>
                <w:sz w:val="18"/>
              </w:rPr>
              <w:t>8月1日起一批国家标准实施(含甲醛单位产品能耗限额GB 46029-2025)</w:t>
            </w:r>
          </w:p>
        </w:tc>
        <w:tc>
          <w:tcPr>
            <w:tcW w:type="dxa" w:w="1304"/>
          </w:tcPr>
          <w:p>
            <w:pPr>
              <w:jc w:val="center"/>
            </w:pPr>
            <w:r>
              <w:rPr>
                <w:rFonts w:ascii="Arial" w:hAnsi="Arial" w:eastAsia="宋体"/>
                <w:b w:val="0"/>
                <w:sz w:val="18"/>
              </w:rPr>
              <w:t>国标</w:t>
            </w:r>
          </w:p>
        </w:tc>
        <w:tc>
          <w:tcPr>
            <w:tcW w:type="dxa" w:w="1814"/>
          </w:tcPr>
          <w:p>
            <w:pPr>
              <w:jc w:val="center"/>
            </w:pPr>
            <w:r>
              <w:rPr>
                <w:rFonts w:ascii="Arial" w:hAnsi="Arial" w:eastAsia="宋体"/>
                <w:b w:val="0"/>
                <w:sz w:val="18"/>
              </w:rPr>
              <w:t>建/材/上/游///绿/色/能/</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深圳市商务局公布参与2026年线上家电以旧换新、数码和智能产品购新补贴的经营主体名单</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全/屋/智/能///家/电/家/</w:t>
            </w:r>
          </w:p>
        </w:tc>
      </w:tr>
      <w:tr>
        <w:tc>
          <w:tcPr>
            <w:tcW w:type="dxa" w:w="1247"/>
          </w:tcPr>
          <w:p>
            <w:pPr>
              <w:jc w:val="left"/>
            </w:pPr>
            <w:r>
              <w:rPr>
                <w:rFonts w:ascii="Arial" w:hAnsi="Arial" w:eastAsia="宋体"/>
                <w:b w:val="0"/>
                <w:sz w:val="18"/>
              </w:rPr>
              <w:t>2026-08-11</w:t>
            </w:r>
          </w:p>
        </w:tc>
        <w:tc>
          <w:tcPr>
            <w:tcW w:type="dxa" w:w="4252"/>
          </w:tcPr>
          <w:p>
            <w:pPr>
              <w:jc w:val="center"/>
            </w:pPr>
            <w:r>
              <w:rPr>
                <w:rFonts w:ascii="Arial" w:hAnsi="Arial" w:eastAsia="宋体"/>
                <w:b w:val="0"/>
                <w:sz w:val="18"/>
              </w:rPr>
              <w:t>盐城市盐都区发放400万元消费券，家装家居单列100万元居非汽车品类之首</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家/装///家/居///家/电</w:t>
            </w:r>
          </w:p>
        </w:tc>
      </w:tr>
    </w:tbl>
    <w:p>
      <w:pPr>
        <w:spacing w:after="40"/>
      </w:pPr>
      <w:r>
        <w:rPr>
          <w:rFonts w:ascii="Arial" w:hAnsi="Arial" w:eastAsia="宋体"/>
          <w:i/>
          <w:color w:val="888888"/>
          <w:sz w:val="17"/>
        </w:rPr>
        <w:t>来源：国家市场监管总局/发改委/商务部/各标准委 + 权威媒体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慕思股份(001323)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预计2026H1归母净利润1.75亿-2.00亿元，同比下降…</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2026-07-24</w:t>
            </w:r>
          </w:p>
        </w:tc>
        <w:tc>
          <w:tcPr>
            <w:tcW w:type="dxa" w:w="1814"/>
          </w:tcPr>
          <w:p>
            <w:pPr>
              <w:jc w:val="center"/>
            </w:pPr>
            <w:r>
              <w:rPr>
                <w:rFonts w:ascii="Arial" w:hAnsi="Arial" w:eastAsia="宋体"/>
                <w:b w:val="0"/>
                <w:sz w:val="18"/>
              </w:rPr>
              <w:t>三棵树(603737)</w:t>
            </w:r>
          </w:p>
        </w:tc>
        <w:tc>
          <w:tcPr>
            <w:tcW w:type="dxa" w:w="1474"/>
          </w:tcPr>
          <w:p>
            <w:pPr>
              <w:jc w:val="center"/>
            </w:pPr>
            <w:r>
              <w:rPr>
                <w:rFonts w:ascii="Arial" w:hAnsi="Arial" w:eastAsia="宋体"/>
                <w:b w:val="0"/>
                <w:sz w:val="18"/>
              </w:rPr>
              <w:t>年报问询函回复</w:t>
            </w:r>
          </w:p>
        </w:tc>
        <w:tc>
          <w:tcPr>
            <w:tcW w:type="dxa" w:w="4252"/>
          </w:tcPr>
          <w:p>
            <w:pPr>
              <w:jc w:val="center"/>
            </w:pPr>
            <w:r>
              <w:rPr>
                <w:rFonts w:ascii="Arial" w:hAnsi="Arial" w:eastAsia="宋体"/>
                <w:b w:val="0"/>
                <w:sz w:val="18"/>
              </w:rPr>
              <w:t>回复上交所对2025年报的问询函：2025年归母净利7.75…</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公告(员工持股计划)</w:t>
            </w:r>
          </w:p>
        </w:tc>
        <w:tc>
          <w:tcPr>
            <w:tcW w:type="dxa" w:w="4252"/>
            <w:shd w:val="clear" w:fill="F4F6F9"/>
          </w:tcPr>
          <w:p>
            <w:pPr>
              <w:jc w:val="center"/>
            </w:pPr>
            <w:r>
              <w:rPr>
                <w:rFonts w:ascii="Arial" w:hAnsi="Arial" w:eastAsia="宋体"/>
                <w:b w:val="0"/>
                <w:sz w:val="18"/>
              </w:rPr>
              <w:t>2026年员工持股计划第一次持有人会议(7月17日通讯方式召…</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东鹏控股(003012)</w:t>
            </w:r>
          </w:p>
        </w:tc>
        <w:tc>
          <w:tcPr>
            <w:tcW w:type="dxa" w:w="1474"/>
          </w:tcPr>
          <w:p>
            <w:pPr>
              <w:jc w:val="center"/>
            </w:pPr>
            <w:r>
              <w:rPr>
                <w:rFonts w:ascii="Arial" w:hAnsi="Arial" w:eastAsia="宋体"/>
                <w:b w:val="0"/>
                <w:sz w:val="18"/>
              </w:rPr>
              <w:t>公告(回购进展)</w:t>
            </w:r>
          </w:p>
        </w:tc>
        <w:tc>
          <w:tcPr>
            <w:tcW w:type="dxa" w:w="4252"/>
          </w:tcPr>
          <w:p>
            <w:pPr>
              <w:jc w:val="center"/>
            </w:pPr>
            <w:r>
              <w:rPr>
                <w:rFonts w:ascii="Arial" w:hAnsi="Arial" w:eastAsia="宋体"/>
                <w:b w:val="0"/>
                <w:sz w:val="18"/>
              </w:rPr>
              <w:t>截至公告日累计回购5,535,000股(占总股本0.48%)…</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公告(解除质押)</w:t>
            </w:r>
          </w:p>
        </w:tc>
        <w:tc>
          <w:tcPr>
            <w:tcW w:type="dxa" w:w="4252"/>
            <w:shd w:val="clear" w:fill="F4F6F9"/>
          </w:tcPr>
          <w:p>
            <w:pPr>
              <w:jc w:val="center"/>
            </w:pPr>
            <w:r>
              <w:rPr>
                <w:rFonts w:ascii="Arial" w:hAnsi="Arial" w:eastAsia="宋体"/>
                <w:b w:val="0"/>
                <w:sz w:val="18"/>
              </w:rPr>
              <w:t>大股东许帮顺解除质押5,160,000股(占总股本1.19%…</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公告(临时股东会决议)</w:t>
            </w:r>
          </w:p>
        </w:tc>
        <w:tc>
          <w:tcPr>
            <w:tcW w:type="dxa" w:w="4252"/>
          </w:tcPr>
          <w:p>
            <w:pPr>
              <w:jc w:val="center"/>
            </w:pPr>
            <w:r>
              <w:rPr>
                <w:rFonts w:ascii="Arial" w:hAnsi="Arial" w:eastAsia="宋体"/>
                <w:b w:val="0"/>
                <w:sz w:val="18"/>
              </w:rPr>
              <w:t>2026年第一次临时股东会召开(此前定于07-22)，审议通…</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预计2026H1归母净利润4.07亿-5.09亿元，同比减少…</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预计2026H1归母净利润4790.70万-7026.36万…</w:t>
            </w:r>
          </w:p>
        </w:tc>
      </w:tr>
      <w:tr>
        <w:tc>
          <w:tcPr>
            <w:tcW w:type="dxa" w:w="1134"/>
            <w:shd w:val="clear" w:fill="F4F6F9"/>
          </w:tcPr>
          <w:p>
            <w:pPr>
              <w:jc w:val="left"/>
            </w:pPr>
            <w:r>
              <w:rPr>
                <w:rFonts w:ascii="Arial" w:hAnsi="Arial" w:eastAsia="宋体"/>
                <w:b w:val="0"/>
                <w:sz w:val="18"/>
              </w:rPr>
              <w:t>2026-07-13</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预计2026H1归母净利润-1.89亿至-1.26亿元，去年…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bl>
    <w:p>
      <w:pPr>
        <w:spacing w:after="40"/>
      </w:pPr>
      <w:r>
        <w:rPr>
          <w:rFonts w:ascii="Arial" w:hAnsi="Arial" w:eastAsia="宋体"/>
          <w:i/>
          <w:color w:val="888888"/>
          <w:sz w:val="17"/>
        </w:rPr>
        <w:t>来源：上证报/证券时报/东方财富/同花顺 + 各公司公告</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