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281CA" w14:textId="315E01C0" w:rsidR="005307B8" w:rsidRDefault="005307B8" w:rsidP="005307B8">
      <w:pPr>
        <w:rPr>
          <w:b/>
          <w:bCs/>
        </w:rPr>
      </w:pPr>
      <w:r>
        <w:rPr>
          <w:b/>
          <w:bCs/>
        </w:rPr>
        <w:t xml:space="preserve">NB: HE </w:t>
      </w:r>
      <w:r w:rsidR="0068493F">
        <w:rPr>
          <w:b/>
          <w:bCs/>
        </w:rPr>
        <w:t>GAVE BAD IMPRESSION OF</w:t>
      </w:r>
      <w:r>
        <w:rPr>
          <w:b/>
          <w:bCs/>
        </w:rPr>
        <w:t xml:space="preserve"> ANSWERING SATRE, BUT IF YOU WANT IT, TELL ME IN TIME SO AS TO PREPARE IT!</w:t>
      </w:r>
    </w:p>
    <w:p w14:paraId="6247FE76" w14:textId="4B7BE8E5" w:rsidR="009F12BA" w:rsidRDefault="009F12BA" w:rsidP="009E1BF8">
      <w:pPr>
        <w:jc w:val="center"/>
        <w:rPr>
          <w:b/>
          <w:bCs/>
        </w:rPr>
      </w:pPr>
      <w:r>
        <w:rPr>
          <w:b/>
          <w:bCs/>
        </w:rPr>
        <w:t xml:space="preserve">QUESTION ONE: </w:t>
      </w:r>
      <w:r w:rsidR="00EE435F">
        <w:rPr>
          <w:b/>
          <w:bCs/>
        </w:rPr>
        <w:t>MERLEAU-PONTY</w:t>
      </w:r>
    </w:p>
    <w:p w14:paraId="785EA022" w14:textId="77777777" w:rsidR="006D0B47" w:rsidRPr="006D0B47" w:rsidRDefault="00A83D83" w:rsidP="00AA7EE8">
      <w:pPr>
        <w:pStyle w:val="ListParagraph"/>
        <w:numPr>
          <w:ilvl w:val="1"/>
          <w:numId w:val="1"/>
        </w:numPr>
        <w:jc w:val="both"/>
      </w:pPr>
      <w:r w:rsidRPr="006D0B47">
        <w:rPr>
          <w:b/>
          <w:bCs/>
        </w:rPr>
        <w:t>Introduction</w:t>
      </w:r>
    </w:p>
    <w:p w14:paraId="27445E1A" w14:textId="422AA091" w:rsidR="00A83D83" w:rsidRPr="00A83D83" w:rsidRDefault="00A83D83" w:rsidP="00AA7EE8">
      <w:pPr>
        <w:ind w:firstLine="360"/>
        <w:jc w:val="both"/>
      </w:pPr>
      <w:r w:rsidRPr="00A83D83">
        <w:t xml:space="preserve">Maurice Merleau-Ponty argues that the self is not a hidden mind using a body as a tool. The self is the lived body, meaning that perception, thought, and action happen as embodied life in the world. This answer clarifies the key terms, states his background and influences, explains his account of the lived body and self, criticizes dualism, and then shows why his view still matters for contemporary debates on human experience. </w:t>
      </w:r>
    </w:p>
    <w:p w14:paraId="17F7572E" w14:textId="06D84A91" w:rsidR="006D0B47" w:rsidRDefault="00A83D83" w:rsidP="00AA7EE8">
      <w:pPr>
        <w:pStyle w:val="ListParagraph"/>
        <w:numPr>
          <w:ilvl w:val="1"/>
          <w:numId w:val="1"/>
        </w:numPr>
        <w:jc w:val="both"/>
      </w:pPr>
      <w:r w:rsidRPr="006D0B47">
        <w:rPr>
          <w:b/>
          <w:bCs/>
        </w:rPr>
        <w:t>Clarification of Terms</w:t>
      </w:r>
    </w:p>
    <w:p w14:paraId="57794E4B" w14:textId="592C6A50" w:rsidR="00A83D83" w:rsidRPr="00A83D83" w:rsidRDefault="00A83D83" w:rsidP="00AA7EE8">
      <w:pPr>
        <w:ind w:firstLine="360"/>
        <w:jc w:val="both"/>
      </w:pPr>
      <w:r w:rsidRPr="00A83D83">
        <w:t xml:space="preserve">Phenomenology is the study of experience as it is lived and given, not as a theory built from outside. The lived body means the body as I live it from within, not the body as a medical object. The self, for Merleau-Ponty, is the embodied subject that perceives and acts. Dualism is the view that mind and body are two separate realities, with the “real self” located primarily in the mind. </w:t>
      </w:r>
    </w:p>
    <w:p w14:paraId="2D0B5918" w14:textId="2765B9D9" w:rsidR="009E1BF8" w:rsidRDefault="00A83D83" w:rsidP="009E1BF8">
      <w:pPr>
        <w:pStyle w:val="ListParagraph"/>
        <w:numPr>
          <w:ilvl w:val="1"/>
          <w:numId w:val="1"/>
        </w:numPr>
        <w:jc w:val="both"/>
      </w:pPr>
      <w:r w:rsidRPr="009E1BF8">
        <w:rPr>
          <w:b/>
          <w:bCs/>
        </w:rPr>
        <w:t>Brief biographical note and Influences</w:t>
      </w:r>
    </w:p>
    <w:p w14:paraId="79C966A9" w14:textId="2D6C4121" w:rsidR="00A83D83" w:rsidRPr="00A83D83" w:rsidRDefault="00A83D83" w:rsidP="009E1BF8">
      <w:pPr>
        <w:ind w:firstLine="360"/>
        <w:jc w:val="both"/>
      </w:pPr>
      <w:r w:rsidRPr="00A83D83">
        <w:t>Merleau-Ponty (1908</w:t>
      </w:r>
      <w:r w:rsidR="00705F80">
        <w:t>-</w:t>
      </w:r>
      <w:r w:rsidRPr="00A83D83">
        <w:t xml:space="preserve">1961) was a French philosopher and a major figure in twentieth-century phenomenology. He worked in the period after Husserl and Heidegger, and he is often discussed alongside Sartre, though his approach is distinct. His central text is </w:t>
      </w:r>
      <w:r w:rsidRPr="009E1BF8">
        <w:rPr>
          <w:i/>
          <w:iCs/>
        </w:rPr>
        <w:t>Phenomenology of Perception</w:t>
      </w:r>
      <w:r w:rsidRPr="00A83D83">
        <w:t xml:space="preserve"> (1945), where he develops the claim often summarized as “I am my body” and uses it to challenge the Cartesian separation of mind and body. </w:t>
      </w:r>
    </w:p>
    <w:p w14:paraId="48CFE25F" w14:textId="6A2C2795" w:rsidR="009E1BF8" w:rsidRDefault="00A83D83" w:rsidP="009E1BF8">
      <w:pPr>
        <w:pStyle w:val="ListParagraph"/>
        <w:numPr>
          <w:ilvl w:val="1"/>
          <w:numId w:val="1"/>
        </w:numPr>
        <w:jc w:val="both"/>
      </w:pPr>
      <w:r w:rsidRPr="009E1BF8">
        <w:rPr>
          <w:b/>
          <w:bCs/>
        </w:rPr>
        <w:t>The case for Merleau-Ponty’s concept of the self and the lived body (6 marks)</w:t>
      </w:r>
    </w:p>
    <w:p w14:paraId="7FBA852F" w14:textId="283D0AB1" w:rsidR="00A83D83" w:rsidRPr="00A83D83" w:rsidRDefault="00A83D83" w:rsidP="009E1BF8">
      <w:pPr>
        <w:ind w:firstLine="360"/>
        <w:jc w:val="both"/>
      </w:pPr>
      <w:r w:rsidRPr="00A83D83">
        <w:t xml:space="preserve">Merleau-Ponty’s main point is that the body is not something I merely possess; it is what I am as a subject. The lived body is the body as the </w:t>
      </w:r>
      <w:proofErr w:type="spellStart"/>
      <w:r w:rsidRPr="00A83D83">
        <w:t>centre</w:t>
      </w:r>
      <w:proofErr w:type="spellEnd"/>
      <w:r w:rsidRPr="00A83D83">
        <w:t xml:space="preserve"> of experience, the “ego” in the practical sense that it is through my body that the world shows up as meaningful. This is why he rejects the picture of consciousness as something hidden “inside” looking out through the eyes. Consciousness, for him, is an activity of an embodied being present in space and time. </w:t>
      </w:r>
    </w:p>
    <w:p w14:paraId="112DFA07" w14:textId="77777777" w:rsidR="00A83D83" w:rsidRPr="00A83D83" w:rsidRDefault="00A83D83" w:rsidP="009E1BF8">
      <w:pPr>
        <w:ind w:firstLine="360"/>
        <w:jc w:val="both"/>
      </w:pPr>
      <w:r w:rsidRPr="00A83D83">
        <w:t xml:space="preserve">A key support for this is his account of pre-reflective life. Much of what we do is intelligent without being preceded by inner calculations. When you catch a ball, you do not first compute angles and then move; the body responds in one flow, and the “thinking” is already part of that embodied coping. The same is true when you type on your phone without spelling out each letter in your head or when you ride a bicycle smoothly after practice. These show that understanding is often bodily before it becomes verbal or reflective. </w:t>
      </w:r>
    </w:p>
    <w:p w14:paraId="21556F6E" w14:textId="77777777" w:rsidR="00A83D83" w:rsidRPr="00A83D83" w:rsidRDefault="00A83D83" w:rsidP="009E1BF8">
      <w:pPr>
        <w:ind w:firstLine="360"/>
        <w:jc w:val="both"/>
      </w:pPr>
      <w:r w:rsidRPr="00A83D83">
        <w:t xml:space="preserve">Merleau-Ponty also argues that the self and the world are intertwined, not sealed apart. The world is not first encountered as neutral objects, then later given meaning by a detached mind. Meaning is already in perception because the perceiver is a body that reaches, avoids, carries, drinks, and works. A simple illustration is the “reversibility” example: when you touch one hand with the other, you are both touching and being touched, which shows that subject and object are not cleanly separated in lived experience. The self is therefore an embodied “being-in-the-world,” not a spectator outside the world. </w:t>
      </w:r>
    </w:p>
    <w:p w14:paraId="1C9F202A" w14:textId="1FA19E70" w:rsidR="009E1BF8" w:rsidRDefault="00A83D83" w:rsidP="009E1BF8">
      <w:pPr>
        <w:pStyle w:val="ListParagraph"/>
        <w:numPr>
          <w:ilvl w:val="1"/>
          <w:numId w:val="1"/>
        </w:numPr>
        <w:jc w:val="both"/>
      </w:pPr>
      <w:r w:rsidRPr="009E1BF8">
        <w:rPr>
          <w:b/>
          <w:bCs/>
        </w:rPr>
        <w:lastRenderedPageBreak/>
        <w:t>The critique of dualistic accounts of the body (4 marks)</w:t>
      </w:r>
    </w:p>
    <w:p w14:paraId="5A3D0E69" w14:textId="74CDF78F" w:rsidR="00A83D83" w:rsidRPr="00A83D83" w:rsidRDefault="00A83D83" w:rsidP="009E1BF8">
      <w:pPr>
        <w:ind w:firstLine="360"/>
        <w:jc w:val="both"/>
      </w:pPr>
      <w:r w:rsidRPr="00A83D83">
        <w:t>Dualism treats the mind as the real self and the body as an object or machine the mind uses. This view looks attractive because it seems to explain rational thinking as something “higher” than the physical body. It also makes it tempting to describe knowledge as something achieved by withdrawing from bodily life into pure thought, as in standard Cartesian pictures of the thinking subject.</w:t>
      </w:r>
    </w:p>
    <w:p w14:paraId="735EADC7" w14:textId="77777777" w:rsidR="00A83D83" w:rsidRPr="00A83D83" w:rsidRDefault="00A83D83" w:rsidP="009E1BF8">
      <w:pPr>
        <w:ind w:firstLine="360"/>
        <w:jc w:val="both"/>
      </w:pPr>
      <w:r w:rsidRPr="00A83D83">
        <w:t xml:space="preserve">Merleau-Ponty rejects this because it misdescribes what we actually meet when we examine experience. Even thinking, doubting, and deciding happen as embodied events: tension, posture, breath, attention, fatigue, and skill shape what the mind can do. He argues that the mind-body “interaction problem” becomes so hard only because dualism first creates an artificial split and then asks for a bridge. In lived reality, the body is already the subject of perception and action, not a secondary object attached to a separate mind. </w:t>
      </w:r>
    </w:p>
    <w:p w14:paraId="31DDEA3E" w14:textId="2970083E" w:rsidR="009E1BF8" w:rsidRDefault="00A83D83" w:rsidP="009E1BF8">
      <w:pPr>
        <w:pStyle w:val="ListParagraph"/>
        <w:numPr>
          <w:ilvl w:val="1"/>
          <w:numId w:val="1"/>
        </w:numPr>
        <w:jc w:val="both"/>
      </w:pPr>
      <w:r w:rsidRPr="009E1BF8">
        <w:rPr>
          <w:b/>
          <w:bCs/>
        </w:rPr>
        <w:t>Contribution to contemporary debates on human experience (6 marks)</w:t>
      </w:r>
    </w:p>
    <w:p w14:paraId="6D44BC21" w14:textId="61C3DC0E" w:rsidR="00A83D83" w:rsidRPr="00A83D83" w:rsidRDefault="00A83D83" w:rsidP="009E1BF8">
      <w:pPr>
        <w:ind w:firstLine="360"/>
        <w:jc w:val="both"/>
      </w:pPr>
      <w:r w:rsidRPr="00A83D83">
        <w:t xml:space="preserve">In debates about cognition and perception, Merleau-Ponty supports the idea that understanding is embodied. We do not only “represent” the world in the head; we cope with it through action and habit. That explains why practice changes perception: after learning to drive, the road, mirrors, and distance are perceived differently, not because the world changed, but because the embodied subject now has new skills. This kind of point is exactly why modern discussions of embodied cognition take phenomenology seriously. </w:t>
      </w:r>
    </w:p>
    <w:p w14:paraId="63C52389" w14:textId="77777777" w:rsidR="00A83D83" w:rsidRPr="00A83D83" w:rsidRDefault="00A83D83" w:rsidP="009E1BF8">
      <w:pPr>
        <w:ind w:firstLine="360"/>
        <w:jc w:val="both"/>
      </w:pPr>
      <w:r w:rsidRPr="00A83D83">
        <w:t xml:space="preserve">In medicine and social life, his view clarifies why illness, disability, and pain are not just physical data but changes in a person’s world. A person with chronic pain does not merely “have a symptom”; ordinary tasks like sitting, walking, or sleeping become charged with difficulty, and the self is experienced differently because the body is the self’s way of being present. The same helps explain everyday social experience: being watched, shamed, or praised is not merely mental; it shapes posture, voice, confidence, and how one inhabits public space. A student who is constantly mocked may begin to experience their own body as something to manage, which shows how selfhood is bodily and social at once. </w:t>
      </w:r>
    </w:p>
    <w:p w14:paraId="1632794F" w14:textId="29647609" w:rsidR="009E1BF8" w:rsidRDefault="00A83D83" w:rsidP="009E1BF8">
      <w:pPr>
        <w:pStyle w:val="ListParagraph"/>
        <w:numPr>
          <w:ilvl w:val="1"/>
          <w:numId w:val="1"/>
        </w:numPr>
        <w:jc w:val="both"/>
      </w:pPr>
      <w:r w:rsidRPr="009E1BF8">
        <w:rPr>
          <w:b/>
          <w:bCs/>
        </w:rPr>
        <w:t>Evaluation (Presentation, coherence, and scholarly signal) (4 marks)</w:t>
      </w:r>
    </w:p>
    <w:p w14:paraId="6A523E66" w14:textId="49211BC0" w:rsidR="00A83D83" w:rsidRPr="00A83D83" w:rsidRDefault="00A83D83" w:rsidP="009E1BF8">
      <w:pPr>
        <w:pStyle w:val="ListParagraph"/>
        <w:ind w:left="0" w:firstLine="360"/>
        <w:jc w:val="both"/>
      </w:pPr>
      <w:r w:rsidRPr="00A83D83">
        <w:t xml:space="preserve">The argument is coherent: the lived body explains selfhood; pre-reflective action shows how meaning is present in perception; this directly undermines dualism; and the same framework explains why embodiment matters in current debates. A clear scholarly anchor is Merleau-Ponty’s </w:t>
      </w:r>
      <w:r w:rsidRPr="009E1BF8">
        <w:rPr>
          <w:i/>
          <w:iCs/>
        </w:rPr>
        <w:t>Phenomenology of Perception</w:t>
      </w:r>
      <w:r w:rsidRPr="00A83D83">
        <w:t xml:space="preserve"> (1945), which develops the lived body as the basis of perception and selfhood. A second research signal is Husserl’s earlier phenomenological project, which Merleau-Ponty inherits but redirects toward embodiment, and contemporary embodied-cognition discussions that echo this move from detached mind to lived coping in the world. </w:t>
      </w:r>
    </w:p>
    <w:p w14:paraId="0143D916" w14:textId="22EBD392" w:rsidR="009E1BF8" w:rsidRDefault="00A83D83" w:rsidP="009E1BF8">
      <w:pPr>
        <w:pStyle w:val="ListParagraph"/>
        <w:numPr>
          <w:ilvl w:val="1"/>
          <w:numId w:val="1"/>
        </w:numPr>
        <w:jc w:val="both"/>
      </w:pPr>
      <w:r w:rsidRPr="009E1BF8">
        <w:rPr>
          <w:b/>
          <w:bCs/>
        </w:rPr>
        <w:t>Conclusion</w:t>
      </w:r>
    </w:p>
    <w:p w14:paraId="6BE45F04" w14:textId="6C3325F3" w:rsidR="00A83D83" w:rsidRPr="00A83D83" w:rsidRDefault="00A83D83" w:rsidP="009E1BF8">
      <w:pPr>
        <w:ind w:firstLine="360"/>
        <w:jc w:val="both"/>
      </w:pPr>
      <w:r w:rsidRPr="00A83D83">
        <w:t xml:space="preserve">Merleau-Ponty’s core claim is that the self is the lived body: an embodied subject whose perception is already meaningful and whose life is pre-reflectively engaged in the world. This corrects the dualist picture that splits mind from body and then struggles to reconnect them. Because it explains skill, perception, social experience, and the felt reality of illness and agency, his phenomenology remains a strong framework for understanding human experience today. </w:t>
      </w:r>
    </w:p>
    <w:p w14:paraId="2F8ECFC1" w14:textId="77777777" w:rsidR="00470B26" w:rsidRDefault="00470B26" w:rsidP="00AA7EE8">
      <w:pPr>
        <w:jc w:val="both"/>
      </w:pPr>
    </w:p>
    <w:p w14:paraId="6124871E" w14:textId="71749AC5" w:rsidR="00241C64" w:rsidRPr="00241C64" w:rsidRDefault="00241C64" w:rsidP="009E1BF8">
      <w:pPr>
        <w:jc w:val="center"/>
        <w:rPr>
          <w:b/>
          <w:bCs/>
        </w:rPr>
      </w:pPr>
      <w:bookmarkStart w:id="0" w:name="_Hlk219938075"/>
      <w:r w:rsidRPr="00241C64">
        <w:rPr>
          <w:b/>
          <w:bCs/>
        </w:rPr>
        <w:lastRenderedPageBreak/>
        <w:t>QUESTION TWO</w:t>
      </w:r>
      <w:r w:rsidR="00AD3B65">
        <w:rPr>
          <w:b/>
          <w:bCs/>
        </w:rPr>
        <w:t xml:space="preserve">: </w:t>
      </w:r>
      <w:r w:rsidR="005F558A" w:rsidRPr="00AF3BBD">
        <w:rPr>
          <w:b/>
          <w:bCs/>
        </w:rPr>
        <w:t>HUSSERL’S PHENOMENOLOGY AND THE PHENOMENOLOGICAL METHOD</w:t>
      </w:r>
    </w:p>
    <w:bookmarkEnd w:id="0"/>
    <w:p w14:paraId="179D11CF" w14:textId="77777777" w:rsidR="00E362F4" w:rsidRDefault="009E1BF8" w:rsidP="00AA7EE8">
      <w:pPr>
        <w:jc w:val="both"/>
      </w:pPr>
      <w:r>
        <w:rPr>
          <w:b/>
          <w:bCs/>
        </w:rPr>
        <w:t>2</w:t>
      </w:r>
      <w:r w:rsidR="004C0700" w:rsidRPr="004C0700">
        <w:rPr>
          <w:b/>
          <w:bCs/>
        </w:rPr>
        <w:t>.1 Introduction</w:t>
      </w:r>
    </w:p>
    <w:p w14:paraId="0E35AE2D" w14:textId="4036F68B" w:rsidR="004C0700" w:rsidRPr="004C0700" w:rsidRDefault="004C0700" w:rsidP="00E362F4">
      <w:pPr>
        <w:ind w:firstLine="720"/>
        <w:jc w:val="both"/>
      </w:pPr>
      <w:r w:rsidRPr="004C0700">
        <w:t>Husserl’s phenomenology is a method for returning to experience so that philosophy can describe reality as it shows itself to consciousness. The question requires a clear account of Husserl’s phenomenological method in its three stages, an explanation of why that method matters for epistemology, and a careful comparison with Descartes’ methodic doubt.</w:t>
      </w:r>
    </w:p>
    <w:p w14:paraId="5FF78497" w14:textId="77777777" w:rsidR="00E362F4" w:rsidRDefault="009E1BF8" w:rsidP="00AA7EE8">
      <w:pPr>
        <w:jc w:val="both"/>
      </w:pPr>
      <w:r>
        <w:rPr>
          <w:b/>
          <w:bCs/>
        </w:rPr>
        <w:t>2</w:t>
      </w:r>
      <w:r w:rsidR="004C0700" w:rsidRPr="004C0700">
        <w:rPr>
          <w:b/>
          <w:bCs/>
        </w:rPr>
        <w:t>.2 Clarification of Terms</w:t>
      </w:r>
    </w:p>
    <w:p w14:paraId="3C67A3B4" w14:textId="29EF64B7" w:rsidR="004C0700" w:rsidRPr="004C0700" w:rsidRDefault="004C0700" w:rsidP="00E362F4">
      <w:pPr>
        <w:ind w:firstLine="720"/>
        <w:jc w:val="both"/>
      </w:pPr>
      <w:r w:rsidRPr="004C0700">
        <w:t xml:space="preserve">Phenomenology, for Husserl, is the disciplined description of phenomena as they appear in lived experience, with attention to the structures of consciousness through which they appear. Methodic doubt is Descartes’ procedure of doubting whatever can be doubted in order to find an indubitable foundation for knowledge. </w:t>
      </w:r>
      <w:proofErr w:type="spellStart"/>
      <w:r w:rsidRPr="004C0700">
        <w:t>Epoché</w:t>
      </w:r>
      <w:proofErr w:type="spellEnd"/>
      <w:r w:rsidRPr="004C0700">
        <w:t xml:space="preserve"> is suspension of judgement: a methodological refusal to affirm or deny existence-claims so that analysis is not driven by untested assumptions. Phenomenological reduction is the bracketing of the “natural attitude” so the focus shifts from claims about the world “out there” to how the world is given in experience. Transcendental reduction is the deeper move to the transcendental ego, understood as the pure subject of experience and the field in which meanings and objectivities are constituted. Intentionality means that consciousness is always consciousness of something, so experience has directedness and content.</w:t>
      </w:r>
    </w:p>
    <w:p w14:paraId="73B67466" w14:textId="77777777" w:rsidR="00E362F4" w:rsidRDefault="009E1BF8" w:rsidP="00AA7EE8">
      <w:pPr>
        <w:jc w:val="both"/>
      </w:pPr>
      <w:r>
        <w:rPr>
          <w:b/>
          <w:bCs/>
        </w:rPr>
        <w:t>2</w:t>
      </w:r>
      <w:r w:rsidR="004C0700" w:rsidRPr="004C0700">
        <w:rPr>
          <w:b/>
          <w:bCs/>
        </w:rPr>
        <w:t>.3 Brief biographical note and philosophical motivations</w:t>
      </w:r>
    </w:p>
    <w:p w14:paraId="6F00026F" w14:textId="4D954CF7" w:rsidR="004C0700" w:rsidRPr="004C0700" w:rsidRDefault="004C0700" w:rsidP="00E362F4">
      <w:pPr>
        <w:ind w:firstLine="720"/>
        <w:jc w:val="both"/>
      </w:pPr>
      <w:r w:rsidRPr="004C0700">
        <w:t>Descartes (1596</w:t>
      </w:r>
      <w:r w:rsidR="00705F80">
        <w:t>-</w:t>
      </w:r>
      <w:r w:rsidRPr="004C0700">
        <w:t>1650) sought a foundation of certain knowledge through systematic doubt, with the cogito as his first secure point. Husserl (1859</w:t>
      </w:r>
      <w:r w:rsidR="00705F80">
        <w:t>-</w:t>
      </w:r>
      <w:r w:rsidRPr="004C0700">
        <w:t xml:space="preserve">1938), trained in mathematics and shaped by Brentano’s notion of intentionality, develops phenomenology partly as a response to positivism and </w:t>
      </w:r>
      <w:proofErr w:type="spellStart"/>
      <w:r w:rsidRPr="004C0700">
        <w:t>psychologism</w:t>
      </w:r>
      <w:proofErr w:type="spellEnd"/>
      <w:r w:rsidRPr="004C0700">
        <w:t xml:space="preserve">, the view that logic and truth reduce to psychological processes. In works like </w:t>
      </w:r>
      <w:r w:rsidRPr="004C0700">
        <w:rPr>
          <w:i/>
          <w:iCs/>
        </w:rPr>
        <w:t>Logical Investigations</w:t>
      </w:r>
      <w:r w:rsidRPr="004C0700">
        <w:t>, he argues that logic is not psychology and that philosophy must be rigorous, not a loose reflection or a copy of natural science. This explains why Husserl insists on a strict method and why he treats phenomenology as foundational for knowledge.</w:t>
      </w:r>
    </w:p>
    <w:p w14:paraId="4F7EED55" w14:textId="77777777" w:rsidR="00E362F4" w:rsidRDefault="009E1BF8" w:rsidP="00AA7EE8">
      <w:pPr>
        <w:jc w:val="both"/>
      </w:pPr>
      <w:r>
        <w:rPr>
          <w:b/>
          <w:bCs/>
        </w:rPr>
        <w:t>2</w:t>
      </w:r>
      <w:r w:rsidR="004C0700" w:rsidRPr="004C0700">
        <w:rPr>
          <w:b/>
          <w:bCs/>
        </w:rPr>
        <w:t>.4 Husserl’s idea of phenomenology and the phenomenological method</w:t>
      </w:r>
    </w:p>
    <w:p w14:paraId="6E6A588E" w14:textId="3CCE4020" w:rsidR="004C0700" w:rsidRPr="004C0700" w:rsidRDefault="004C0700" w:rsidP="00E362F4">
      <w:pPr>
        <w:ind w:firstLine="720"/>
        <w:jc w:val="both"/>
      </w:pPr>
      <w:r w:rsidRPr="004C0700">
        <w:t>Husserl’s central question is not only “What exists?” but “How does anything become present as meaningful and knowable for us?” Instead of starting from scientific theories or metaphysical claims, he returns to lived experience and describes how things appear, how they are intended, and how they gain stability as objects for consciousness. The point is not to invent a new world, but to clarify the conditions under which the world is experienced as real, coherent, and shareable.</w:t>
      </w:r>
    </w:p>
    <w:p w14:paraId="00D41FB9" w14:textId="77777777" w:rsidR="004C0700" w:rsidRPr="004C0700" w:rsidRDefault="004C0700" w:rsidP="00AA7EE8">
      <w:pPr>
        <w:jc w:val="both"/>
      </w:pPr>
      <w:r w:rsidRPr="004C0700">
        <w:t>A practical example makes the motivation clear. In a dispute, two students can witness the same event and still report it differently. Phenomenology asks what shaped the witnessing: attention, perspective, expectation, memory, and the meaning the event already had for each person. Husserl treats these not as side issues but as the proper subject matter for a philosophy that wants to understand knowledge.</w:t>
      </w:r>
    </w:p>
    <w:p w14:paraId="164E9438" w14:textId="55029A83" w:rsidR="00E362F4" w:rsidRDefault="0048669C" w:rsidP="00AA7EE8">
      <w:pPr>
        <w:jc w:val="both"/>
      </w:pPr>
      <w:r>
        <w:rPr>
          <w:b/>
          <w:bCs/>
        </w:rPr>
        <w:t>2</w:t>
      </w:r>
      <w:r w:rsidR="004C0700" w:rsidRPr="004C0700">
        <w:rPr>
          <w:b/>
          <w:bCs/>
        </w:rPr>
        <w:t>.5 The three stages of Husserl’s method</w:t>
      </w:r>
    </w:p>
    <w:p w14:paraId="012D49C7" w14:textId="77777777" w:rsidR="00D64F36" w:rsidRDefault="004C0700" w:rsidP="00D64F36">
      <w:pPr>
        <w:ind w:firstLine="720"/>
        <w:jc w:val="both"/>
      </w:pPr>
      <w:r w:rsidRPr="004C0700">
        <w:t xml:space="preserve">First is </w:t>
      </w:r>
      <w:proofErr w:type="spellStart"/>
      <w:r w:rsidRPr="004C0700">
        <w:t>epoché</w:t>
      </w:r>
      <w:proofErr w:type="spellEnd"/>
      <w:r w:rsidRPr="004C0700">
        <w:t xml:space="preserve">, suspension of judgement. Husserl does not begin by denying the world. He begins by refusing to let unexamined assumptions decide the result. The thinker sets aside the automatic “of </w:t>
      </w:r>
      <w:r w:rsidRPr="004C0700">
        <w:lastRenderedPageBreak/>
        <w:t xml:space="preserve">course” of everyday life so the experience can be inspected. If a </w:t>
      </w:r>
      <w:proofErr w:type="spellStart"/>
      <w:r w:rsidRPr="004C0700">
        <w:t>rumour</w:t>
      </w:r>
      <w:proofErr w:type="spellEnd"/>
      <w:r w:rsidRPr="004C0700">
        <w:t xml:space="preserve"> spreads that a lecturer has changed the exam format, the careful student suspends judgement, avoids panic, and examines what is actually given as evidence. </w:t>
      </w:r>
      <w:proofErr w:type="spellStart"/>
      <w:r w:rsidRPr="004C0700">
        <w:t>Epoché</w:t>
      </w:r>
      <w:proofErr w:type="spellEnd"/>
      <w:r w:rsidRPr="004C0700">
        <w:t xml:space="preserve"> is that discipline applied to experience itself.</w:t>
      </w:r>
    </w:p>
    <w:p w14:paraId="5B929B24" w14:textId="40290839" w:rsidR="004C0700" w:rsidRPr="004C0700" w:rsidRDefault="004C0700" w:rsidP="00D64F36">
      <w:pPr>
        <w:ind w:firstLine="720"/>
        <w:jc w:val="both"/>
      </w:pPr>
      <w:r w:rsidRPr="004C0700">
        <w:t>Second is phenomenological reduction. After suspension, the thinker brackets the natural attitude, meaning the habit of treating things as merely external objects with fixed meanings. One then attends to the phenomenon as it is given: the profiles in which it appears, the meaning it carries, and the way it is grasped. When I see a chair, I do not meet raw sense data first and then add meaning later. I meet “something to sit on,” “something blocking my way,” or “something reserved.” Reduction brings this lived givenness into view, rather than treating it as noise.</w:t>
      </w:r>
    </w:p>
    <w:p w14:paraId="2256A91E" w14:textId="77777777" w:rsidR="004C0700" w:rsidRPr="004C0700" w:rsidRDefault="004C0700" w:rsidP="00D64F36">
      <w:pPr>
        <w:ind w:firstLine="720"/>
        <w:jc w:val="both"/>
      </w:pPr>
      <w:r w:rsidRPr="004C0700">
        <w:t>Third is transcendental reduction. Here Husserl moves from describing particular experiences to clarifying the condition that makes objectivity and meaning possible at all. The transcendental ego is not my personality, biography, or private psychology. It is the pure subject of experience, the pole of identity that unifies intentional acts and within which objects are constituted as one and the same across changing appearances. This is why Husserl can say the ego is the field in which “everything that is” becomes present for the first-person perspective, not because it creates the world like a magician, but because the world’s meaning and validity show up only within experiencing.</w:t>
      </w:r>
    </w:p>
    <w:p w14:paraId="2A69CC16" w14:textId="58422E22" w:rsidR="00D64F36" w:rsidRDefault="0048669C" w:rsidP="00AA7EE8">
      <w:pPr>
        <w:jc w:val="both"/>
      </w:pPr>
      <w:r>
        <w:rPr>
          <w:b/>
          <w:bCs/>
        </w:rPr>
        <w:t>2</w:t>
      </w:r>
      <w:r w:rsidR="004C0700" w:rsidRPr="004C0700">
        <w:rPr>
          <w:b/>
          <w:bCs/>
        </w:rPr>
        <w:t>.6 Importance of Husserl’s method to epistemology</w:t>
      </w:r>
    </w:p>
    <w:p w14:paraId="71A2B318" w14:textId="1ACC4B19" w:rsidR="004C0700" w:rsidRPr="004C0700" w:rsidRDefault="004C0700" w:rsidP="00D64F36">
      <w:pPr>
        <w:ind w:firstLine="720"/>
        <w:jc w:val="both"/>
      </w:pPr>
      <w:r w:rsidRPr="004C0700">
        <w:t>Epistemology asks about knowledge, evidence, justification, and truth. Husserl’s method matters because it clarifies how evidence becomes evidence for a knower and how objectivity becomes possible in the first place. If we argue about truth while ignoring how meaning is constituted in experience, we will keep missing the real source of disagreement.</w:t>
      </w:r>
    </w:p>
    <w:p w14:paraId="09BD9FB3" w14:textId="77777777" w:rsidR="004C0700" w:rsidRPr="004C0700" w:rsidRDefault="004C0700" w:rsidP="00D64F36">
      <w:pPr>
        <w:ind w:firstLine="720"/>
        <w:jc w:val="both"/>
      </w:pPr>
      <w:r w:rsidRPr="004C0700">
        <w:t>Consider misinformation online. Many people react to headlines instantly, adding assumptions and emotions before checking what is actually presented. Husserl’s discipline trains the mind to separate what is given from what is imported, to examine the act of believing, and to ask what justifies the claim. The epistemic gain is not a new fact about the world, but a clearer account of how certainty, doubt, and validity arise for consciousness. This is why Husserl thinks phenomenology can ground the sciences: it clarifies the structures of meaning without reducing them to psychology.</w:t>
      </w:r>
    </w:p>
    <w:p w14:paraId="5959532C" w14:textId="15B322FE" w:rsidR="00D64F36" w:rsidRDefault="0048669C" w:rsidP="00AA7EE8">
      <w:pPr>
        <w:jc w:val="both"/>
      </w:pPr>
      <w:r>
        <w:rPr>
          <w:b/>
          <w:bCs/>
        </w:rPr>
        <w:t>2</w:t>
      </w:r>
      <w:r w:rsidR="004C0700" w:rsidRPr="004C0700">
        <w:rPr>
          <w:b/>
          <w:bCs/>
        </w:rPr>
        <w:t>.7 Comparison and contrast with Descartes’ methodic doubt</w:t>
      </w:r>
    </w:p>
    <w:p w14:paraId="4AA452CB" w14:textId="6CF6F672" w:rsidR="004C0700" w:rsidRPr="004C0700" w:rsidRDefault="004C0700" w:rsidP="00D64F36">
      <w:pPr>
        <w:ind w:firstLine="720"/>
        <w:jc w:val="both"/>
      </w:pPr>
      <w:r w:rsidRPr="004C0700">
        <w:t xml:space="preserve">There are real similarities. Both Husserl and Descartes foreground the ego and treat it as central for philosophy. Both also employ a kind of suspension. Descartes suspends belief through doubt; Husserl suspends judgement through </w:t>
      </w:r>
      <w:proofErr w:type="spellStart"/>
      <w:r w:rsidRPr="004C0700">
        <w:t>epoché</w:t>
      </w:r>
      <w:proofErr w:type="spellEnd"/>
      <w:r w:rsidRPr="004C0700">
        <w:t>. This is why Husserl can acknowledge Descartes as an influence.</w:t>
      </w:r>
    </w:p>
    <w:p w14:paraId="1D091B80" w14:textId="77777777" w:rsidR="004C0700" w:rsidRPr="004C0700" w:rsidRDefault="004C0700" w:rsidP="0048669C">
      <w:pPr>
        <w:ind w:firstLine="720"/>
        <w:jc w:val="both"/>
      </w:pPr>
      <w:r w:rsidRPr="004C0700">
        <w:t>The differences are decisive. First, the aim differs. Descartes wants certainty that cannot be shaken, so he doubts everything to reach an indubitable foundation and rebuild knowledge from it. Husserl is not mainly trying to rebuild science by deduction. He wants a method that lets us know things as they manifest themselves to consciousness, by clarifying givenness, evidence, and meaning. Descartes pursues certainty; Husserl pursues faithful description and clarification of manifestation.</w:t>
      </w:r>
    </w:p>
    <w:p w14:paraId="0170CA9B" w14:textId="77777777" w:rsidR="004C0700" w:rsidRPr="004C0700" w:rsidRDefault="004C0700" w:rsidP="0048669C">
      <w:pPr>
        <w:ind w:firstLine="720"/>
        <w:jc w:val="both"/>
      </w:pPr>
      <w:r w:rsidRPr="004C0700">
        <w:t xml:space="preserve">Second, the procedure differs. Descartes proceeds by logical stages and inferential rebuilding. From doubt he reaches the cogito, then develops further claims by argument. Husserl proceeds by reduction, not by building new claims about the world but by bracketing assumptions and </w:t>
      </w:r>
      <w:proofErr w:type="spellStart"/>
      <w:r w:rsidRPr="004C0700">
        <w:t>analysing</w:t>
      </w:r>
      <w:proofErr w:type="spellEnd"/>
      <w:r w:rsidRPr="004C0700">
        <w:t xml:space="preserve"> </w:t>
      </w:r>
      <w:r w:rsidRPr="004C0700">
        <w:lastRenderedPageBreak/>
        <w:t>experience as it is given. Descartes’ method is reconstructive; Husserl’s method is descriptive and clarificatory.</w:t>
      </w:r>
    </w:p>
    <w:p w14:paraId="5F194C43" w14:textId="77777777" w:rsidR="004C0700" w:rsidRPr="004C0700" w:rsidRDefault="004C0700" w:rsidP="0048669C">
      <w:pPr>
        <w:ind w:firstLine="720"/>
        <w:jc w:val="both"/>
      </w:pPr>
      <w:r w:rsidRPr="004C0700">
        <w:t>Third, their handling of consciousness differs, especially on intentionality. Husserl insists that consciousness is always intentional, always consciousness of something. To say “I think” is incomplete until we ask “I think what?” Thinking has directedness and content. In the lecture framing, Descartes’ cogito can look like “thinking” is a pure act that stands without content and establishes the ego first. Husserl rejects this picture: there is no empty consciousness floating by itself; consciousness is world-directed in its very structure.</w:t>
      </w:r>
    </w:p>
    <w:p w14:paraId="688F89C5" w14:textId="77777777" w:rsidR="004C0700" w:rsidRPr="004C0700" w:rsidRDefault="004C0700" w:rsidP="0048669C">
      <w:pPr>
        <w:ind w:firstLine="720"/>
        <w:jc w:val="both"/>
      </w:pPr>
      <w:r w:rsidRPr="004C0700">
        <w:t>A simple practical contrast shows the difference in spirit. Descartes behaves like someone who refuses to trust anything until he finds one point that cannot be doubted, then builds everything on it. Husserl behaves like someone who pauses judgement and examines how a thing is presented before deciding what claims can responsibly be made about it.</w:t>
      </w:r>
    </w:p>
    <w:p w14:paraId="45BE5FF7" w14:textId="77777777" w:rsidR="00E24760" w:rsidRDefault="0048669C" w:rsidP="00E24760">
      <w:pPr>
        <w:jc w:val="both"/>
      </w:pPr>
      <w:r>
        <w:rPr>
          <w:b/>
          <w:bCs/>
        </w:rPr>
        <w:t>2</w:t>
      </w:r>
      <w:r w:rsidR="004C0700" w:rsidRPr="004C0700">
        <w:rPr>
          <w:b/>
          <w:bCs/>
        </w:rPr>
        <w:t>.8 Evaluation</w:t>
      </w:r>
    </w:p>
    <w:p w14:paraId="65A5314B" w14:textId="008692E7" w:rsidR="004C0700" w:rsidRPr="004C0700" w:rsidRDefault="004C0700" w:rsidP="00E24760">
      <w:pPr>
        <w:ind w:firstLine="720"/>
        <w:jc w:val="both"/>
      </w:pPr>
      <w:r w:rsidRPr="004C0700">
        <w:t>Husserl’s strength is that he gives epistemology a disciplined way to expose hidden assumptions and clarify how knowledge becomes possible through evidence and meaning. That makes his method useful in real contexts where people disagree not only about facts but about how the facts were grasped and interpreted. Descartes’ strength is his demand for justification and his refusal to accept weak foundations. But his weakness, from a phenomenological standpoint, is that his approach encourages a picture of the thinking subject as detachable from lived experience, which feeds the mind</w:t>
      </w:r>
      <w:r w:rsidR="00705F80">
        <w:t>-</w:t>
      </w:r>
      <w:r w:rsidRPr="004C0700">
        <w:t>body problem and can make the world look like something reached only after the self is secured.</w:t>
      </w:r>
    </w:p>
    <w:p w14:paraId="0D60E536" w14:textId="77777777" w:rsidR="004C0700" w:rsidRPr="004C0700" w:rsidRDefault="004C0700" w:rsidP="00E24760">
      <w:pPr>
        <w:ind w:firstLine="720"/>
        <w:jc w:val="both"/>
      </w:pPr>
      <w:r w:rsidRPr="004C0700">
        <w:t xml:space="preserve">A fair judgement is that Descartes is best for the project of indubitable certainty, while Husserl is best for the project of clarifying manifestation, intentionality, and the constitution of objectivity. Husserl’s </w:t>
      </w:r>
      <w:r w:rsidRPr="004C0700">
        <w:rPr>
          <w:i/>
          <w:iCs/>
        </w:rPr>
        <w:t>Logical Investigations</w:t>
      </w:r>
      <w:r w:rsidRPr="004C0700">
        <w:t xml:space="preserve"> shows his anti-</w:t>
      </w:r>
      <w:proofErr w:type="spellStart"/>
      <w:r w:rsidRPr="004C0700">
        <w:t>psychologism</w:t>
      </w:r>
      <w:proofErr w:type="spellEnd"/>
      <w:r w:rsidRPr="004C0700">
        <w:t xml:space="preserve"> and demand for rigor, while Descartes’ </w:t>
      </w:r>
      <w:r w:rsidRPr="004C0700">
        <w:rPr>
          <w:i/>
          <w:iCs/>
        </w:rPr>
        <w:t>Meditations</w:t>
      </w:r>
      <w:r w:rsidRPr="004C0700">
        <w:t xml:space="preserve"> gives the classic form of methodic doubt. Together they show why the “I” becomes central in modern philosophy, but also why Husserl’s phenomenology is not simply Descartes repeated.</w:t>
      </w:r>
    </w:p>
    <w:p w14:paraId="4571D528" w14:textId="62936608" w:rsidR="00E24760" w:rsidRDefault="004C0700" w:rsidP="00E24760">
      <w:pPr>
        <w:pStyle w:val="ListParagraph"/>
        <w:numPr>
          <w:ilvl w:val="1"/>
          <w:numId w:val="2"/>
        </w:numPr>
        <w:jc w:val="both"/>
      </w:pPr>
      <w:r w:rsidRPr="00E24760">
        <w:rPr>
          <w:b/>
          <w:bCs/>
        </w:rPr>
        <w:t>Conclusion</w:t>
      </w:r>
    </w:p>
    <w:p w14:paraId="59460FB9" w14:textId="11E626F9" w:rsidR="004C0700" w:rsidRPr="004C0700" w:rsidRDefault="004C0700" w:rsidP="00E24760">
      <w:pPr>
        <w:ind w:firstLine="360"/>
        <w:jc w:val="both"/>
      </w:pPr>
      <w:r w:rsidRPr="004C0700">
        <w:t xml:space="preserve">Husserl’s phenomenology is a rigorous method for returning to experience to describe how reality is given to consciousness. Through </w:t>
      </w:r>
      <w:proofErr w:type="spellStart"/>
      <w:r w:rsidRPr="004C0700">
        <w:t>epoché</w:t>
      </w:r>
      <w:proofErr w:type="spellEnd"/>
      <w:r w:rsidRPr="004C0700">
        <w:t xml:space="preserve">, phenomenological reduction, and transcendental reduction, it clarifies the transcendental ego as the field in which meaning and objectivity are constituted. Its epistemological value lies in explaining how evidence and validity become possible for a knower. Descartes also </w:t>
      </w:r>
      <w:proofErr w:type="spellStart"/>
      <w:r w:rsidRPr="004C0700">
        <w:t>centres</w:t>
      </w:r>
      <w:proofErr w:type="spellEnd"/>
      <w:r w:rsidRPr="004C0700">
        <w:t xml:space="preserve"> the ego and uses suspension, but his methodic doubt aims at certainty through logical rebuilding. The clean conclusion is that both begin with the “I,” but they diverge in aim, method, and their account of consciousness, especially Husserl’s insistence on intentionality and manifestation.</w:t>
      </w:r>
    </w:p>
    <w:p w14:paraId="6302D3FA" w14:textId="77777777" w:rsidR="00FE0C63" w:rsidRDefault="00FE0C63" w:rsidP="00AA7EE8">
      <w:pPr>
        <w:jc w:val="both"/>
      </w:pPr>
    </w:p>
    <w:p w14:paraId="36120BA2" w14:textId="17214C84" w:rsidR="00FE0C63" w:rsidRPr="00FE0C63" w:rsidRDefault="00FE0C63" w:rsidP="00D81A4E">
      <w:pPr>
        <w:jc w:val="center"/>
        <w:rPr>
          <w:b/>
          <w:bCs/>
        </w:rPr>
      </w:pPr>
      <w:r w:rsidRPr="00626A33">
        <w:rPr>
          <w:b/>
          <w:bCs/>
        </w:rPr>
        <w:t>QUESTION THREE</w:t>
      </w:r>
      <w:r>
        <w:rPr>
          <w:b/>
          <w:bCs/>
        </w:rPr>
        <w:t>:</w:t>
      </w:r>
      <w:r w:rsidR="00C747C3">
        <w:rPr>
          <w:b/>
          <w:bCs/>
        </w:rPr>
        <w:t xml:space="preserve"> </w:t>
      </w:r>
      <w:r w:rsidRPr="00AF3BBD">
        <w:rPr>
          <w:b/>
          <w:bCs/>
        </w:rPr>
        <w:t>HEIDEGGER’S BEING-IN-THE-WORLD AND HUSSERL’S TRANSCENDENTAL PHENOMENOLOGY</w:t>
      </w:r>
    </w:p>
    <w:p w14:paraId="5EDFC94E" w14:textId="77777777" w:rsidR="00D81A4E" w:rsidRDefault="00D81A4E" w:rsidP="00AA7EE8">
      <w:pPr>
        <w:jc w:val="both"/>
      </w:pPr>
      <w:r>
        <w:rPr>
          <w:b/>
          <w:bCs/>
        </w:rPr>
        <w:t>3</w:t>
      </w:r>
      <w:r w:rsidR="004C0700" w:rsidRPr="004C0700">
        <w:rPr>
          <w:b/>
          <w:bCs/>
        </w:rPr>
        <w:t>.1 Introduction</w:t>
      </w:r>
    </w:p>
    <w:p w14:paraId="02DD9313" w14:textId="477E99D1" w:rsidR="004C0700" w:rsidRPr="004C0700" w:rsidRDefault="004C0700" w:rsidP="00D81A4E">
      <w:pPr>
        <w:ind w:firstLine="720"/>
        <w:jc w:val="both"/>
      </w:pPr>
      <w:r w:rsidRPr="004C0700">
        <w:lastRenderedPageBreak/>
        <w:t>Heidegger’s question is not first about how consciousness constitutes objects, but about what it means for human beings to exist. This is why his idea of being-in-the-world is often presented as a correction of Husserl’s transcendental phenomenology. The task here is to explain Husserl’s transcendental phenomenology, explain Heidegger’s being-in-the-world, and then compare them clearly in relation to human existence.</w:t>
      </w:r>
    </w:p>
    <w:p w14:paraId="31BC42A4" w14:textId="77777777" w:rsidR="00E95320" w:rsidRDefault="00E95320" w:rsidP="00AA7EE8">
      <w:pPr>
        <w:jc w:val="both"/>
      </w:pPr>
      <w:r>
        <w:rPr>
          <w:b/>
          <w:bCs/>
        </w:rPr>
        <w:t>3</w:t>
      </w:r>
      <w:r w:rsidR="004C0700" w:rsidRPr="004C0700">
        <w:rPr>
          <w:b/>
          <w:bCs/>
        </w:rPr>
        <w:t>.2 Clarification of Terms</w:t>
      </w:r>
    </w:p>
    <w:p w14:paraId="095FFD46" w14:textId="0B21FB8F" w:rsidR="004C0700" w:rsidRPr="004C0700" w:rsidRDefault="004C0700" w:rsidP="00E95320">
      <w:pPr>
        <w:ind w:firstLine="720"/>
        <w:jc w:val="both"/>
      </w:pPr>
      <w:r w:rsidRPr="004C0700">
        <w:t>Being-in-the-world means that human beings do not stand outside the world as spectators; they exist as already involved in a meaningful context of work, relationships, and possibilities. Dasein means the human being understood as the kind of being that is concerned about its existence and interprets its being. Transcendental phenomenology is Husserl’s phenomenology after reduction, where the focus becomes the transcendental ego as the field in which meaning and objectivity are constituted. Transcendental ego is not a psychological personality but the first-person standpoint as the condition of possibility for experience. Constitution means the way objects become meaningful and identifiable for consciousness. Intentionality means consciousness is always consciousness of something.</w:t>
      </w:r>
    </w:p>
    <w:p w14:paraId="01585F35" w14:textId="77777777" w:rsidR="00E95320" w:rsidRDefault="00E95320" w:rsidP="00AA7EE8">
      <w:pPr>
        <w:jc w:val="both"/>
      </w:pPr>
      <w:r>
        <w:rPr>
          <w:b/>
          <w:bCs/>
        </w:rPr>
        <w:t>3</w:t>
      </w:r>
      <w:r w:rsidR="004C0700" w:rsidRPr="004C0700">
        <w:rPr>
          <w:b/>
          <w:bCs/>
        </w:rPr>
        <w:t>.3 Brief biographical note and influences</w:t>
      </w:r>
    </w:p>
    <w:p w14:paraId="428410D7" w14:textId="37F306CB" w:rsidR="004C0700" w:rsidRPr="004C0700" w:rsidRDefault="004C0700" w:rsidP="00E95320">
      <w:pPr>
        <w:ind w:firstLine="720"/>
        <w:jc w:val="both"/>
      </w:pPr>
      <w:r w:rsidRPr="004C0700">
        <w:t>Husserl (1859</w:t>
      </w:r>
      <w:r w:rsidR="00705F80">
        <w:t>-</w:t>
      </w:r>
      <w:r w:rsidRPr="004C0700">
        <w:t>1938) founded phenomenology and developed transcendental phenomenology to clarify the structures of experience and objectivity. Heidegger (1889</w:t>
      </w:r>
      <w:r w:rsidR="00705F80">
        <w:t>-</w:t>
      </w:r>
      <w:r w:rsidRPr="004C0700">
        <w:t>1976) studied under Husserl but redirected phenomenology toward ontology, arguing that phenomenology should begin from existence rather than from consciousness. Their link is therefore close: Heidegger inherits the phenomenological demand to return to phenomena, but he changes what counts as the fundamental phenomenon.</w:t>
      </w:r>
    </w:p>
    <w:p w14:paraId="5EC24B1B" w14:textId="77777777" w:rsidR="00E95320" w:rsidRDefault="00E95320" w:rsidP="00AA7EE8">
      <w:pPr>
        <w:jc w:val="both"/>
      </w:pPr>
      <w:r>
        <w:rPr>
          <w:b/>
          <w:bCs/>
        </w:rPr>
        <w:t>3</w:t>
      </w:r>
      <w:r w:rsidR="004C0700" w:rsidRPr="004C0700">
        <w:rPr>
          <w:b/>
          <w:bCs/>
        </w:rPr>
        <w:t>.4 Husserl’s transcendental phenomenology (4 marks)</w:t>
      </w:r>
    </w:p>
    <w:p w14:paraId="5F86F198" w14:textId="23C1D983" w:rsidR="004C0700" w:rsidRPr="004C0700" w:rsidRDefault="004C0700" w:rsidP="00E95320">
      <w:pPr>
        <w:ind w:firstLine="720"/>
        <w:jc w:val="both"/>
      </w:pPr>
      <w:r w:rsidRPr="004C0700">
        <w:t xml:space="preserve">Husserl’s transcendental phenomenology begins from the phenomenological method: </w:t>
      </w:r>
      <w:proofErr w:type="spellStart"/>
      <w:r w:rsidRPr="004C0700">
        <w:t>epoché</w:t>
      </w:r>
      <w:proofErr w:type="spellEnd"/>
      <w:r w:rsidRPr="004C0700">
        <w:t xml:space="preserve"> and reduction suspend untested assumptions and redirect attention from the world taken as a finished external fact to the way the world is given in experience. Transcendental reduction then discloses the transcendental ego, the pure subject of experience, as the field in which meanings and objects are constituted. Husserl’s point is that objectivity is not understood simply by pointing at objects, but by clarifying how objects become stable and valid for consciousness across changing perspectives.</w:t>
      </w:r>
    </w:p>
    <w:p w14:paraId="56EF3B8B" w14:textId="77777777" w:rsidR="004C0700" w:rsidRPr="004C0700" w:rsidRDefault="004C0700" w:rsidP="00E95320">
      <w:pPr>
        <w:ind w:firstLine="720"/>
        <w:jc w:val="both"/>
      </w:pPr>
      <w:r w:rsidRPr="004C0700">
        <w:t>A simple example is the way one phone is experienced as one object even though it appears through different sides, lighting, and angles. Husserl’s analysis explains how unity of object and meaning is possible within experience. His project therefore remains strongly epistemological: it wants to explain the conditions of knowing, evidence, and validity.</w:t>
      </w:r>
    </w:p>
    <w:p w14:paraId="074E7F5B" w14:textId="4EB8A47C" w:rsidR="00E95320" w:rsidRDefault="00E95320" w:rsidP="00AA7EE8">
      <w:pPr>
        <w:jc w:val="both"/>
      </w:pPr>
      <w:r>
        <w:rPr>
          <w:b/>
          <w:bCs/>
        </w:rPr>
        <w:t>3</w:t>
      </w:r>
      <w:r w:rsidR="004C0700" w:rsidRPr="004C0700">
        <w:rPr>
          <w:b/>
          <w:bCs/>
        </w:rPr>
        <w:t>.5 Heidegger’s being-in-the-world (6 marks)</w:t>
      </w:r>
    </w:p>
    <w:p w14:paraId="32CC2FD8" w14:textId="44518B01" w:rsidR="004C0700" w:rsidRPr="004C0700" w:rsidRDefault="004C0700" w:rsidP="00E95320">
      <w:pPr>
        <w:ind w:firstLine="720"/>
        <w:jc w:val="both"/>
      </w:pPr>
      <w:r w:rsidRPr="004C0700">
        <w:t>Heidegger’s claim is that the human being is not primarily a consciousness that first exists inside and then looks outward. Human existence is already in the world. This “in” does not mean location like water in a bottle. It means involvement and belonging. The world is first encountered as a meaningful context, not as a set of neutral objects. A student entering a lecture hall does not first meet chairs as physical substances. The chair is “something to sit on.” The book is “something to read.” The invigilator is “someone to watch you.” These are meanings that show practical involvement before any detached thinking begins.</w:t>
      </w:r>
    </w:p>
    <w:p w14:paraId="5E543DF8" w14:textId="77777777" w:rsidR="004C0700" w:rsidRPr="004C0700" w:rsidRDefault="004C0700" w:rsidP="00121777">
      <w:pPr>
        <w:ind w:firstLine="720"/>
        <w:jc w:val="both"/>
      </w:pPr>
      <w:r w:rsidRPr="004C0700">
        <w:lastRenderedPageBreak/>
        <w:t xml:space="preserve">Heidegger explains this through Dasein. Dasein is the being for whom its own being matters. It is defined by care, not by detached contemplation. Care means that human life is always directed toward possibilities, goals, fears, and choices. </w:t>
      </w:r>
      <w:proofErr w:type="gramStart"/>
      <w:r w:rsidRPr="004C0700">
        <w:t>So</w:t>
      </w:r>
      <w:proofErr w:type="gramEnd"/>
      <w:r w:rsidRPr="004C0700">
        <w:t xml:space="preserve"> the world is not mainly a collection of objects; it is the field of significance within which one lives. This also includes being-with-others. Human life is social from the start, and many meanings arise from public expectations: shame, reputation, conformity, pressure, and the fear of “what people will say.” Heidegger therefore treats understanding as interpretive from within a situation, not as a pure gaze from outside.</w:t>
      </w:r>
    </w:p>
    <w:p w14:paraId="6B333B8C" w14:textId="01DC974F" w:rsidR="00121777" w:rsidRDefault="00121777" w:rsidP="00AA7EE8">
      <w:pPr>
        <w:jc w:val="both"/>
      </w:pPr>
      <w:r>
        <w:rPr>
          <w:b/>
          <w:bCs/>
        </w:rPr>
        <w:t>3</w:t>
      </w:r>
      <w:r w:rsidR="004C0700" w:rsidRPr="004C0700">
        <w:rPr>
          <w:b/>
          <w:bCs/>
        </w:rPr>
        <w:t>.6 Comparison and divergence (6 marks)</w:t>
      </w:r>
    </w:p>
    <w:p w14:paraId="60DA3E64" w14:textId="780ECF4A" w:rsidR="004C0700" w:rsidRPr="004C0700" w:rsidRDefault="004C0700" w:rsidP="00121777">
      <w:pPr>
        <w:ind w:firstLine="720"/>
        <w:jc w:val="both"/>
      </w:pPr>
      <w:r w:rsidRPr="004C0700">
        <w:t>The clearest difference is the starting point. Husserl begins with consciousness, and in transcendental phenomenology he begins from the transcendental ego as the field in which meanings and objects are constituted. Heidegger begins with Dasein, the whole human being existing in the world. Because of this, Heidegger criticizes Husserl for focusing too much on consciousness rather than existence. In Heidegger’s view, making consciousness the starting point risks making the human being look like a spectator who must step outside the world to understand it, whereas human existence is always already involved.</w:t>
      </w:r>
    </w:p>
    <w:p w14:paraId="2F98605D" w14:textId="77777777" w:rsidR="004C0700" w:rsidRPr="004C0700" w:rsidRDefault="004C0700" w:rsidP="00121777">
      <w:pPr>
        <w:ind w:firstLine="720"/>
        <w:jc w:val="both"/>
      </w:pPr>
      <w:r w:rsidRPr="004C0700">
        <w:t>The second difference is the main focus. Husserl’s central interest is epistemological and structural: how objectivity, meaning, and evidence arise through intentional consciousness. Heidegger’s central interest is ontological and existential: what it means to be, to exist in time, to be thrown into a situation, to project possibilities, to face anxiety and authenticity. Husserl asks how objects are constituted for consciousness. Heidegger asks what kind of being the human being is such that beings can matter to it at all.</w:t>
      </w:r>
    </w:p>
    <w:p w14:paraId="03B5A80E" w14:textId="77777777" w:rsidR="004C0700" w:rsidRPr="004C0700" w:rsidRDefault="004C0700" w:rsidP="00121777">
      <w:pPr>
        <w:ind w:firstLine="720"/>
        <w:jc w:val="both"/>
      </w:pPr>
      <w:r w:rsidRPr="004C0700">
        <w:t xml:space="preserve">The third difference is their view of the world. For Husserl, the world is </w:t>
      </w:r>
      <w:proofErr w:type="spellStart"/>
      <w:r w:rsidRPr="004C0700">
        <w:t>analysed</w:t>
      </w:r>
      <w:proofErr w:type="spellEnd"/>
      <w:r w:rsidRPr="004C0700">
        <w:t xml:space="preserve"> as correlating with intentional acts of consciousness, and the method of reduction clarifies the structures that make the world appear as meaningful and objective. For Heidegger, the world is not primarily a set of objects given to consciousness but a meaningful context of involvement, equipment, and care. This is why Heidegger replaces the language of acts of consciousness with the language of care, thrownness, projection, and authenticity. The basic point is that understanding arises from being situated in the world, not from stepping into a transcendental standpoint outside it.</w:t>
      </w:r>
    </w:p>
    <w:p w14:paraId="6AFCD383" w14:textId="77777777" w:rsidR="004C0700" w:rsidRPr="004C0700" w:rsidRDefault="004C0700" w:rsidP="00121777">
      <w:pPr>
        <w:ind w:firstLine="720"/>
        <w:jc w:val="both"/>
      </w:pPr>
      <w:r w:rsidRPr="004C0700">
        <w:t>A fair comparison also notes continuity. Both are phenomenologists in the sense that both insist we must return to what shows itself rather than impose speculative theories. Heidegger does not abandon phenomenology; he transforms it by making existence the fundamental phenomenon.</w:t>
      </w:r>
    </w:p>
    <w:p w14:paraId="700F1A3D" w14:textId="672750B2" w:rsidR="00121777" w:rsidRDefault="00121777" w:rsidP="00AA7EE8">
      <w:pPr>
        <w:jc w:val="both"/>
      </w:pPr>
      <w:r>
        <w:rPr>
          <w:b/>
          <w:bCs/>
        </w:rPr>
        <w:t>3</w:t>
      </w:r>
      <w:r w:rsidR="004C0700" w:rsidRPr="004C0700">
        <w:rPr>
          <w:b/>
          <w:bCs/>
        </w:rPr>
        <w:t>.7 Evaluation (Presentation, coherence, and scholarly signal) (4 marks)</w:t>
      </w:r>
    </w:p>
    <w:p w14:paraId="004B2BCD" w14:textId="0D1815F5" w:rsidR="004C0700" w:rsidRPr="004C0700" w:rsidRDefault="004C0700" w:rsidP="00121777">
      <w:pPr>
        <w:ind w:firstLine="720"/>
        <w:jc w:val="both"/>
      </w:pPr>
      <w:r w:rsidRPr="004C0700">
        <w:t>The flow is coherent: Husserl’s transcendental phenomenology explains objectivity and meaning through reduction and the transcendental ego; Heidegger’s being-in-the-world explains human existence as already involved, interpretive, and social; the comparison shows that Heidegger’s main complaint is that Husserl over-</w:t>
      </w:r>
      <w:proofErr w:type="spellStart"/>
      <w:r w:rsidRPr="004C0700">
        <w:t>centres</w:t>
      </w:r>
      <w:proofErr w:type="spellEnd"/>
      <w:r w:rsidRPr="004C0700">
        <w:t xml:space="preserve"> consciousness and under-</w:t>
      </w:r>
      <w:proofErr w:type="spellStart"/>
      <w:r w:rsidRPr="004C0700">
        <w:t>centres</w:t>
      </w:r>
      <w:proofErr w:type="spellEnd"/>
      <w:r w:rsidRPr="004C0700">
        <w:t xml:space="preserve"> existence. Husserl’s transcendental turn is classically developed in </w:t>
      </w:r>
      <w:r w:rsidRPr="004C0700">
        <w:rPr>
          <w:i/>
          <w:iCs/>
        </w:rPr>
        <w:t>Ideas I</w:t>
      </w:r>
      <w:r w:rsidRPr="004C0700">
        <w:t xml:space="preserve">, while Heidegger’s analysis of Dasein and being-in-the-world is central to </w:t>
      </w:r>
      <w:r w:rsidRPr="004C0700">
        <w:rPr>
          <w:i/>
          <w:iCs/>
        </w:rPr>
        <w:t>Being and Time</w:t>
      </w:r>
      <w:r w:rsidRPr="004C0700">
        <w:t>. These anchors show that the disagreement is not minor: it is a shift from consciousness-</w:t>
      </w:r>
      <w:proofErr w:type="spellStart"/>
      <w:r w:rsidRPr="004C0700">
        <w:t>centred</w:t>
      </w:r>
      <w:proofErr w:type="spellEnd"/>
      <w:r w:rsidRPr="004C0700">
        <w:t xml:space="preserve"> constitution to existence-</w:t>
      </w:r>
      <w:proofErr w:type="spellStart"/>
      <w:r w:rsidRPr="004C0700">
        <w:t>centred</w:t>
      </w:r>
      <w:proofErr w:type="spellEnd"/>
      <w:r w:rsidRPr="004C0700">
        <w:t xml:space="preserve"> disclosure.</w:t>
      </w:r>
    </w:p>
    <w:p w14:paraId="5EDBF777" w14:textId="0F1ECD0F" w:rsidR="004C0700" w:rsidRPr="004C0700" w:rsidRDefault="00121777" w:rsidP="00AA7EE8">
      <w:pPr>
        <w:jc w:val="both"/>
      </w:pPr>
      <w:r>
        <w:rPr>
          <w:b/>
          <w:bCs/>
        </w:rPr>
        <w:lastRenderedPageBreak/>
        <w:t>3</w:t>
      </w:r>
      <w:r w:rsidR="004C0700" w:rsidRPr="004C0700">
        <w:rPr>
          <w:b/>
          <w:bCs/>
        </w:rPr>
        <w:t>.8 Conclusion</w:t>
      </w:r>
      <w:r w:rsidR="004C0700" w:rsidRPr="004C0700">
        <w:br/>
        <w:t>Husserl’s transcendental phenomenology clarifies how meaning and objectivity are constituted in the transcendental ego through intentional consciousness. Heidegger’s being-in-the-world argues that human existence is not first a detached consciousness but Dasein already involved in a meaningful world of care, equipment, and social life. Their divergence is therefore best captured as constitution in consciousness versus disclosure in existence. Heidegger’s shift gives phenomenology an existential and hermeneutic character, grounding interpretation in lived involvement rather than in a transcendental standpoint.</w:t>
      </w:r>
    </w:p>
    <w:p w14:paraId="69BB5F93" w14:textId="77777777" w:rsidR="00FA360E" w:rsidRDefault="00FA360E" w:rsidP="00FA360E">
      <w:pPr>
        <w:jc w:val="right"/>
        <w:rPr>
          <w:i/>
          <w:iCs/>
        </w:rPr>
      </w:pPr>
    </w:p>
    <w:p w14:paraId="193600E6" w14:textId="7A09EC4E" w:rsidR="00626A33" w:rsidRPr="0009324D" w:rsidRDefault="0009324D" w:rsidP="00FA360E">
      <w:pPr>
        <w:jc w:val="right"/>
        <w:rPr>
          <w:i/>
          <w:iCs/>
        </w:rPr>
      </w:pPr>
      <w:r w:rsidRPr="0009324D">
        <w:rPr>
          <w:i/>
          <w:iCs/>
        </w:rPr>
        <w:t>GOODLUCKS</w:t>
      </w:r>
    </w:p>
    <w:p w14:paraId="5C465E05" w14:textId="48FC3E72" w:rsidR="0009324D" w:rsidRDefault="0009324D" w:rsidP="00FA360E">
      <w:pPr>
        <w:jc w:val="right"/>
        <w:rPr>
          <w:i/>
          <w:iCs/>
        </w:rPr>
      </w:pPr>
      <w:r w:rsidRPr="0009324D">
        <w:rPr>
          <w:i/>
          <w:iCs/>
        </w:rPr>
        <w:t>Nnaemeka Anigor</w:t>
      </w:r>
    </w:p>
    <w:p w14:paraId="2F231C30" w14:textId="5CC306CF" w:rsidR="00422CF9" w:rsidRPr="00D52343" w:rsidRDefault="008146AE" w:rsidP="00D057B2">
      <w:pPr>
        <w:jc w:val="center"/>
        <w:rPr>
          <w:b/>
          <w:bCs/>
        </w:rPr>
      </w:pPr>
      <w:r w:rsidRPr="00D52343">
        <w:rPr>
          <w:b/>
          <w:bCs/>
        </w:rPr>
        <w:t>QUESTION 4</w:t>
      </w:r>
      <w:r>
        <w:rPr>
          <w:b/>
          <w:bCs/>
        </w:rPr>
        <w:t xml:space="preserve">: </w:t>
      </w:r>
      <w:r w:rsidRPr="00AF3BBD">
        <w:rPr>
          <w:b/>
          <w:bCs/>
        </w:rPr>
        <w:t>GADAMER ON FUSION OF HORIZONS AND HERMENEUTICS OF INTERPRETATION</w:t>
      </w:r>
    </w:p>
    <w:p w14:paraId="2BACF570" w14:textId="77777777" w:rsidR="00D057B2" w:rsidRDefault="00D057B2" w:rsidP="00AA7EE8">
      <w:pPr>
        <w:jc w:val="both"/>
      </w:pPr>
      <w:r>
        <w:rPr>
          <w:b/>
          <w:bCs/>
        </w:rPr>
        <w:t>4</w:t>
      </w:r>
      <w:r w:rsidR="00422CF9" w:rsidRPr="00422CF9">
        <w:rPr>
          <w:b/>
          <w:bCs/>
        </w:rPr>
        <w:t>.1 Introduction</w:t>
      </w:r>
    </w:p>
    <w:p w14:paraId="15BE92C2" w14:textId="1E5129BD" w:rsidR="00422CF9" w:rsidRPr="00422CF9" w:rsidRDefault="00422CF9" w:rsidP="00D057B2">
      <w:pPr>
        <w:ind w:firstLine="720"/>
        <w:jc w:val="both"/>
      </w:pPr>
      <w:r w:rsidRPr="00422CF9">
        <w:t xml:space="preserve">Gadamer’s “fusion of horizons” explains how understanding happens when an interpreter meets a text, tradition, or social reality. It matters because it shifts interpretation from “recovering an original meaning” to a living encounter where meaning is formed through dialogue between past and present. </w:t>
      </w:r>
    </w:p>
    <w:p w14:paraId="489DCA6E" w14:textId="77777777" w:rsidR="00D057B2" w:rsidRDefault="00D057B2" w:rsidP="00AA7EE8">
      <w:pPr>
        <w:jc w:val="both"/>
      </w:pPr>
      <w:r>
        <w:rPr>
          <w:b/>
          <w:bCs/>
        </w:rPr>
        <w:t>4</w:t>
      </w:r>
      <w:r w:rsidR="00422CF9" w:rsidRPr="00422CF9">
        <w:rPr>
          <w:b/>
          <w:bCs/>
        </w:rPr>
        <w:t>.2 Clarification of Terms</w:t>
      </w:r>
    </w:p>
    <w:p w14:paraId="19FF65EC" w14:textId="6322C99F" w:rsidR="00422CF9" w:rsidRPr="00422CF9" w:rsidRDefault="00422CF9" w:rsidP="00D057B2">
      <w:pPr>
        <w:ind w:firstLine="720"/>
        <w:jc w:val="both"/>
      </w:pPr>
      <w:r w:rsidRPr="00422CF9">
        <w:t xml:space="preserve">A </w:t>
      </w:r>
      <w:r w:rsidRPr="00422CF9">
        <w:rPr>
          <w:i/>
          <w:iCs/>
        </w:rPr>
        <w:t>horizon</w:t>
      </w:r>
      <w:r w:rsidRPr="00422CF9">
        <w:t xml:space="preserve"> is the range of vision shaped by one’s history, culture, language, and experience; it is not fixed, and it can expand as we engage what is different from us. </w:t>
      </w:r>
      <w:r w:rsidRPr="00422CF9">
        <w:rPr>
          <w:i/>
          <w:iCs/>
        </w:rPr>
        <w:t>Prejudices</w:t>
      </w:r>
      <w:r w:rsidRPr="00422CF9">
        <w:t xml:space="preserve"> (pre-judgments) are not automatically errors; they are the starting assumptions that make questioning and understanding possible, and they must be tested in encounter with “the other.” </w:t>
      </w:r>
    </w:p>
    <w:p w14:paraId="7A83A916" w14:textId="543681E6" w:rsidR="00D057B2" w:rsidRDefault="00D057B2" w:rsidP="00AA7EE8">
      <w:pPr>
        <w:jc w:val="both"/>
      </w:pPr>
      <w:r>
        <w:rPr>
          <w:b/>
          <w:bCs/>
        </w:rPr>
        <w:t>4</w:t>
      </w:r>
      <w:r w:rsidR="00422CF9" w:rsidRPr="00422CF9">
        <w:rPr>
          <w:b/>
          <w:bCs/>
        </w:rPr>
        <w:t>.3 Brief biographical note and influences</w:t>
      </w:r>
    </w:p>
    <w:p w14:paraId="6A4E9A7C" w14:textId="04DF0306" w:rsidR="00422CF9" w:rsidRPr="00422CF9" w:rsidRDefault="00422CF9" w:rsidP="00D057B2">
      <w:pPr>
        <w:ind w:firstLine="720"/>
        <w:jc w:val="both"/>
      </w:pPr>
      <w:r w:rsidRPr="00422CF9">
        <w:t xml:space="preserve">Hans-Georg Gadamer (1900–2002) developed philosophical hermeneutics most famously in </w:t>
      </w:r>
      <w:r w:rsidRPr="00422CF9">
        <w:rPr>
          <w:i/>
          <w:iCs/>
        </w:rPr>
        <w:t>Truth and Method</w:t>
      </w:r>
      <w:r w:rsidRPr="00422CF9">
        <w:t xml:space="preserve"> (1960). He worked within the line of phenomenology and existential philosophy, learning from Husserl and especially Heidegger, but he pushed the discussion in a more dialogical and communal direction, stressing history, language, and tradition as conditions for understanding. </w:t>
      </w:r>
    </w:p>
    <w:p w14:paraId="71788CDB" w14:textId="77777777" w:rsidR="00D057B2" w:rsidRDefault="00D057B2" w:rsidP="00AA7EE8">
      <w:pPr>
        <w:jc w:val="both"/>
      </w:pPr>
      <w:r>
        <w:rPr>
          <w:b/>
          <w:bCs/>
        </w:rPr>
        <w:t>4</w:t>
      </w:r>
      <w:r w:rsidR="00422CF9" w:rsidRPr="00422CF9">
        <w:rPr>
          <w:b/>
          <w:bCs/>
        </w:rPr>
        <w:t>.4 The case for Gadamer’s fusion of horizons</w:t>
      </w:r>
    </w:p>
    <w:p w14:paraId="071D9311" w14:textId="40F0D06C" w:rsidR="00422CF9" w:rsidRPr="00422CF9" w:rsidRDefault="00422CF9" w:rsidP="00D057B2">
      <w:pPr>
        <w:ind w:firstLine="720"/>
        <w:jc w:val="both"/>
      </w:pPr>
      <w:r w:rsidRPr="00422CF9">
        <w:t xml:space="preserve">For Gadamer, understanding is not mainly a technical “method” you apply from outside; it is something that happens within history and tradition, as an event where past and present keep mediating each other. That is why he treats interpretation as participatory: we do not stand above the text or the other person as neutral observers, because our own horizon is already involved in what we are trying to understand. </w:t>
      </w:r>
    </w:p>
    <w:p w14:paraId="08B07CA4" w14:textId="77777777" w:rsidR="00422CF9" w:rsidRPr="00422CF9" w:rsidRDefault="00422CF9" w:rsidP="00D057B2">
      <w:pPr>
        <w:ind w:firstLine="720"/>
        <w:jc w:val="both"/>
      </w:pPr>
      <w:r w:rsidRPr="00422CF9">
        <w:t xml:space="preserve">Fusion of horizons names what happens when the interpreter’s horizon and the horizon of the text/tradition come into a real exchange and produce a new understanding. It is not copying an “original meaning” but allowing the encounter to reshape both what we bring and what we take, through dialogue and openness to being corrected. </w:t>
      </w:r>
    </w:p>
    <w:p w14:paraId="32A53AFE" w14:textId="02C8651E" w:rsidR="00D6796F" w:rsidRDefault="00D6796F" w:rsidP="00AA7EE8">
      <w:pPr>
        <w:jc w:val="both"/>
      </w:pPr>
      <w:r>
        <w:rPr>
          <w:b/>
          <w:bCs/>
        </w:rPr>
        <w:t>4</w:t>
      </w:r>
      <w:r w:rsidR="00422CF9" w:rsidRPr="00422CF9">
        <w:rPr>
          <w:b/>
          <w:bCs/>
        </w:rPr>
        <w:t>.5 How fusion of horizons transforms hermeneutics of interpretation</w:t>
      </w:r>
    </w:p>
    <w:p w14:paraId="220FF604" w14:textId="1C52E198" w:rsidR="00422CF9" w:rsidRPr="00422CF9" w:rsidRDefault="00422CF9" w:rsidP="00D6796F">
      <w:pPr>
        <w:ind w:firstLine="720"/>
        <w:jc w:val="both"/>
      </w:pPr>
      <w:r w:rsidRPr="00422CF9">
        <w:lastRenderedPageBreak/>
        <w:t xml:space="preserve">Fusion transforms hermeneutics by moving it away from the Enlightenment dream of pure objectivity, where the interpreter supposedly defeats all prejudice and simply reproduces meaning. Gadamer argues that even the attempt to eliminate all prejudice becomes its own prejudice, because interpretation cannot start from nowhere; it begins from fore-meanings that must be examined rather than denied. </w:t>
      </w:r>
    </w:p>
    <w:p w14:paraId="56AD047C" w14:textId="77777777" w:rsidR="00422CF9" w:rsidRPr="00422CF9" w:rsidRDefault="00422CF9" w:rsidP="007060EC">
      <w:pPr>
        <w:ind w:firstLine="720"/>
        <w:jc w:val="both"/>
      </w:pPr>
      <w:r w:rsidRPr="00422CF9">
        <w:t xml:space="preserve">It also transforms hermeneutics by making dialogue central: understanding is modeled on conversation where the “matter itself” is what leads, and the interpreter must let the text or other person question them. </w:t>
      </w:r>
      <w:proofErr w:type="gramStart"/>
      <w:r w:rsidRPr="00422CF9">
        <w:t>So</w:t>
      </w:r>
      <w:proofErr w:type="gramEnd"/>
      <w:r w:rsidRPr="00422CF9">
        <w:t xml:space="preserve"> hermeneutics becomes less like a rigid procedure and more like a disciplined encounter where meaning is produced through interaction of horizons, not extracted like a hidden object. </w:t>
      </w:r>
    </w:p>
    <w:p w14:paraId="341F51B6" w14:textId="636436FB" w:rsidR="007060EC" w:rsidRDefault="007060EC" w:rsidP="00AA7EE8">
      <w:pPr>
        <w:jc w:val="both"/>
      </w:pPr>
      <w:r>
        <w:rPr>
          <w:b/>
          <w:bCs/>
        </w:rPr>
        <w:t>4</w:t>
      </w:r>
      <w:r w:rsidR="00422CF9" w:rsidRPr="00422CF9">
        <w:rPr>
          <w:b/>
          <w:bCs/>
        </w:rPr>
        <w:t>.6 Philosophical significance</w:t>
      </w:r>
    </w:p>
    <w:p w14:paraId="52A45ABA" w14:textId="2247B60A" w:rsidR="00422CF9" w:rsidRPr="00422CF9" w:rsidRDefault="00422CF9" w:rsidP="007060EC">
      <w:pPr>
        <w:ind w:firstLine="720"/>
        <w:jc w:val="both"/>
      </w:pPr>
      <w:r w:rsidRPr="00422CF9">
        <w:t xml:space="preserve">Philosophically, fusion of horizons explains how interpretation can be historical without collapsing into “anything goes.” Horizons are shaped by tradition, but they are also open to revision through encounter; this supports rational growth, because prejudices are tested, refined, and sometimes rejected when the other horizon resists us. </w:t>
      </w:r>
    </w:p>
    <w:p w14:paraId="64BD6F67" w14:textId="77777777" w:rsidR="00422CF9" w:rsidRPr="00422CF9" w:rsidRDefault="00422CF9" w:rsidP="007060EC">
      <w:pPr>
        <w:ind w:firstLine="720"/>
        <w:jc w:val="both"/>
      </w:pPr>
      <w:r w:rsidRPr="00422CF9">
        <w:t xml:space="preserve">It also reframes truth in the human sciences: truth is not only what method verifies, but what emerges when understanding happens as an event in language and history. This is why Gadamer’s approach can speak to politics, law, religion, and culture, where meaning is always connected to interpretation and application, not just detached explanation. </w:t>
      </w:r>
    </w:p>
    <w:p w14:paraId="1E24B32E" w14:textId="2D06E017" w:rsidR="007060EC" w:rsidRDefault="007060EC" w:rsidP="00AA7EE8">
      <w:pPr>
        <w:jc w:val="both"/>
      </w:pPr>
      <w:r>
        <w:rPr>
          <w:b/>
          <w:bCs/>
        </w:rPr>
        <w:t>4</w:t>
      </w:r>
      <w:r w:rsidR="00422CF9" w:rsidRPr="00422CF9">
        <w:rPr>
          <w:b/>
          <w:bCs/>
        </w:rPr>
        <w:t>.7 Practical examples</w:t>
      </w:r>
    </w:p>
    <w:p w14:paraId="7C6F7209" w14:textId="4E0E8582" w:rsidR="00422CF9" w:rsidRPr="00422CF9" w:rsidRDefault="00422CF9" w:rsidP="007060EC">
      <w:pPr>
        <w:ind w:firstLine="720"/>
        <w:jc w:val="both"/>
      </w:pPr>
      <w:r w:rsidRPr="00422CF9">
        <w:t xml:space="preserve">If you read Nigeria’s 1999 Constitution, your horizon includes today’s realities (police trust, elections, federalism debates), while the text’s horizon includes the context of military rule and democratic transition. Fusion of horizons happens when you neither treat the text as a dead relic nor twist it into whatever you like, but let the constitutional tradition “push back” on your assumptions while your present concerns raise new questions that shape how you understand and apply it. This fits Gadamer’s point that understanding is formed through the meeting of interpreter-horizon and text-horizon in a productive dialogue. </w:t>
      </w:r>
    </w:p>
    <w:p w14:paraId="17D15ABE" w14:textId="77777777" w:rsidR="00422CF9" w:rsidRPr="00422CF9" w:rsidRDefault="00422CF9" w:rsidP="007060EC">
      <w:pPr>
        <w:ind w:firstLine="720"/>
        <w:jc w:val="both"/>
      </w:pPr>
      <w:r w:rsidRPr="00422CF9">
        <w:t xml:space="preserve">Or take a campus dispute: a lecturer says “discipline,” students hear “oppression,” and each side’s horizon is already loaded with prior experiences. A Gadamerian approach does not pretend both sides can drop all bias; it pushes each side to make their assumptions explicit, test them in dialogue, and reach a better shared understanding of the issue itself. That is exactly the kind of interpretive openness Gadamer models on genuine dialogue. </w:t>
      </w:r>
    </w:p>
    <w:p w14:paraId="5F6D278E" w14:textId="24CD8D6A" w:rsidR="007060EC" w:rsidRDefault="007060EC" w:rsidP="00AA7EE8">
      <w:pPr>
        <w:jc w:val="both"/>
      </w:pPr>
      <w:r>
        <w:rPr>
          <w:b/>
          <w:bCs/>
        </w:rPr>
        <w:t>4</w:t>
      </w:r>
      <w:r w:rsidR="00422CF9" w:rsidRPr="00422CF9">
        <w:rPr>
          <w:b/>
          <w:bCs/>
        </w:rPr>
        <w:t>.8 Evaluation (presentation, coherence, and scholarly signal)</w:t>
      </w:r>
    </w:p>
    <w:p w14:paraId="237D289F" w14:textId="77777777" w:rsidR="006E308B" w:rsidRDefault="00422CF9" w:rsidP="006E308B">
      <w:pPr>
        <w:ind w:firstLine="720"/>
        <w:jc w:val="both"/>
      </w:pPr>
      <w:r w:rsidRPr="00422CF9">
        <w:t xml:space="preserve">Gadamer’s fusion of horizons is strong because it gives a realistic account of how understanding actually works: we always start from somewhere, and interpretation is shaped by language, history, and tradition, not by a “view from nowhere.” It also gives hermeneutics a clear ethical demand: openness to being corrected in dialogue, not domination of the other. </w:t>
      </w:r>
    </w:p>
    <w:p w14:paraId="2AB6C722" w14:textId="2E44E11F" w:rsidR="00422CF9" w:rsidRPr="00422CF9" w:rsidRDefault="00422CF9" w:rsidP="006E308B">
      <w:pPr>
        <w:ind w:firstLine="720"/>
        <w:jc w:val="both"/>
      </w:pPr>
      <w:r w:rsidRPr="00422CF9">
        <w:t xml:space="preserve">A fair worry is that “dialogue” can be unequal when power is unequal, so fusion can be abused if one horizon forces itself on another. That is why critics push the question of ideology and domination; still, the best reply from within Gadamer is that genuine understanding already includes critique of one’s </w:t>
      </w:r>
      <w:r w:rsidRPr="00422CF9">
        <w:lastRenderedPageBreak/>
        <w:t xml:space="preserve">own prejudices within dialogue, not blind submission to tradition. (Scholarly signal: Gadamer, </w:t>
      </w:r>
      <w:r w:rsidRPr="00422CF9">
        <w:rPr>
          <w:i/>
          <w:iCs/>
        </w:rPr>
        <w:t>Truth and Method</w:t>
      </w:r>
      <w:r w:rsidRPr="00422CF9">
        <w:t xml:space="preserve">; Habermas’s critique is noted in the same discussion tradition.) </w:t>
      </w:r>
    </w:p>
    <w:p w14:paraId="46804363" w14:textId="1C3FD468" w:rsidR="006E308B" w:rsidRDefault="006E308B" w:rsidP="00AA7EE8">
      <w:pPr>
        <w:jc w:val="both"/>
      </w:pPr>
      <w:r>
        <w:rPr>
          <w:b/>
          <w:bCs/>
        </w:rPr>
        <w:t>4</w:t>
      </w:r>
      <w:r w:rsidR="00422CF9" w:rsidRPr="00422CF9">
        <w:rPr>
          <w:b/>
          <w:bCs/>
        </w:rPr>
        <w:t>.9 Conclusion</w:t>
      </w:r>
    </w:p>
    <w:p w14:paraId="2084FD39" w14:textId="026A63B8" w:rsidR="00422CF9" w:rsidRPr="00422CF9" w:rsidRDefault="00422CF9" w:rsidP="006E308B">
      <w:pPr>
        <w:ind w:firstLine="720"/>
        <w:jc w:val="both"/>
      </w:pPr>
      <w:r w:rsidRPr="00422CF9">
        <w:t xml:space="preserve">Fusion of horizons transforms hermeneutics by redefining interpretation as a historical, dialogical event where meaning is produced through the encounter of horizons, guided by tested prejudices and mediated by language. It protects interpretation from both naive objectivism and careless relativism by insisting that understanding grows when the interpreter genuinely meets the other and allows the encounter to reshape their horizon. </w:t>
      </w:r>
    </w:p>
    <w:p w14:paraId="6DD2E496" w14:textId="77777777" w:rsidR="00C76270" w:rsidRDefault="00C76270" w:rsidP="00AA7EE8">
      <w:pPr>
        <w:jc w:val="both"/>
        <w:rPr>
          <w:b/>
          <w:bCs/>
        </w:rPr>
      </w:pPr>
    </w:p>
    <w:p w14:paraId="20D6CD4D" w14:textId="5DFB4FB8" w:rsidR="00CC7BA3" w:rsidRDefault="00C76270" w:rsidP="00C76270">
      <w:pPr>
        <w:jc w:val="center"/>
        <w:rPr>
          <w:b/>
          <w:bCs/>
        </w:rPr>
      </w:pPr>
      <w:r w:rsidRPr="00CC7BA3">
        <w:rPr>
          <w:b/>
          <w:bCs/>
        </w:rPr>
        <w:t>QUESTION 5</w:t>
      </w:r>
      <w:r>
        <w:rPr>
          <w:b/>
          <w:bCs/>
        </w:rPr>
        <w:t xml:space="preserve">: </w:t>
      </w:r>
      <w:r w:rsidRPr="00AF3BBD">
        <w:rPr>
          <w:b/>
          <w:bCs/>
        </w:rPr>
        <w:t>RICOEUR AND GADAMER APPLIED TO AFRICAN SOCIO-POLITICAL REALITIES</w:t>
      </w:r>
    </w:p>
    <w:p w14:paraId="5850DCB9" w14:textId="2D6F968F" w:rsidR="00C76270" w:rsidRDefault="00C76270" w:rsidP="00AA7EE8">
      <w:pPr>
        <w:jc w:val="both"/>
        <w:rPr>
          <w:b/>
          <w:bCs/>
        </w:rPr>
      </w:pPr>
      <w:r>
        <w:rPr>
          <w:b/>
          <w:bCs/>
        </w:rPr>
        <w:t>5</w:t>
      </w:r>
      <w:r w:rsidR="00CC7BA3" w:rsidRPr="00CC7BA3">
        <w:rPr>
          <w:b/>
          <w:bCs/>
        </w:rPr>
        <w:t>.1 Introduction</w:t>
      </w:r>
    </w:p>
    <w:p w14:paraId="5420C1AA" w14:textId="4056ADA8" w:rsidR="00CC7BA3" w:rsidRPr="00CC7BA3" w:rsidRDefault="00CC7BA3" w:rsidP="00C76270">
      <w:pPr>
        <w:ind w:firstLine="720"/>
        <w:jc w:val="both"/>
        <w:rPr>
          <w:b/>
          <w:bCs/>
        </w:rPr>
      </w:pPr>
      <w:r w:rsidRPr="00CC7BA3">
        <w:t>Ricoeur and Gadamer both agree that interpretation is never a neutral “reading off” of meaning, because meaning is mediated by language, history, and human interest. The issue is how to interpret socio-political realities in Africa where public language often carries both genuine claims and hidden motives: should interpretation begin from dialogue with tradition (Gadamer) or from critique that unmasks distortion (Ricoeur)?</w:t>
      </w:r>
    </w:p>
    <w:p w14:paraId="6396088A" w14:textId="77777777" w:rsidR="00C76270" w:rsidRDefault="00C76270" w:rsidP="00AA7EE8">
      <w:pPr>
        <w:jc w:val="both"/>
        <w:rPr>
          <w:b/>
          <w:bCs/>
        </w:rPr>
      </w:pPr>
      <w:r>
        <w:rPr>
          <w:b/>
          <w:bCs/>
        </w:rPr>
        <w:t>5</w:t>
      </w:r>
      <w:r w:rsidR="00CC7BA3" w:rsidRPr="00CC7BA3">
        <w:rPr>
          <w:b/>
          <w:bCs/>
        </w:rPr>
        <w:t>.2 Clarification of Terms</w:t>
      </w:r>
    </w:p>
    <w:p w14:paraId="67AFA00C" w14:textId="53118E89" w:rsidR="00CC7BA3" w:rsidRPr="00CC7BA3" w:rsidRDefault="00CC7BA3" w:rsidP="00C76270">
      <w:pPr>
        <w:ind w:firstLine="720"/>
        <w:jc w:val="both"/>
      </w:pPr>
      <w:r w:rsidRPr="00CC7BA3">
        <w:t>Hermeneutics is the philosophical account of how meaning is understood and interpreted in texts, symbols, practices, and social life. “Suspicion” means reading beneath surface meaning to uncover concealed interests, ideological distortions, or self-deception; “philosophical hermeneutics” means understanding as a historically situated dialogue shaped by language and tradition.</w:t>
      </w:r>
    </w:p>
    <w:p w14:paraId="579BE418" w14:textId="77777777" w:rsidR="00CC7BA3" w:rsidRPr="00CC7BA3" w:rsidRDefault="00CC7BA3" w:rsidP="00C76270">
      <w:pPr>
        <w:ind w:firstLine="720"/>
        <w:jc w:val="both"/>
      </w:pPr>
      <w:r w:rsidRPr="00CC7BA3">
        <w:t>A “horizon” is the interpreter’s range of vision shaped by history and culture; “fusion of horizons” is the widening that happens when the interpreter’s horizon meets the horizon of a text or tradition in genuine engagement. “Ideology” here means meaning used to conceal power relations; “application” means interpretation that speaks to a present situation, not only to the past.</w:t>
      </w:r>
    </w:p>
    <w:p w14:paraId="407FBF79" w14:textId="0357D149" w:rsidR="00C76270" w:rsidRDefault="00C76270" w:rsidP="00AA7EE8">
      <w:pPr>
        <w:jc w:val="both"/>
        <w:rPr>
          <w:b/>
          <w:bCs/>
        </w:rPr>
      </w:pPr>
      <w:r>
        <w:rPr>
          <w:b/>
          <w:bCs/>
        </w:rPr>
        <w:t>5</w:t>
      </w:r>
      <w:r w:rsidR="00CC7BA3" w:rsidRPr="00CC7BA3">
        <w:rPr>
          <w:b/>
          <w:bCs/>
        </w:rPr>
        <w:t>.3 Brief biographical note and influences</w:t>
      </w:r>
    </w:p>
    <w:p w14:paraId="5F42DC4A" w14:textId="61EF9DA5" w:rsidR="00CC7BA3" w:rsidRPr="00CC7BA3" w:rsidRDefault="00CC7BA3" w:rsidP="00C76270">
      <w:pPr>
        <w:ind w:firstLine="720"/>
        <w:jc w:val="both"/>
        <w:rPr>
          <w:b/>
          <w:bCs/>
        </w:rPr>
      </w:pPr>
      <w:r w:rsidRPr="00CC7BA3">
        <w:t>Paul Ricoeur (1913–2005) works within phenomenology but emphasizes interpretation because human self-understanding is indirect and mediated by symbols. He is shaped by Freud, Marx, and Nietzsche, whose critiques teach that surface meaning can function as disguise.</w:t>
      </w:r>
    </w:p>
    <w:p w14:paraId="2309F381" w14:textId="77777777" w:rsidR="00CC7BA3" w:rsidRPr="00CC7BA3" w:rsidRDefault="00CC7BA3" w:rsidP="0069788E">
      <w:pPr>
        <w:ind w:firstLine="720"/>
        <w:jc w:val="both"/>
      </w:pPr>
      <w:r w:rsidRPr="00CC7BA3">
        <w:t xml:space="preserve">Hans-Georg Gadamer (1900–2002), working after Heidegger, argues in </w:t>
      </w:r>
      <w:r w:rsidRPr="00CC7BA3">
        <w:rPr>
          <w:i/>
          <w:iCs/>
        </w:rPr>
        <w:t>Truth and Method</w:t>
      </w:r>
      <w:r w:rsidRPr="00CC7BA3">
        <w:t xml:space="preserve"> that understanding is historically </w:t>
      </w:r>
      <w:proofErr w:type="gramStart"/>
      <w:r w:rsidRPr="00CC7BA3">
        <w:t>effected</w:t>
      </w:r>
      <w:proofErr w:type="gramEnd"/>
      <w:r w:rsidRPr="00CC7BA3">
        <w:t xml:space="preserve"> and dialogical, grounded in language, tradition, and the interpreter’s fore-meanings rather than in a fixed scientific method.</w:t>
      </w:r>
    </w:p>
    <w:p w14:paraId="539328D0" w14:textId="20FB36C9" w:rsidR="0069788E" w:rsidRDefault="0069788E" w:rsidP="00AA7EE8">
      <w:pPr>
        <w:jc w:val="both"/>
        <w:rPr>
          <w:b/>
          <w:bCs/>
        </w:rPr>
      </w:pPr>
      <w:r>
        <w:rPr>
          <w:b/>
          <w:bCs/>
        </w:rPr>
        <w:t>5</w:t>
      </w:r>
      <w:r w:rsidR="00CC7BA3" w:rsidRPr="00CC7BA3">
        <w:rPr>
          <w:b/>
          <w:bCs/>
        </w:rPr>
        <w:t>.4 Ricoeur’s hermeneutics of suspicion</w:t>
      </w:r>
    </w:p>
    <w:p w14:paraId="5F2C2DE3" w14:textId="27250DE7" w:rsidR="00CC7BA3" w:rsidRPr="00CC7BA3" w:rsidRDefault="00CC7BA3" w:rsidP="0069788E">
      <w:pPr>
        <w:ind w:firstLine="720"/>
        <w:jc w:val="both"/>
        <w:rPr>
          <w:b/>
          <w:bCs/>
        </w:rPr>
      </w:pPr>
      <w:r w:rsidRPr="00CC7BA3">
        <w:t>Ricoeur holds that many cultural and political meanings are “double”: they express something but may also hide something. For this reason, interpretation cannot begin with trust alone; it must also ask what interests are at work behind noble language, what fears are being exploited, and what realities are being covered.</w:t>
      </w:r>
    </w:p>
    <w:p w14:paraId="3CE950DB" w14:textId="77777777" w:rsidR="00CC7BA3" w:rsidRPr="00CC7BA3" w:rsidRDefault="00CC7BA3" w:rsidP="00397ABE">
      <w:pPr>
        <w:ind w:firstLine="720"/>
        <w:jc w:val="both"/>
      </w:pPr>
      <w:r w:rsidRPr="00CC7BA3">
        <w:lastRenderedPageBreak/>
        <w:t xml:space="preserve">In </w:t>
      </w:r>
      <w:r w:rsidRPr="00CC7BA3">
        <w:rPr>
          <w:i/>
          <w:iCs/>
        </w:rPr>
        <w:t>Freud and Philosophy</w:t>
      </w:r>
      <w:r w:rsidRPr="00CC7BA3">
        <w:t>, Ricoeur describes a hermeneutics of suspicion as an unmasking style of interpretation that exposes illusion, false consciousness, and hidden desire. Suspicion is therefore a critical posture: it treats surface meaning as potentially deceptive, and it tries to recover what is concealed by rhetoric and symbols.</w:t>
      </w:r>
    </w:p>
    <w:p w14:paraId="5DCFB0E8" w14:textId="1CFAB088" w:rsidR="00CC7BA3" w:rsidRPr="00CC7BA3" w:rsidRDefault="00397ABE" w:rsidP="00AA7EE8">
      <w:pPr>
        <w:jc w:val="both"/>
        <w:rPr>
          <w:b/>
          <w:bCs/>
        </w:rPr>
      </w:pPr>
      <w:r>
        <w:rPr>
          <w:b/>
          <w:bCs/>
        </w:rPr>
        <w:t>5</w:t>
      </w:r>
      <w:r w:rsidR="00CC7BA3" w:rsidRPr="00CC7BA3">
        <w:rPr>
          <w:b/>
          <w:bCs/>
        </w:rPr>
        <w:t>.5 Gadamer’s philosophical hermeneutics</w:t>
      </w:r>
    </w:p>
    <w:p w14:paraId="03C29BD6" w14:textId="77777777" w:rsidR="00CC7BA3" w:rsidRPr="00CC7BA3" w:rsidRDefault="00CC7BA3" w:rsidP="00397ABE">
      <w:pPr>
        <w:ind w:firstLine="720"/>
        <w:jc w:val="both"/>
      </w:pPr>
      <w:r w:rsidRPr="00CC7BA3">
        <w:t>Gadamer argues that understanding is always shaped by history, language, and what he calls “prejudices,” meaning the fore-judgments that make inquiry possible. The problem is not that we have prejudices; the problem is refusing to test them. Understanding becomes responsible when the interpreter admits their situatedness and becomes open to correction.</w:t>
      </w:r>
    </w:p>
    <w:p w14:paraId="5BE11544" w14:textId="77777777" w:rsidR="00CC7BA3" w:rsidRPr="00CC7BA3" w:rsidRDefault="00CC7BA3" w:rsidP="00C160D9">
      <w:pPr>
        <w:ind w:firstLine="720"/>
        <w:jc w:val="both"/>
      </w:pPr>
      <w:r w:rsidRPr="00CC7BA3">
        <w:t>“Fusion of horizons” describes the event in which the interpreter’s present horizon meets the horizon of the text or tradition, and a widened understanding emerges. Interpretation is therefore not mainly reproducing an original meaning but entering a dialogue in which the matter itself addresses the interpreter and changes how the interpreter sees.</w:t>
      </w:r>
    </w:p>
    <w:p w14:paraId="64F9B834" w14:textId="55FC0C9B" w:rsidR="00CC7BA3" w:rsidRPr="00CC7BA3" w:rsidRDefault="00C160D9" w:rsidP="00AA7EE8">
      <w:pPr>
        <w:jc w:val="both"/>
        <w:rPr>
          <w:b/>
          <w:bCs/>
        </w:rPr>
      </w:pPr>
      <w:r>
        <w:rPr>
          <w:b/>
          <w:bCs/>
        </w:rPr>
        <w:t>5</w:t>
      </w:r>
      <w:r w:rsidR="00CC7BA3" w:rsidRPr="00CC7BA3">
        <w:rPr>
          <w:b/>
          <w:bCs/>
        </w:rPr>
        <w:t>.6 Analytical comparison of both approaches</w:t>
      </w:r>
    </w:p>
    <w:p w14:paraId="5B1C8F4F" w14:textId="77777777" w:rsidR="00CC7BA3" w:rsidRPr="00CC7BA3" w:rsidRDefault="00CC7BA3" w:rsidP="00C160D9">
      <w:pPr>
        <w:ind w:firstLine="720"/>
        <w:jc w:val="both"/>
      </w:pPr>
      <w:r w:rsidRPr="00CC7BA3">
        <w:t xml:space="preserve">Both thinkers reject the fantasy of interpretation without standpoint. Ricoeur rejects it because language and symbols can hide motives and distort self-understanding; Gadamer rejects it because understanding is always historically </w:t>
      </w:r>
      <w:proofErr w:type="gramStart"/>
      <w:r w:rsidRPr="00CC7BA3">
        <w:t>effected</w:t>
      </w:r>
      <w:proofErr w:type="gramEnd"/>
      <w:r w:rsidRPr="00CC7BA3">
        <w:t xml:space="preserve"> and mediated by tradition and language.</w:t>
      </w:r>
    </w:p>
    <w:p w14:paraId="71B2C388" w14:textId="77777777" w:rsidR="00CC7BA3" w:rsidRPr="00CC7BA3" w:rsidRDefault="00CC7BA3" w:rsidP="00A779F2">
      <w:pPr>
        <w:ind w:firstLine="720"/>
        <w:jc w:val="both"/>
      </w:pPr>
      <w:r w:rsidRPr="00CC7BA3">
        <w:t>Their difference is emphasis. Ricoeur begins from critique: interpretation must unmask ideology and hidden interest behind surface meaning. Gadamer begins from dialogue: interpretation aims at understanding through openness and fusion, with critique occurring within that dialogical testing of prejudices. Ricoeur’s strength is sharper ideological diagnosis; Gadamer’s strength is stronger account of shared understanding and application.</w:t>
      </w:r>
    </w:p>
    <w:p w14:paraId="72041F94" w14:textId="5891364A" w:rsidR="00CC7BA3" w:rsidRPr="00CC7BA3" w:rsidRDefault="00A779F2" w:rsidP="00AA7EE8">
      <w:pPr>
        <w:jc w:val="both"/>
        <w:rPr>
          <w:b/>
          <w:bCs/>
        </w:rPr>
      </w:pPr>
      <w:r>
        <w:rPr>
          <w:b/>
          <w:bCs/>
        </w:rPr>
        <w:t>5</w:t>
      </w:r>
      <w:r w:rsidR="00CC7BA3" w:rsidRPr="00CC7BA3">
        <w:rPr>
          <w:b/>
          <w:bCs/>
        </w:rPr>
        <w:t>.7 Relevance to African socio-political realities</w:t>
      </w:r>
    </w:p>
    <w:p w14:paraId="233C759E" w14:textId="77777777" w:rsidR="00CC7BA3" w:rsidRPr="00CC7BA3" w:rsidRDefault="00CC7BA3" w:rsidP="00A779F2">
      <w:pPr>
        <w:ind w:firstLine="720"/>
        <w:jc w:val="both"/>
      </w:pPr>
      <w:r w:rsidRPr="00CC7BA3">
        <w:t>Ricoeur is often more immediately useful for African socio-political interpretation because public language frequently functions as camouflage. When a politician invokes “national unity,” “security,” or “development,” suspicion asks concrete questions: who benefits, who is excluded, what failures are being covered, what emotions are being mobilized, and what power arrangements are being protected. This is vital in contexts where propaganda, ethnic scapegoating, religious manipulation, and selective anti-corruption talk can turn language into a tool of control.</w:t>
      </w:r>
    </w:p>
    <w:p w14:paraId="6178E3D2" w14:textId="77777777" w:rsidR="00CC7BA3" w:rsidRPr="00CC7BA3" w:rsidRDefault="00CC7BA3" w:rsidP="00F23FE4">
      <w:pPr>
        <w:ind w:firstLine="720"/>
        <w:jc w:val="both"/>
      </w:pPr>
      <w:r w:rsidRPr="00CC7BA3">
        <w:t>Gadamer becomes crucial when the task is not only to expose manipulation but to interpret traditions and institutions in ways that can guide collective life. In constitutional disputes, communal conflicts, or debates about customary authority, different groups approach the same issue with different horizons shaped by history and experience. Fusion of horizons frames interpretation as the work of bringing these horizons into dialogue so that a more adequate shared meaning can emerge, rather than leaving society in permanent suspicion and fragmentation.</w:t>
      </w:r>
    </w:p>
    <w:p w14:paraId="75C8DCAE" w14:textId="77777777" w:rsidR="00CC7BA3" w:rsidRPr="00CC7BA3" w:rsidRDefault="00CC7BA3" w:rsidP="00AA7EE8">
      <w:pPr>
        <w:jc w:val="both"/>
        <w:rPr>
          <w:b/>
          <w:bCs/>
        </w:rPr>
      </w:pPr>
      <w:r w:rsidRPr="00CC7BA3">
        <w:rPr>
          <w:b/>
          <w:bCs/>
        </w:rPr>
        <w:t>6.8 Evaluation</w:t>
      </w:r>
    </w:p>
    <w:p w14:paraId="35C706E8" w14:textId="77777777" w:rsidR="00CC7BA3" w:rsidRPr="00CC7BA3" w:rsidRDefault="00CC7BA3" w:rsidP="00B862E5">
      <w:pPr>
        <w:ind w:firstLine="720"/>
        <w:jc w:val="both"/>
      </w:pPr>
      <w:r w:rsidRPr="00CC7BA3">
        <w:lastRenderedPageBreak/>
        <w:t>If a single approach must be chosen for interpreting African socio-political realities, Ricoeur’s suspicion is the stronger first tool because it directly targets ideology, distortion, and the gap between public speech and real interests. It prevents naive acceptance and forces interpretation to confront power.</w:t>
      </w:r>
    </w:p>
    <w:p w14:paraId="2F60CA53" w14:textId="77777777" w:rsidR="00CC7BA3" w:rsidRPr="00CC7BA3" w:rsidRDefault="00CC7BA3" w:rsidP="00B862E5">
      <w:pPr>
        <w:ind w:firstLine="720"/>
        <w:jc w:val="both"/>
      </w:pPr>
      <w:r w:rsidRPr="00CC7BA3">
        <w:t>However, suspicion alone can harden into cynicism if it never moves beyond unmasking. Gadamer’s contribution is therefore necessary: after critique, interpretation must also rebuild meaning through dialogue, application, and the testing of prejudices, otherwise social understanding collapses into distrust with no constructive outcome.</w:t>
      </w:r>
    </w:p>
    <w:p w14:paraId="5B54D848" w14:textId="756CFEAD" w:rsidR="00B862E5" w:rsidRDefault="00B862E5" w:rsidP="00AA7EE8">
      <w:pPr>
        <w:jc w:val="both"/>
        <w:rPr>
          <w:b/>
          <w:bCs/>
        </w:rPr>
      </w:pPr>
      <w:r>
        <w:rPr>
          <w:b/>
          <w:bCs/>
        </w:rPr>
        <w:t>5</w:t>
      </w:r>
      <w:r w:rsidR="00CC7BA3" w:rsidRPr="00CC7BA3">
        <w:rPr>
          <w:b/>
          <w:bCs/>
        </w:rPr>
        <w:t>.9 Conclusion</w:t>
      </w:r>
    </w:p>
    <w:p w14:paraId="0F0EC6D7" w14:textId="1463FFB1" w:rsidR="00CC7BA3" w:rsidRPr="00CC7BA3" w:rsidRDefault="00CC7BA3" w:rsidP="00B862E5">
      <w:pPr>
        <w:ind w:firstLine="720"/>
        <w:jc w:val="both"/>
        <w:rPr>
          <w:b/>
          <w:bCs/>
        </w:rPr>
      </w:pPr>
      <w:r w:rsidRPr="00CC7BA3">
        <w:t>Ricoeur’s hermeneutics of suspicion is more immediately effective for African socio-political interpretation because it exposes hidden interests and ideological deception in public life. Yet Gadamer’s fusion of horizons remains indispensable for restoring shared understanding across divided histories and competing traditions. The most defensible judgement is suspicion for critique, and fusion of horizons for reconstruction.</w:t>
      </w:r>
    </w:p>
    <w:p w14:paraId="3453FFD1" w14:textId="77777777" w:rsidR="00CC7BA3" w:rsidRPr="00CC7BA3" w:rsidRDefault="00CC7BA3" w:rsidP="00AA7EE8">
      <w:pPr>
        <w:jc w:val="both"/>
      </w:pPr>
    </w:p>
    <w:sectPr w:rsidR="00CC7BA3" w:rsidRPr="00CC7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A92406"/>
    <w:multiLevelType w:val="multilevel"/>
    <w:tmpl w:val="7B0A92C8"/>
    <w:lvl w:ilvl="0">
      <w:start w:val="2"/>
      <w:numFmt w:val="decimal"/>
      <w:lvlText w:val="%1"/>
      <w:lvlJc w:val="left"/>
      <w:pPr>
        <w:ind w:left="360" w:hanging="360"/>
      </w:pPr>
      <w:rPr>
        <w:rFonts w:hint="default"/>
        <w:b/>
      </w:rPr>
    </w:lvl>
    <w:lvl w:ilvl="1">
      <w:start w:val="9"/>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63476D90"/>
    <w:multiLevelType w:val="multilevel"/>
    <w:tmpl w:val="B05AE65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1439108561">
    <w:abstractNumId w:val="1"/>
  </w:num>
  <w:num w:numId="2" w16cid:durableId="90167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83"/>
    <w:rsid w:val="000559FA"/>
    <w:rsid w:val="0009324D"/>
    <w:rsid w:val="000D6A18"/>
    <w:rsid w:val="00121777"/>
    <w:rsid w:val="0016667E"/>
    <w:rsid w:val="00241C64"/>
    <w:rsid w:val="00267FB7"/>
    <w:rsid w:val="002E2FBE"/>
    <w:rsid w:val="00397ABE"/>
    <w:rsid w:val="00422CF9"/>
    <w:rsid w:val="00470B26"/>
    <w:rsid w:val="0048669C"/>
    <w:rsid w:val="004C0700"/>
    <w:rsid w:val="005307B8"/>
    <w:rsid w:val="00546224"/>
    <w:rsid w:val="005F558A"/>
    <w:rsid w:val="00626A33"/>
    <w:rsid w:val="0068493F"/>
    <w:rsid w:val="0069788E"/>
    <w:rsid w:val="006D0B47"/>
    <w:rsid w:val="006E308B"/>
    <w:rsid w:val="00705F80"/>
    <w:rsid w:val="007060EC"/>
    <w:rsid w:val="00787C1B"/>
    <w:rsid w:val="008146AE"/>
    <w:rsid w:val="009A26A4"/>
    <w:rsid w:val="009E1BF8"/>
    <w:rsid w:val="009F12BA"/>
    <w:rsid w:val="00A4445E"/>
    <w:rsid w:val="00A779F2"/>
    <w:rsid w:val="00A83D83"/>
    <w:rsid w:val="00A85E93"/>
    <w:rsid w:val="00AA7EE8"/>
    <w:rsid w:val="00AD3B65"/>
    <w:rsid w:val="00B503D8"/>
    <w:rsid w:val="00B862E5"/>
    <w:rsid w:val="00B86D88"/>
    <w:rsid w:val="00BA3526"/>
    <w:rsid w:val="00C160D9"/>
    <w:rsid w:val="00C747C3"/>
    <w:rsid w:val="00C76270"/>
    <w:rsid w:val="00C767D7"/>
    <w:rsid w:val="00CA0B6D"/>
    <w:rsid w:val="00CC7BA3"/>
    <w:rsid w:val="00CF30C9"/>
    <w:rsid w:val="00D057B2"/>
    <w:rsid w:val="00D52343"/>
    <w:rsid w:val="00D64F36"/>
    <w:rsid w:val="00D6796F"/>
    <w:rsid w:val="00D81A4E"/>
    <w:rsid w:val="00E24760"/>
    <w:rsid w:val="00E362F4"/>
    <w:rsid w:val="00E95320"/>
    <w:rsid w:val="00EA7D12"/>
    <w:rsid w:val="00EE435F"/>
    <w:rsid w:val="00F108DF"/>
    <w:rsid w:val="00F23FE4"/>
    <w:rsid w:val="00F75AD0"/>
    <w:rsid w:val="00FA360E"/>
    <w:rsid w:val="00FE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B67A"/>
  <w15:chartTrackingRefBased/>
  <w15:docId w15:val="{B1C79203-E87C-42A1-BDA1-66432E45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B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538032">
      <w:bodyDiv w:val="1"/>
      <w:marLeft w:val="0"/>
      <w:marRight w:val="0"/>
      <w:marTop w:val="0"/>
      <w:marBottom w:val="0"/>
      <w:divBdr>
        <w:top w:val="none" w:sz="0" w:space="0" w:color="auto"/>
        <w:left w:val="none" w:sz="0" w:space="0" w:color="auto"/>
        <w:bottom w:val="none" w:sz="0" w:space="0" w:color="auto"/>
        <w:right w:val="none" w:sz="0" w:space="0" w:color="auto"/>
      </w:divBdr>
    </w:div>
    <w:div w:id="570116014">
      <w:bodyDiv w:val="1"/>
      <w:marLeft w:val="0"/>
      <w:marRight w:val="0"/>
      <w:marTop w:val="0"/>
      <w:marBottom w:val="0"/>
      <w:divBdr>
        <w:top w:val="none" w:sz="0" w:space="0" w:color="auto"/>
        <w:left w:val="none" w:sz="0" w:space="0" w:color="auto"/>
        <w:bottom w:val="none" w:sz="0" w:space="0" w:color="auto"/>
        <w:right w:val="none" w:sz="0" w:space="0" w:color="auto"/>
      </w:divBdr>
      <w:divsChild>
        <w:div w:id="33817710">
          <w:marLeft w:val="0"/>
          <w:marRight w:val="0"/>
          <w:marTop w:val="0"/>
          <w:marBottom w:val="0"/>
          <w:divBdr>
            <w:top w:val="none" w:sz="0" w:space="0" w:color="auto"/>
            <w:left w:val="none" w:sz="0" w:space="0" w:color="auto"/>
            <w:bottom w:val="none" w:sz="0" w:space="0" w:color="auto"/>
            <w:right w:val="none" w:sz="0" w:space="0" w:color="auto"/>
          </w:divBdr>
          <w:divsChild>
            <w:div w:id="1744524437">
              <w:marLeft w:val="0"/>
              <w:marRight w:val="0"/>
              <w:marTop w:val="0"/>
              <w:marBottom w:val="0"/>
              <w:divBdr>
                <w:top w:val="none" w:sz="0" w:space="0" w:color="auto"/>
                <w:left w:val="none" w:sz="0" w:space="0" w:color="auto"/>
                <w:bottom w:val="none" w:sz="0" w:space="0" w:color="auto"/>
                <w:right w:val="none" w:sz="0" w:space="0" w:color="auto"/>
              </w:divBdr>
              <w:divsChild>
                <w:div w:id="1958874663">
                  <w:marLeft w:val="0"/>
                  <w:marRight w:val="0"/>
                  <w:marTop w:val="0"/>
                  <w:marBottom w:val="0"/>
                  <w:divBdr>
                    <w:top w:val="none" w:sz="0" w:space="0" w:color="auto"/>
                    <w:left w:val="none" w:sz="0" w:space="0" w:color="auto"/>
                    <w:bottom w:val="none" w:sz="0" w:space="0" w:color="auto"/>
                    <w:right w:val="none" w:sz="0" w:space="0" w:color="auto"/>
                  </w:divBdr>
                  <w:divsChild>
                    <w:div w:id="2010132987">
                      <w:marLeft w:val="0"/>
                      <w:marRight w:val="0"/>
                      <w:marTop w:val="0"/>
                      <w:marBottom w:val="0"/>
                      <w:divBdr>
                        <w:top w:val="none" w:sz="0" w:space="0" w:color="auto"/>
                        <w:left w:val="none" w:sz="0" w:space="0" w:color="auto"/>
                        <w:bottom w:val="none" w:sz="0" w:space="0" w:color="auto"/>
                        <w:right w:val="none" w:sz="0" w:space="0" w:color="auto"/>
                      </w:divBdr>
                      <w:divsChild>
                        <w:div w:id="1581208268">
                          <w:marLeft w:val="0"/>
                          <w:marRight w:val="0"/>
                          <w:marTop w:val="0"/>
                          <w:marBottom w:val="0"/>
                          <w:divBdr>
                            <w:top w:val="none" w:sz="0" w:space="0" w:color="auto"/>
                            <w:left w:val="none" w:sz="0" w:space="0" w:color="auto"/>
                            <w:bottom w:val="none" w:sz="0" w:space="0" w:color="auto"/>
                            <w:right w:val="none" w:sz="0" w:space="0" w:color="auto"/>
                          </w:divBdr>
                          <w:divsChild>
                            <w:div w:id="9387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23273">
          <w:marLeft w:val="0"/>
          <w:marRight w:val="0"/>
          <w:marTop w:val="0"/>
          <w:marBottom w:val="0"/>
          <w:divBdr>
            <w:top w:val="none" w:sz="0" w:space="0" w:color="auto"/>
            <w:left w:val="none" w:sz="0" w:space="0" w:color="auto"/>
            <w:bottom w:val="none" w:sz="0" w:space="0" w:color="auto"/>
            <w:right w:val="none" w:sz="0" w:space="0" w:color="auto"/>
          </w:divBdr>
          <w:divsChild>
            <w:div w:id="553662327">
              <w:marLeft w:val="0"/>
              <w:marRight w:val="0"/>
              <w:marTop w:val="0"/>
              <w:marBottom w:val="0"/>
              <w:divBdr>
                <w:top w:val="none" w:sz="0" w:space="0" w:color="auto"/>
                <w:left w:val="none" w:sz="0" w:space="0" w:color="auto"/>
                <w:bottom w:val="none" w:sz="0" w:space="0" w:color="auto"/>
                <w:right w:val="none" w:sz="0" w:space="0" w:color="auto"/>
              </w:divBdr>
              <w:divsChild>
                <w:div w:id="2057195927">
                  <w:marLeft w:val="0"/>
                  <w:marRight w:val="0"/>
                  <w:marTop w:val="0"/>
                  <w:marBottom w:val="0"/>
                  <w:divBdr>
                    <w:top w:val="none" w:sz="0" w:space="0" w:color="auto"/>
                    <w:left w:val="none" w:sz="0" w:space="0" w:color="auto"/>
                    <w:bottom w:val="none" w:sz="0" w:space="0" w:color="auto"/>
                    <w:right w:val="none" w:sz="0" w:space="0" w:color="auto"/>
                  </w:divBdr>
                  <w:divsChild>
                    <w:div w:id="1427576927">
                      <w:marLeft w:val="0"/>
                      <w:marRight w:val="0"/>
                      <w:marTop w:val="0"/>
                      <w:marBottom w:val="0"/>
                      <w:divBdr>
                        <w:top w:val="none" w:sz="0" w:space="0" w:color="auto"/>
                        <w:left w:val="none" w:sz="0" w:space="0" w:color="auto"/>
                        <w:bottom w:val="none" w:sz="0" w:space="0" w:color="auto"/>
                        <w:right w:val="none" w:sz="0" w:space="0" w:color="auto"/>
                      </w:divBdr>
                      <w:divsChild>
                        <w:div w:id="400834667">
                          <w:marLeft w:val="0"/>
                          <w:marRight w:val="0"/>
                          <w:marTop w:val="0"/>
                          <w:marBottom w:val="0"/>
                          <w:divBdr>
                            <w:top w:val="none" w:sz="0" w:space="0" w:color="auto"/>
                            <w:left w:val="none" w:sz="0" w:space="0" w:color="auto"/>
                            <w:bottom w:val="none" w:sz="0" w:space="0" w:color="auto"/>
                            <w:right w:val="none" w:sz="0" w:space="0" w:color="auto"/>
                          </w:divBdr>
                          <w:divsChild>
                            <w:div w:id="1518696821">
                              <w:marLeft w:val="0"/>
                              <w:marRight w:val="0"/>
                              <w:marTop w:val="0"/>
                              <w:marBottom w:val="0"/>
                              <w:divBdr>
                                <w:top w:val="none" w:sz="0" w:space="0" w:color="auto"/>
                                <w:left w:val="none" w:sz="0" w:space="0" w:color="auto"/>
                                <w:bottom w:val="none" w:sz="0" w:space="0" w:color="auto"/>
                                <w:right w:val="none" w:sz="0" w:space="0" w:color="auto"/>
                              </w:divBdr>
                              <w:divsChild>
                                <w:div w:id="20401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038811">
          <w:marLeft w:val="0"/>
          <w:marRight w:val="0"/>
          <w:marTop w:val="0"/>
          <w:marBottom w:val="0"/>
          <w:divBdr>
            <w:top w:val="none" w:sz="0" w:space="0" w:color="auto"/>
            <w:left w:val="none" w:sz="0" w:space="0" w:color="auto"/>
            <w:bottom w:val="none" w:sz="0" w:space="0" w:color="auto"/>
            <w:right w:val="none" w:sz="0" w:space="0" w:color="auto"/>
          </w:divBdr>
          <w:divsChild>
            <w:div w:id="840513585">
              <w:marLeft w:val="0"/>
              <w:marRight w:val="0"/>
              <w:marTop w:val="0"/>
              <w:marBottom w:val="0"/>
              <w:divBdr>
                <w:top w:val="none" w:sz="0" w:space="0" w:color="auto"/>
                <w:left w:val="none" w:sz="0" w:space="0" w:color="auto"/>
                <w:bottom w:val="none" w:sz="0" w:space="0" w:color="auto"/>
                <w:right w:val="none" w:sz="0" w:space="0" w:color="auto"/>
              </w:divBdr>
              <w:divsChild>
                <w:div w:id="913734459">
                  <w:marLeft w:val="0"/>
                  <w:marRight w:val="0"/>
                  <w:marTop w:val="0"/>
                  <w:marBottom w:val="0"/>
                  <w:divBdr>
                    <w:top w:val="none" w:sz="0" w:space="0" w:color="auto"/>
                    <w:left w:val="none" w:sz="0" w:space="0" w:color="auto"/>
                    <w:bottom w:val="none" w:sz="0" w:space="0" w:color="auto"/>
                    <w:right w:val="none" w:sz="0" w:space="0" w:color="auto"/>
                  </w:divBdr>
                  <w:divsChild>
                    <w:div w:id="119154719">
                      <w:marLeft w:val="0"/>
                      <w:marRight w:val="0"/>
                      <w:marTop w:val="0"/>
                      <w:marBottom w:val="0"/>
                      <w:divBdr>
                        <w:top w:val="none" w:sz="0" w:space="0" w:color="auto"/>
                        <w:left w:val="none" w:sz="0" w:space="0" w:color="auto"/>
                        <w:bottom w:val="none" w:sz="0" w:space="0" w:color="auto"/>
                        <w:right w:val="none" w:sz="0" w:space="0" w:color="auto"/>
                      </w:divBdr>
                      <w:divsChild>
                        <w:div w:id="1855848528">
                          <w:marLeft w:val="0"/>
                          <w:marRight w:val="0"/>
                          <w:marTop w:val="0"/>
                          <w:marBottom w:val="0"/>
                          <w:divBdr>
                            <w:top w:val="none" w:sz="0" w:space="0" w:color="auto"/>
                            <w:left w:val="none" w:sz="0" w:space="0" w:color="auto"/>
                            <w:bottom w:val="none" w:sz="0" w:space="0" w:color="auto"/>
                            <w:right w:val="none" w:sz="0" w:space="0" w:color="auto"/>
                          </w:divBdr>
                          <w:divsChild>
                            <w:div w:id="7682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526603">
      <w:bodyDiv w:val="1"/>
      <w:marLeft w:val="0"/>
      <w:marRight w:val="0"/>
      <w:marTop w:val="0"/>
      <w:marBottom w:val="0"/>
      <w:divBdr>
        <w:top w:val="none" w:sz="0" w:space="0" w:color="auto"/>
        <w:left w:val="none" w:sz="0" w:space="0" w:color="auto"/>
        <w:bottom w:val="none" w:sz="0" w:space="0" w:color="auto"/>
        <w:right w:val="none" w:sz="0" w:space="0" w:color="auto"/>
      </w:divBdr>
    </w:div>
    <w:div w:id="1178883427">
      <w:bodyDiv w:val="1"/>
      <w:marLeft w:val="0"/>
      <w:marRight w:val="0"/>
      <w:marTop w:val="0"/>
      <w:marBottom w:val="0"/>
      <w:divBdr>
        <w:top w:val="none" w:sz="0" w:space="0" w:color="auto"/>
        <w:left w:val="none" w:sz="0" w:space="0" w:color="auto"/>
        <w:bottom w:val="none" w:sz="0" w:space="0" w:color="auto"/>
        <w:right w:val="none" w:sz="0" w:space="0" w:color="auto"/>
      </w:divBdr>
      <w:divsChild>
        <w:div w:id="372077470">
          <w:marLeft w:val="0"/>
          <w:marRight w:val="0"/>
          <w:marTop w:val="0"/>
          <w:marBottom w:val="0"/>
          <w:divBdr>
            <w:top w:val="none" w:sz="0" w:space="0" w:color="auto"/>
            <w:left w:val="none" w:sz="0" w:space="0" w:color="auto"/>
            <w:bottom w:val="none" w:sz="0" w:space="0" w:color="auto"/>
            <w:right w:val="none" w:sz="0" w:space="0" w:color="auto"/>
          </w:divBdr>
          <w:divsChild>
            <w:div w:id="2035033331">
              <w:marLeft w:val="0"/>
              <w:marRight w:val="0"/>
              <w:marTop w:val="0"/>
              <w:marBottom w:val="0"/>
              <w:divBdr>
                <w:top w:val="none" w:sz="0" w:space="0" w:color="auto"/>
                <w:left w:val="none" w:sz="0" w:space="0" w:color="auto"/>
                <w:bottom w:val="none" w:sz="0" w:space="0" w:color="auto"/>
                <w:right w:val="none" w:sz="0" w:space="0" w:color="auto"/>
              </w:divBdr>
              <w:divsChild>
                <w:div w:id="97649140">
                  <w:marLeft w:val="0"/>
                  <w:marRight w:val="0"/>
                  <w:marTop w:val="0"/>
                  <w:marBottom w:val="0"/>
                  <w:divBdr>
                    <w:top w:val="none" w:sz="0" w:space="0" w:color="auto"/>
                    <w:left w:val="none" w:sz="0" w:space="0" w:color="auto"/>
                    <w:bottom w:val="none" w:sz="0" w:space="0" w:color="auto"/>
                    <w:right w:val="none" w:sz="0" w:space="0" w:color="auto"/>
                  </w:divBdr>
                  <w:divsChild>
                    <w:div w:id="1239707909">
                      <w:marLeft w:val="0"/>
                      <w:marRight w:val="0"/>
                      <w:marTop w:val="0"/>
                      <w:marBottom w:val="0"/>
                      <w:divBdr>
                        <w:top w:val="none" w:sz="0" w:space="0" w:color="auto"/>
                        <w:left w:val="none" w:sz="0" w:space="0" w:color="auto"/>
                        <w:bottom w:val="none" w:sz="0" w:space="0" w:color="auto"/>
                        <w:right w:val="none" w:sz="0" w:space="0" w:color="auto"/>
                      </w:divBdr>
                      <w:divsChild>
                        <w:div w:id="1117261683">
                          <w:marLeft w:val="0"/>
                          <w:marRight w:val="0"/>
                          <w:marTop w:val="0"/>
                          <w:marBottom w:val="0"/>
                          <w:divBdr>
                            <w:top w:val="none" w:sz="0" w:space="0" w:color="auto"/>
                            <w:left w:val="none" w:sz="0" w:space="0" w:color="auto"/>
                            <w:bottom w:val="none" w:sz="0" w:space="0" w:color="auto"/>
                            <w:right w:val="none" w:sz="0" w:space="0" w:color="auto"/>
                          </w:divBdr>
                          <w:divsChild>
                            <w:div w:id="9236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41560">
          <w:marLeft w:val="0"/>
          <w:marRight w:val="0"/>
          <w:marTop w:val="0"/>
          <w:marBottom w:val="0"/>
          <w:divBdr>
            <w:top w:val="none" w:sz="0" w:space="0" w:color="auto"/>
            <w:left w:val="none" w:sz="0" w:space="0" w:color="auto"/>
            <w:bottom w:val="none" w:sz="0" w:space="0" w:color="auto"/>
            <w:right w:val="none" w:sz="0" w:space="0" w:color="auto"/>
          </w:divBdr>
          <w:divsChild>
            <w:div w:id="1921057719">
              <w:marLeft w:val="0"/>
              <w:marRight w:val="0"/>
              <w:marTop w:val="0"/>
              <w:marBottom w:val="0"/>
              <w:divBdr>
                <w:top w:val="none" w:sz="0" w:space="0" w:color="auto"/>
                <w:left w:val="none" w:sz="0" w:space="0" w:color="auto"/>
                <w:bottom w:val="none" w:sz="0" w:space="0" w:color="auto"/>
                <w:right w:val="none" w:sz="0" w:space="0" w:color="auto"/>
              </w:divBdr>
              <w:divsChild>
                <w:div w:id="466972920">
                  <w:marLeft w:val="0"/>
                  <w:marRight w:val="0"/>
                  <w:marTop w:val="0"/>
                  <w:marBottom w:val="0"/>
                  <w:divBdr>
                    <w:top w:val="none" w:sz="0" w:space="0" w:color="auto"/>
                    <w:left w:val="none" w:sz="0" w:space="0" w:color="auto"/>
                    <w:bottom w:val="none" w:sz="0" w:space="0" w:color="auto"/>
                    <w:right w:val="none" w:sz="0" w:space="0" w:color="auto"/>
                  </w:divBdr>
                  <w:divsChild>
                    <w:div w:id="946079131">
                      <w:marLeft w:val="0"/>
                      <w:marRight w:val="0"/>
                      <w:marTop w:val="0"/>
                      <w:marBottom w:val="0"/>
                      <w:divBdr>
                        <w:top w:val="none" w:sz="0" w:space="0" w:color="auto"/>
                        <w:left w:val="none" w:sz="0" w:space="0" w:color="auto"/>
                        <w:bottom w:val="none" w:sz="0" w:space="0" w:color="auto"/>
                        <w:right w:val="none" w:sz="0" w:space="0" w:color="auto"/>
                      </w:divBdr>
                      <w:divsChild>
                        <w:div w:id="852230309">
                          <w:marLeft w:val="0"/>
                          <w:marRight w:val="0"/>
                          <w:marTop w:val="0"/>
                          <w:marBottom w:val="0"/>
                          <w:divBdr>
                            <w:top w:val="none" w:sz="0" w:space="0" w:color="auto"/>
                            <w:left w:val="none" w:sz="0" w:space="0" w:color="auto"/>
                            <w:bottom w:val="none" w:sz="0" w:space="0" w:color="auto"/>
                            <w:right w:val="none" w:sz="0" w:space="0" w:color="auto"/>
                          </w:divBdr>
                          <w:divsChild>
                            <w:div w:id="2065332070">
                              <w:marLeft w:val="0"/>
                              <w:marRight w:val="0"/>
                              <w:marTop w:val="0"/>
                              <w:marBottom w:val="0"/>
                              <w:divBdr>
                                <w:top w:val="none" w:sz="0" w:space="0" w:color="auto"/>
                                <w:left w:val="none" w:sz="0" w:space="0" w:color="auto"/>
                                <w:bottom w:val="none" w:sz="0" w:space="0" w:color="auto"/>
                                <w:right w:val="none" w:sz="0" w:space="0" w:color="auto"/>
                              </w:divBdr>
                              <w:divsChild>
                                <w:div w:id="2408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958201">
          <w:marLeft w:val="0"/>
          <w:marRight w:val="0"/>
          <w:marTop w:val="0"/>
          <w:marBottom w:val="0"/>
          <w:divBdr>
            <w:top w:val="none" w:sz="0" w:space="0" w:color="auto"/>
            <w:left w:val="none" w:sz="0" w:space="0" w:color="auto"/>
            <w:bottom w:val="none" w:sz="0" w:space="0" w:color="auto"/>
            <w:right w:val="none" w:sz="0" w:space="0" w:color="auto"/>
          </w:divBdr>
          <w:divsChild>
            <w:div w:id="1739355967">
              <w:marLeft w:val="0"/>
              <w:marRight w:val="0"/>
              <w:marTop w:val="0"/>
              <w:marBottom w:val="0"/>
              <w:divBdr>
                <w:top w:val="none" w:sz="0" w:space="0" w:color="auto"/>
                <w:left w:val="none" w:sz="0" w:space="0" w:color="auto"/>
                <w:bottom w:val="none" w:sz="0" w:space="0" w:color="auto"/>
                <w:right w:val="none" w:sz="0" w:space="0" w:color="auto"/>
              </w:divBdr>
              <w:divsChild>
                <w:div w:id="1897736948">
                  <w:marLeft w:val="0"/>
                  <w:marRight w:val="0"/>
                  <w:marTop w:val="0"/>
                  <w:marBottom w:val="0"/>
                  <w:divBdr>
                    <w:top w:val="none" w:sz="0" w:space="0" w:color="auto"/>
                    <w:left w:val="none" w:sz="0" w:space="0" w:color="auto"/>
                    <w:bottom w:val="none" w:sz="0" w:space="0" w:color="auto"/>
                    <w:right w:val="none" w:sz="0" w:space="0" w:color="auto"/>
                  </w:divBdr>
                  <w:divsChild>
                    <w:div w:id="2049914169">
                      <w:marLeft w:val="0"/>
                      <w:marRight w:val="0"/>
                      <w:marTop w:val="0"/>
                      <w:marBottom w:val="0"/>
                      <w:divBdr>
                        <w:top w:val="none" w:sz="0" w:space="0" w:color="auto"/>
                        <w:left w:val="none" w:sz="0" w:space="0" w:color="auto"/>
                        <w:bottom w:val="none" w:sz="0" w:space="0" w:color="auto"/>
                        <w:right w:val="none" w:sz="0" w:space="0" w:color="auto"/>
                      </w:divBdr>
                      <w:divsChild>
                        <w:div w:id="310184747">
                          <w:marLeft w:val="0"/>
                          <w:marRight w:val="0"/>
                          <w:marTop w:val="0"/>
                          <w:marBottom w:val="0"/>
                          <w:divBdr>
                            <w:top w:val="none" w:sz="0" w:space="0" w:color="auto"/>
                            <w:left w:val="none" w:sz="0" w:space="0" w:color="auto"/>
                            <w:bottom w:val="none" w:sz="0" w:space="0" w:color="auto"/>
                            <w:right w:val="none" w:sz="0" w:space="0" w:color="auto"/>
                          </w:divBdr>
                          <w:divsChild>
                            <w:div w:id="11764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011793">
      <w:bodyDiv w:val="1"/>
      <w:marLeft w:val="0"/>
      <w:marRight w:val="0"/>
      <w:marTop w:val="0"/>
      <w:marBottom w:val="0"/>
      <w:divBdr>
        <w:top w:val="none" w:sz="0" w:space="0" w:color="auto"/>
        <w:left w:val="none" w:sz="0" w:space="0" w:color="auto"/>
        <w:bottom w:val="none" w:sz="0" w:space="0" w:color="auto"/>
        <w:right w:val="none" w:sz="0" w:space="0" w:color="auto"/>
      </w:divBdr>
    </w:div>
    <w:div w:id="1299724082">
      <w:bodyDiv w:val="1"/>
      <w:marLeft w:val="0"/>
      <w:marRight w:val="0"/>
      <w:marTop w:val="0"/>
      <w:marBottom w:val="0"/>
      <w:divBdr>
        <w:top w:val="none" w:sz="0" w:space="0" w:color="auto"/>
        <w:left w:val="none" w:sz="0" w:space="0" w:color="auto"/>
        <w:bottom w:val="none" w:sz="0" w:space="0" w:color="auto"/>
        <w:right w:val="none" w:sz="0" w:space="0" w:color="auto"/>
      </w:divBdr>
    </w:div>
    <w:div w:id="1409425077">
      <w:bodyDiv w:val="1"/>
      <w:marLeft w:val="0"/>
      <w:marRight w:val="0"/>
      <w:marTop w:val="0"/>
      <w:marBottom w:val="0"/>
      <w:divBdr>
        <w:top w:val="none" w:sz="0" w:space="0" w:color="auto"/>
        <w:left w:val="none" w:sz="0" w:space="0" w:color="auto"/>
        <w:bottom w:val="none" w:sz="0" w:space="0" w:color="auto"/>
        <w:right w:val="none" w:sz="0" w:space="0" w:color="auto"/>
      </w:divBdr>
    </w:div>
    <w:div w:id="1422985999">
      <w:bodyDiv w:val="1"/>
      <w:marLeft w:val="0"/>
      <w:marRight w:val="0"/>
      <w:marTop w:val="0"/>
      <w:marBottom w:val="0"/>
      <w:divBdr>
        <w:top w:val="none" w:sz="0" w:space="0" w:color="auto"/>
        <w:left w:val="none" w:sz="0" w:space="0" w:color="auto"/>
        <w:bottom w:val="none" w:sz="0" w:space="0" w:color="auto"/>
        <w:right w:val="none" w:sz="0" w:space="0" w:color="auto"/>
      </w:divBdr>
    </w:div>
    <w:div w:id="1482623275">
      <w:bodyDiv w:val="1"/>
      <w:marLeft w:val="0"/>
      <w:marRight w:val="0"/>
      <w:marTop w:val="0"/>
      <w:marBottom w:val="0"/>
      <w:divBdr>
        <w:top w:val="none" w:sz="0" w:space="0" w:color="auto"/>
        <w:left w:val="none" w:sz="0" w:space="0" w:color="auto"/>
        <w:bottom w:val="none" w:sz="0" w:space="0" w:color="auto"/>
        <w:right w:val="none" w:sz="0" w:space="0" w:color="auto"/>
      </w:divBdr>
    </w:div>
    <w:div w:id="1488857608">
      <w:bodyDiv w:val="1"/>
      <w:marLeft w:val="0"/>
      <w:marRight w:val="0"/>
      <w:marTop w:val="0"/>
      <w:marBottom w:val="0"/>
      <w:divBdr>
        <w:top w:val="none" w:sz="0" w:space="0" w:color="auto"/>
        <w:left w:val="none" w:sz="0" w:space="0" w:color="auto"/>
        <w:bottom w:val="none" w:sz="0" w:space="0" w:color="auto"/>
        <w:right w:val="none" w:sz="0" w:space="0" w:color="auto"/>
      </w:divBdr>
    </w:div>
    <w:div w:id="1641959107">
      <w:bodyDiv w:val="1"/>
      <w:marLeft w:val="0"/>
      <w:marRight w:val="0"/>
      <w:marTop w:val="0"/>
      <w:marBottom w:val="0"/>
      <w:divBdr>
        <w:top w:val="none" w:sz="0" w:space="0" w:color="auto"/>
        <w:left w:val="none" w:sz="0" w:space="0" w:color="auto"/>
        <w:bottom w:val="none" w:sz="0" w:space="0" w:color="auto"/>
        <w:right w:val="none" w:sz="0" w:space="0" w:color="auto"/>
      </w:divBdr>
    </w:div>
    <w:div w:id="169314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5479</Words>
  <Characters>31232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Hilary Anigor</dc:creator>
  <cp:keywords/>
  <dc:description/>
  <cp:lastModifiedBy>Hilary Anigor</cp:lastModifiedBy>
  <cp:revision>71</cp:revision>
  <dcterms:created xsi:type="dcterms:W3CDTF">2026-01-21T23:00:00Z</dcterms:created>
  <dcterms:modified xsi:type="dcterms:W3CDTF">2026-01-22T01:02:00Z</dcterms:modified>
</cp:coreProperties>
</file>