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89A5" w14:textId="77777777" w:rsidR="00154E5D" w:rsidRPr="00154E5D" w:rsidRDefault="00154E5D" w:rsidP="00154E5D">
      <w:pPr>
        <w:spacing w:after="0" w:line="240" w:lineRule="auto"/>
        <w:jc w:val="center"/>
        <w:rPr>
          <w:rFonts w:ascii="Tahoma" w:hAnsi="Tahoma" w:cs="Tahoma"/>
          <w:b/>
          <w:bCs/>
          <w:sz w:val="22"/>
          <w:szCs w:val="22"/>
        </w:rPr>
      </w:pPr>
      <w:r w:rsidRPr="00154E5D">
        <w:rPr>
          <w:rFonts w:ascii="Tahoma" w:hAnsi="Tahoma" w:cs="Tahoma"/>
          <w:b/>
          <w:bCs/>
          <w:sz w:val="22"/>
          <w:szCs w:val="22"/>
        </w:rPr>
        <w:t xml:space="preserve">QUESTION 1 </w:t>
      </w:r>
    </w:p>
    <w:p w14:paraId="2A7CA05B" w14:textId="3B829E23" w:rsidR="00154E5D" w:rsidRPr="00154E5D" w:rsidRDefault="00154E5D" w:rsidP="00154E5D">
      <w:pPr>
        <w:spacing w:after="0" w:line="240" w:lineRule="auto"/>
        <w:jc w:val="center"/>
        <w:rPr>
          <w:rFonts w:ascii="Tahoma" w:hAnsi="Tahoma" w:cs="Tahoma"/>
          <w:b/>
          <w:bCs/>
          <w:sz w:val="22"/>
          <w:szCs w:val="22"/>
        </w:rPr>
      </w:pPr>
      <w:r w:rsidRPr="00154E5D">
        <w:rPr>
          <w:rFonts w:ascii="Tahoma" w:hAnsi="Tahoma" w:cs="Tahoma"/>
          <w:b/>
          <w:bCs/>
          <w:sz w:val="22"/>
          <w:szCs w:val="22"/>
        </w:rPr>
        <w:t>Discuss Edmund Husserl’s Phenomenological Method and critically compare it with Descartes’ Methodic Doubt.</w:t>
      </w:r>
    </w:p>
    <w:p w14:paraId="5F34B84B" w14:textId="77777777" w:rsidR="00154E5D" w:rsidRDefault="00154E5D" w:rsidP="00154E5D">
      <w:pPr>
        <w:spacing w:after="0" w:line="240" w:lineRule="auto"/>
        <w:jc w:val="center"/>
        <w:rPr>
          <w:rFonts w:ascii="Tahoma" w:hAnsi="Tahoma" w:cs="Tahoma"/>
          <w:sz w:val="22"/>
          <w:szCs w:val="22"/>
        </w:rPr>
      </w:pPr>
    </w:p>
    <w:p w14:paraId="73FAB3C4" w14:textId="2C224C1E"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Outline</w:t>
      </w:r>
    </w:p>
    <w:p w14:paraId="73CF52EC" w14:textId="77777777" w:rsidR="00154E5D" w:rsidRPr="00154E5D" w:rsidRDefault="00154E5D" w:rsidP="00154E5D">
      <w:pPr>
        <w:spacing w:after="0" w:line="240" w:lineRule="auto"/>
        <w:jc w:val="both"/>
        <w:rPr>
          <w:rFonts w:ascii="Tahoma" w:hAnsi="Tahoma" w:cs="Tahoma"/>
          <w:b/>
          <w:bCs/>
          <w:sz w:val="22"/>
          <w:szCs w:val="22"/>
        </w:rPr>
      </w:pPr>
      <w:r w:rsidRPr="00154E5D">
        <w:rPr>
          <w:rFonts w:ascii="Tahoma" w:hAnsi="Tahoma" w:cs="Tahoma"/>
          <w:b/>
          <w:bCs/>
          <w:sz w:val="22"/>
          <w:szCs w:val="22"/>
        </w:rPr>
        <w:t xml:space="preserve">1.0 INTRODUCTION  </w:t>
      </w:r>
    </w:p>
    <w:p w14:paraId="228559AD" w14:textId="77777777" w:rsidR="00154E5D" w:rsidRPr="00154E5D" w:rsidRDefault="00154E5D" w:rsidP="00154E5D">
      <w:pPr>
        <w:spacing w:after="0" w:line="240" w:lineRule="auto"/>
        <w:jc w:val="both"/>
        <w:rPr>
          <w:rFonts w:ascii="Tahoma" w:hAnsi="Tahoma" w:cs="Tahoma"/>
          <w:b/>
          <w:bCs/>
          <w:sz w:val="22"/>
          <w:szCs w:val="22"/>
        </w:rPr>
      </w:pPr>
      <w:r w:rsidRPr="00154E5D">
        <w:rPr>
          <w:rFonts w:ascii="Tahoma" w:hAnsi="Tahoma" w:cs="Tahoma"/>
          <w:b/>
          <w:bCs/>
          <w:sz w:val="22"/>
          <w:szCs w:val="22"/>
        </w:rPr>
        <w:t xml:space="preserve">2.0 EDMUND HUSSERL’S PHENOMENOLOGY  </w:t>
      </w:r>
    </w:p>
    <w:p w14:paraId="525E10E7" w14:textId="46C8DAF9"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2.1 Meaning of Phenomenology  </w:t>
      </w:r>
    </w:p>
    <w:p w14:paraId="7DBB50BF" w14:textId="70CE05CE"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2.2 The Phenomenological Method  </w:t>
      </w:r>
    </w:p>
    <w:p w14:paraId="16159FA2" w14:textId="2AC1A660"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2.3 The Three Stages of Husserl’s Phenomenological Method  </w:t>
      </w:r>
    </w:p>
    <w:p w14:paraId="5699C139" w14:textId="62187223"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2.3.1 Epoché (Bracketing)  </w:t>
      </w:r>
    </w:p>
    <w:p w14:paraId="63968A76" w14:textId="5EDF8A92"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2.3.2 Phenomenological Reduction  </w:t>
      </w:r>
    </w:p>
    <w:p w14:paraId="214ABA25" w14:textId="40D3E56C"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2.3.3 Transcendental Reduction  </w:t>
      </w:r>
    </w:p>
    <w:p w14:paraId="4AD3D8C9" w14:textId="5715C470" w:rsidR="00154E5D" w:rsidRPr="00154E5D" w:rsidRDefault="00154E5D" w:rsidP="00154E5D">
      <w:pPr>
        <w:spacing w:after="0" w:line="240" w:lineRule="auto"/>
        <w:jc w:val="both"/>
        <w:rPr>
          <w:rFonts w:ascii="Tahoma" w:hAnsi="Tahoma" w:cs="Tahoma"/>
          <w:sz w:val="22"/>
          <w:szCs w:val="22"/>
        </w:rPr>
      </w:pPr>
      <w:r>
        <w:rPr>
          <w:rFonts w:ascii="Tahoma" w:hAnsi="Tahoma" w:cs="Tahoma"/>
          <w:sz w:val="22"/>
          <w:szCs w:val="22"/>
        </w:rPr>
        <w:t>2</w:t>
      </w:r>
      <w:r w:rsidRPr="00154E5D">
        <w:rPr>
          <w:rFonts w:ascii="Tahoma" w:hAnsi="Tahoma" w:cs="Tahoma"/>
          <w:sz w:val="22"/>
          <w:szCs w:val="22"/>
        </w:rPr>
        <w:t>.</w:t>
      </w:r>
      <w:r>
        <w:rPr>
          <w:rFonts w:ascii="Tahoma" w:hAnsi="Tahoma" w:cs="Tahoma"/>
          <w:sz w:val="22"/>
          <w:szCs w:val="22"/>
        </w:rPr>
        <w:t>4</w:t>
      </w:r>
      <w:r w:rsidRPr="00154E5D">
        <w:rPr>
          <w:rFonts w:ascii="Tahoma" w:hAnsi="Tahoma" w:cs="Tahoma"/>
          <w:sz w:val="22"/>
          <w:szCs w:val="22"/>
        </w:rPr>
        <w:t xml:space="preserve"> importance of husserl’s phenomenological method to epistemology  </w:t>
      </w:r>
    </w:p>
    <w:p w14:paraId="3C306B77" w14:textId="011690A5" w:rsidR="00154E5D" w:rsidRDefault="00154E5D" w:rsidP="00154E5D">
      <w:pPr>
        <w:spacing w:after="0" w:line="240" w:lineRule="auto"/>
        <w:jc w:val="both"/>
        <w:rPr>
          <w:rFonts w:ascii="Tahoma" w:hAnsi="Tahoma" w:cs="Tahoma"/>
          <w:b/>
          <w:bCs/>
          <w:sz w:val="22"/>
          <w:szCs w:val="22"/>
        </w:rPr>
      </w:pPr>
      <w:r>
        <w:rPr>
          <w:rFonts w:ascii="Tahoma" w:hAnsi="Tahoma" w:cs="Tahoma"/>
          <w:b/>
          <w:bCs/>
          <w:sz w:val="22"/>
          <w:szCs w:val="22"/>
        </w:rPr>
        <w:t>3</w:t>
      </w:r>
      <w:r w:rsidRPr="00154E5D">
        <w:rPr>
          <w:rFonts w:ascii="Tahoma" w:hAnsi="Tahoma" w:cs="Tahoma"/>
          <w:b/>
          <w:bCs/>
          <w:sz w:val="22"/>
          <w:szCs w:val="22"/>
        </w:rPr>
        <w:t xml:space="preserve">.0 DESCARTES’ METHODIC DOUBT  </w:t>
      </w:r>
    </w:p>
    <w:p w14:paraId="3FF90877" w14:textId="5EEDD751" w:rsidR="008B1BC6" w:rsidRPr="00154E5D" w:rsidRDefault="008B1BC6" w:rsidP="00154E5D">
      <w:pPr>
        <w:spacing w:after="0" w:line="240" w:lineRule="auto"/>
        <w:jc w:val="both"/>
        <w:rPr>
          <w:rFonts w:ascii="Tahoma" w:hAnsi="Tahoma" w:cs="Tahoma"/>
          <w:b/>
          <w:bCs/>
          <w:sz w:val="22"/>
          <w:szCs w:val="22"/>
        </w:rPr>
      </w:pPr>
      <w:r>
        <w:rPr>
          <w:rFonts w:ascii="Tahoma" w:hAnsi="Tahoma" w:cs="Tahoma"/>
          <w:b/>
          <w:bCs/>
          <w:sz w:val="22"/>
          <w:szCs w:val="22"/>
        </w:rPr>
        <w:t>4.0 COMPARATIVE ANALYSIS BETWEEN HURSELL AND DESCARTES</w:t>
      </w:r>
    </w:p>
    <w:p w14:paraId="5785CD7B" w14:textId="4D2AA382" w:rsidR="00154E5D" w:rsidRPr="00154E5D" w:rsidRDefault="008B1BC6" w:rsidP="00154E5D">
      <w:pPr>
        <w:spacing w:after="0" w:line="240" w:lineRule="auto"/>
        <w:jc w:val="both"/>
        <w:rPr>
          <w:rFonts w:ascii="Tahoma" w:hAnsi="Tahoma" w:cs="Tahoma"/>
          <w:sz w:val="22"/>
          <w:szCs w:val="22"/>
        </w:rPr>
      </w:pPr>
      <w:r>
        <w:rPr>
          <w:rFonts w:ascii="Tahoma" w:hAnsi="Tahoma" w:cs="Tahoma"/>
          <w:sz w:val="22"/>
          <w:szCs w:val="22"/>
        </w:rPr>
        <w:t>4</w:t>
      </w:r>
      <w:r w:rsidR="00154E5D" w:rsidRPr="00154E5D">
        <w:rPr>
          <w:rFonts w:ascii="Tahoma" w:hAnsi="Tahoma" w:cs="Tahoma"/>
          <w:sz w:val="22"/>
          <w:szCs w:val="22"/>
        </w:rPr>
        <w:t>.</w:t>
      </w:r>
      <w:r>
        <w:rPr>
          <w:rFonts w:ascii="Tahoma" w:hAnsi="Tahoma" w:cs="Tahoma"/>
          <w:sz w:val="22"/>
          <w:szCs w:val="22"/>
        </w:rPr>
        <w:t>1</w:t>
      </w:r>
      <w:r w:rsidR="00154E5D" w:rsidRPr="00154E5D">
        <w:rPr>
          <w:rFonts w:ascii="Tahoma" w:hAnsi="Tahoma" w:cs="Tahoma"/>
          <w:sz w:val="22"/>
          <w:szCs w:val="22"/>
        </w:rPr>
        <w:t xml:space="preserve"> Similarities Between Husserl and Descartes  </w:t>
      </w:r>
    </w:p>
    <w:p w14:paraId="4328C14C" w14:textId="09D0B0A6" w:rsidR="00154E5D" w:rsidRPr="00154E5D" w:rsidRDefault="008B1BC6" w:rsidP="00154E5D">
      <w:pPr>
        <w:spacing w:after="0" w:line="240" w:lineRule="auto"/>
        <w:jc w:val="both"/>
        <w:rPr>
          <w:rFonts w:ascii="Tahoma" w:hAnsi="Tahoma" w:cs="Tahoma"/>
          <w:sz w:val="22"/>
          <w:szCs w:val="22"/>
        </w:rPr>
      </w:pPr>
      <w:r>
        <w:rPr>
          <w:rFonts w:ascii="Tahoma" w:hAnsi="Tahoma" w:cs="Tahoma"/>
          <w:sz w:val="22"/>
          <w:szCs w:val="22"/>
        </w:rPr>
        <w:t>4.2</w:t>
      </w:r>
      <w:r w:rsidR="00154E5D" w:rsidRPr="00154E5D">
        <w:rPr>
          <w:rFonts w:ascii="Tahoma" w:hAnsi="Tahoma" w:cs="Tahoma"/>
          <w:sz w:val="22"/>
          <w:szCs w:val="22"/>
        </w:rPr>
        <w:t xml:space="preserve"> Differences Between Husserl’s Method and Descartes’ Method  </w:t>
      </w:r>
    </w:p>
    <w:p w14:paraId="0D8C63BE" w14:textId="2259423C" w:rsidR="00154E5D" w:rsidRPr="008B1BC6" w:rsidRDefault="008B1BC6" w:rsidP="00154E5D">
      <w:pPr>
        <w:spacing w:after="0" w:line="240" w:lineRule="auto"/>
        <w:jc w:val="both"/>
        <w:rPr>
          <w:rFonts w:ascii="Tahoma" w:hAnsi="Tahoma" w:cs="Tahoma"/>
          <w:b/>
          <w:bCs/>
          <w:sz w:val="22"/>
          <w:szCs w:val="22"/>
        </w:rPr>
      </w:pPr>
      <w:r w:rsidRPr="008B1BC6">
        <w:rPr>
          <w:rFonts w:ascii="Tahoma" w:hAnsi="Tahoma" w:cs="Tahoma"/>
          <w:b/>
          <w:bCs/>
          <w:sz w:val="22"/>
          <w:szCs w:val="22"/>
        </w:rPr>
        <w:t>5</w:t>
      </w:r>
      <w:r w:rsidR="00154E5D" w:rsidRPr="008B1BC6">
        <w:rPr>
          <w:rFonts w:ascii="Tahoma" w:hAnsi="Tahoma" w:cs="Tahoma"/>
          <w:b/>
          <w:bCs/>
          <w:sz w:val="22"/>
          <w:szCs w:val="22"/>
        </w:rPr>
        <w:t xml:space="preserve">.0 CRITICAL EVALUATION  </w:t>
      </w:r>
    </w:p>
    <w:p w14:paraId="5DDB2F69" w14:textId="6DF12109" w:rsidR="00154E5D" w:rsidRPr="00154E5D" w:rsidRDefault="00154E5D" w:rsidP="00154E5D">
      <w:pPr>
        <w:spacing w:after="0" w:line="240" w:lineRule="auto"/>
        <w:jc w:val="both"/>
        <w:rPr>
          <w:rFonts w:ascii="Tahoma" w:hAnsi="Tahoma" w:cs="Tahoma"/>
          <w:sz w:val="22"/>
          <w:szCs w:val="22"/>
        </w:rPr>
      </w:pPr>
      <w:r w:rsidRPr="008B1BC6">
        <w:rPr>
          <w:rFonts w:ascii="Tahoma" w:hAnsi="Tahoma" w:cs="Tahoma"/>
          <w:b/>
          <w:bCs/>
          <w:sz w:val="22"/>
          <w:szCs w:val="22"/>
        </w:rPr>
        <w:t>5.0 CONCLUSION</w:t>
      </w:r>
      <w:r w:rsidRPr="00154E5D">
        <w:rPr>
          <w:rFonts w:ascii="Tahoma" w:hAnsi="Tahoma" w:cs="Tahoma"/>
          <w:sz w:val="22"/>
          <w:szCs w:val="22"/>
        </w:rPr>
        <w:t xml:space="preserve">  </w:t>
      </w:r>
    </w:p>
    <w:p w14:paraId="3CB6C29C" w14:textId="77777777" w:rsidR="00154E5D" w:rsidRPr="00154E5D" w:rsidRDefault="00154E5D" w:rsidP="00154E5D">
      <w:pPr>
        <w:spacing w:after="0" w:line="240" w:lineRule="auto"/>
        <w:jc w:val="both"/>
        <w:rPr>
          <w:rFonts w:ascii="Tahoma" w:hAnsi="Tahoma" w:cs="Tahoma"/>
          <w:sz w:val="22"/>
          <w:szCs w:val="22"/>
        </w:rPr>
      </w:pPr>
    </w:p>
    <w:p w14:paraId="2E16BD57" w14:textId="568D520D" w:rsidR="00154E5D" w:rsidRPr="00154E5D" w:rsidRDefault="00154E5D" w:rsidP="00154E5D">
      <w:pPr>
        <w:spacing w:after="0" w:line="240" w:lineRule="auto"/>
        <w:jc w:val="both"/>
        <w:rPr>
          <w:rFonts w:ascii="Tahoma" w:hAnsi="Tahoma" w:cs="Tahoma"/>
          <w:b/>
          <w:bCs/>
          <w:sz w:val="22"/>
          <w:szCs w:val="22"/>
        </w:rPr>
      </w:pPr>
      <w:r w:rsidRPr="00154E5D">
        <w:rPr>
          <w:rFonts w:ascii="Tahoma" w:hAnsi="Tahoma" w:cs="Tahoma"/>
          <w:b/>
          <w:bCs/>
          <w:sz w:val="22"/>
          <w:szCs w:val="22"/>
        </w:rPr>
        <w:t>1.0 INTRODUCTION</w:t>
      </w:r>
    </w:p>
    <w:p w14:paraId="47D160A1" w14:textId="06919943"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Phenomenology is a philosophical approach developed to respond to a deep crisis in how we gain knowledge. In the early 20th century, science had become very powerful but focused only on material things and ignored deeper human questions about meaning, values, and spiritual life. Edmund Husserl (1859–1938), the founder of phenomenology, created this method to return philosophy to its true task: understanding how things appear to us in consciousness and providing a solid base for all knowledge.</w:t>
      </w:r>
    </w:p>
    <w:p w14:paraId="0B9AFDAF" w14:textId="1DBC8B5B" w:rsid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This </w:t>
      </w:r>
      <w:r w:rsidR="008B1BC6">
        <w:rPr>
          <w:rFonts w:ascii="Tahoma" w:hAnsi="Tahoma" w:cs="Tahoma"/>
          <w:sz w:val="22"/>
          <w:szCs w:val="22"/>
        </w:rPr>
        <w:t>is an attempt to</w:t>
      </w:r>
      <w:r w:rsidRPr="00154E5D">
        <w:rPr>
          <w:rFonts w:ascii="Tahoma" w:hAnsi="Tahoma" w:cs="Tahoma"/>
          <w:sz w:val="22"/>
          <w:szCs w:val="22"/>
        </w:rPr>
        <w:t xml:space="preserve"> </w:t>
      </w:r>
      <w:r w:rsidR="008B1BC6">
        <w:rPr>
          <w:rFonts w:ascii="Tahoma" w:hAnsi="Tahoma" w:cs="Tahoma"/>
          <w:sz w:val="22"/>
          <w:szCs w:val="22"/>
        </w:rPr>
        <w:t>explain</w:t>
      </w:r>
      <w:r w:rsidRPr="00154E5D">
        <w:rPr>
          <w:rFonts w:ascii="Tahoma" w:hAnsi="Tahoma" w:cs="Tahoma"/>
          <w:sz w:val="22"/>
          <w:szCs w:val="22"/>
        </w:rPr>
        <w:t xml:space="preserve"> Husserl’s phenomenological method, its main stages, and why it matters for epistemology</w:t>
      </w:r>
      <w:r w:rsidR="008B1BC6">
        <w:rPr>
          <w:rFonts w:ascii="Tahoma" w:hAnsi="Tahoma" w:cs="Tahoma"/>
          <w:sz w:val="22"/>
          <w:szCs w:val="22"/>
        </w:rPr>
        <w:t xml:space="preserve">. </w:t>
      </w:r>
      <w:r w:rsidRPr="00154E5D">
        <w:rPr>
          <w:rFonts w:ascii="Tahoma" w:hAnsi="Tahoma" w:cs="Tahoma"/>
          <w:sz w:val="22"/>
          <w:szCs w:val="22"/>
        </w:rPr>
        <w:t xml:space="preserve">It then compares this method with René Descartes’ methodic doubt. </w:t>
      </w:r>
    </w:p>
    <w:p w14:paraId="1006D6DD" w14:textId="77777777" w:rsidR="008B1BC6" w:rsidRPr="00154E5D" w:rsidRDefault="008B1BC6" w:rsidP="00154E5D">
      <w:pPr>
        <w:spacing w:after="0" w:line="240" w:lineRule="auto"/>
        <w:jc w:val="both"/>
        <w:rPr>
          <w:rFonts w:ascii="Tahoma" w:hAnsi="Tahoma" w:cs="Tahoma"/>
          <w:sz w:val="22"/>
          <w:szCs w:val="22"/>
        </w:rPr>
      </w:pPr>
    </w:p>
    <w:p w14:paraId="0B36A9C5" w14:textId="21B0A5CF"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2.0 EDMUND HUSSERL’S PHENOMENOLOGY</w:t>
      </w:r>
    </w:p>
    <w:p w14:paraId="7E2EB64B" w14:textId="653AF407"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2.1 Meaning of Phenomenology</w:t>
      </w:r>
    </w:p>
    <w:p w14:paraId="643EC585" w14:textId="10D5B3F1"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Phenomenology is the study of phenomena as they appear directly to consciousness. Phenomena mean things as experienced, not as they might exist independently. Husserl stresses intentionality: consciousness is always directed toward something. It is never empty; it is always consciousness of an object, idea, feeling, or memory. This directedness is key to understanding experience.</w:t>
      </w:r>
    </w:p>
    <w:p w14:paraId="5FC912A3" w14:textId="489D29BA"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 wants presuppositionless knowledge. This means starting without assumptions from science, tradition, or common sense. By focusing on how things show themselves, phenomenology avoids false ideas and reaches pure, direct understanding.</w:t>
      </w:r>
    </w:p>
    <w:p w14:paraId="1538B8AA" w14:textId="7164F1CD"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2.2 The Phenomenological Method</w:t>
      </w:r>
    </w:p>
    <w:p w14:paraId="78440F73" w14:textId="50569FE8"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Husserl’s method is a way to clarify knowledge itself. It does not study facts about the world like empirical science does. Instead, it examines how knowledge forms in consciousness. The method looks at structures of experience to find what makes knowing possible. It is epistemic clarification: showing conditions under which objects gain meaning for us.</w:t>
      </w:r>
    </w:p>
    <w:p w14:paraId="28855F9A" w14:textId="77777777" w:rsidR="008B1BC6" w:rsidRDefault="008B1BC6" w:rsidP="00154E5D">
      <w:pPr>
        <w:spacing w:after="0" w:line="240" w:lineRule="auto"/>
        <w:jc w:val="both"/>
        <w:rPr>
          <w:rFonts w:ascii="Tahoma" w:hAnsi="Tahoma" w:cs="Tahoma"/>
          <w:b/>
          <w:bCs/>
          <w:sz w:val="22"/>
          <w:szCs w:val="22"/>
        </w:rPr>
      </w:pPr>
    </w:p>
    <w:p w14:paraId="5107F29F" w14:textId="177CC45A"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2.3 The Three Stages of Husserl’s Phenomenological Method</w:t>
      </w:r>
    </w:p>
    <w:p w14:paraId="7322EB17" w14:textId="37A1B821"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Husserl’s method has three connected stages. They help move from everyday seeing to pure insight.</w:t>
      </w:r>
    </w:p>
    <w:p w14:paraId="303B29C6" w14:textId="0EACD53A" w:rsidR="00154E5D" w:rsidRPr="00154E5D" w:rsidRDefault="00154E5D" w:rsidP="00154E5D">
      <w:pPr>
        <w:spacing w:after="0" w:line="240" w:lineRule="auto"/>
        <w:jc w:val="both"/>
        <w:rPr>
          <w:rFonts w:ascii="Tahoma" w:hAnsi="Tahoma" w:cs="Tahoma"/>
          <w:sz w:val="22"/>
          <w:szCs w:val="22"/>
        </w:rPr>
      </w:pPr>
      <w:r w:rsidRPr="008B1BC6">
        <w:rPr>
          <w:rFonts w:ascii="Tahoma" w:hAnsi="Tahoma" w:cs="Tahoma"/>
          <w:b/>
          <w:bCs/>
          <w:sz w:val="22"/>
          <w:szCs w:val="22"/>
        </w:rPr>
        <w:t>2.3.1 Epoché (Bracketing)</w:t>
      </w:r>
      <w:r w:rsidR="008B1BC6" w:rsidRPr="008B1BC6">
        <w:rPr>
          <w:rFonts w:ascii="Tahoma" w:hAnsi="Tahoma" w:cs="Tahoma"/>
          <w:b/>
          <w:bCs/>
          <w:sz w:val="22"/>
          <w:szCs w:val="22"/>
        </w:rPr>
        <w:t>:</w:t>
      </w:r>
      <w:r w:rsidR="008B1BC6">
        <w:rPr>
          <w:rFonts w:ascii="Tahoma" w:hAnsi="Tahoma" w:cs="Tahoma"/>
          <w:sz w:val="22"/>
          <w:szCs w:val="22"/>
        </w:rPr>
        <w:t xml:space="preserve"> </w:t>
      </w:r>
      <w:r w:rsidRPr="00154E5D">
        <w:rPr>
          <w:rFonts w:ascii="Tahoma" w:hAnsi="Tahoma" w:cs="Tahoma"/>
          <w:sz w:val="22"/>
          <w:szCs w:val="22"/>
        </w:rPr>
        <w:t>Epoché is the first stage. It means bracketing or suspending judgment about the real existence of the external world. Husserl calls this suspension of the natural attitude — our usual way of accepting the world as obviously real without question.</w:t>
      </w:r>
      <w:r w:rsidR="008B1BC6">
        <w:rPr>
          <w:rFonts w:ascii="Tahoma" w:hAnsi="Tahoma" w:cs="Tahoma"/>
          <w:sz w:val="22"/>
          <w:szCs w:val="22"/>
        </w:rPr>
        <w:t xml:space="preserve"> </w:t>
      </w:r>
      <w:r w:rsidRPr="00154E5D">
        <w:rPr>
          <w:rFonts w:ascii="Tahoma" w:hAnsi="Tahoma" w:cs="Tahoma"/>
          <w:sz w:val="22"/>
          <w:szCs w:val="22"/>
        </w:rPr>
        <w:t>In the natural attitude, we live with biases and preconceptions. For example, we assume things exist independently because of past experiences or cultural views. Epoché does not deny existence; it sets aside belief in it. This allows reality to show itself purely, without distortion from judgments.</w:t>
      </w:r>
    </w:p>
    <w:p w14:paraId="6C4C56A6"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 explains that epoché starts and ends with structures of consciousness during sense perception. Some scholars divide it into primary (natural) epoché — suspending external biases not personal — and secondary (transcendental) epoché — suspending personal preconceptions. The goal is to prepare consciousness for unbiased seeing.</w:t>
      </w:r>
    </w:p>
    <w:p w14:paraId="59371D67" w14:textId="2E1F7418" w:rsidR="00154E5D" w:rsidRPr="00154E5D" w:rsidRDefault="00154E5D" w:rsidP="00154E5D">
      <w:pPr>
        <w:spacing w:after="0" w:line="240" w:lineRule="auto"/>
        <w:jc w:val="both"/>
        <w:rPr>
          <w:rFonts w:ascii="Tahoma" w:hAnsi="Tahoma" w:cs="Tahoma"/>
          <w:sz w:val="22"/>
          <w:szCs w:val="22"/>
        </w:rPr>
      </w:pPr>
      <w:r w:rsidRPr="008B1BC6">
        <w:rPr>
          <w:rFonts w:ascii="Tahoma" w:hAnsi="Tahoma" w:cs="Tahoma"/>
          <w:b/>
          <w:bCs/>
          <w:sz w:val="22"/>
          <w:szCs w:val="22"/>
        </w:rPr>
        <w:lastRenderedPageBreak/>
        <w:t>2.3.2 Phenomenological Reduction</w:t>
      </w:r>
      <w:r w:rsidR="008B1BC6" w:rsidRPr="008B1BC6">
        <w:rPr>
          <w:rFonts w:ascii="Tahoma" w:hAnsi="Tahoma" w:cs="Tahoma"/>
          <w:b/>
          <w:bCs/>
          <w:sz w:val="22"/>
          <w:szCs w:val="22"/>
        </w:rPr>
        <w:t>:</w:t>
      </w:r>
      <w:r w:rsidR="008B1BC6">
        <w:rPr>
          <w:rFonts w:ascii="Tahoma" w:hAnsi="Tahoma" w:cs="Tahoma"/>
          <w:sz w:val="22"/>
          <w:szCs w:val="22"/>
        </w:rPr>
        <w:t xml:space="preserve"> </w:t>
      </w:r>
      <w:r w:rsidRPr="00154E5D">
        <w:rPr>
          <w:rFonts w:ascii="Tahoma" w:hAnsi="Tahoma" w:cs="Tahoma"/>
          <w:sz w:val="22"/>
          <w:szCs w:val="22"/>
        </w:rPr>
        <w:t>This stage follows epoché. Here, we reduce experience to pure consciousness. We focus on phenomena as they appear, without linking them to external causes or real objects. Judgment now becomes an act of consciousness based on unbiased perception.</w:t>
      </w:r>
    </w:p>
    <w:p w14:paraId="07DEF445"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For example, if I see a tree, phenomenological reduction describes the seeing itself — colors, shapes, feelings — as intentional acts. It uncovers essences (invariant structures) that make the experience what it is. This links to intentional structures: how consciousness constitutes meaning.</w:t>
      </w:r>
    </w:p>
    <w:p w14:paraId="2BC18D0E" w14:textId="554EC7AB"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Phenomenological reduction differs from epoché. Epoché prepares by suspending; reduction actively describes pure phenomena and makes conscious judgments from them.</w:t>
      </w:r>
    </w:p>
    <w:p w14:paraId="7F623C0D" w14:textId="376E3103" w:rsidR="00154E5D" w:rsidRPr="00154E5D" w:rsidRDefault="00154E5D" w:rsidP="00154E5D">
      <w:pPr>
        <w:spacing w:after="0" w:line="240" w:lineRule="auto"/>
        <w:jc w:val="both"/>
        <w:rPr>
          <w:rFonts w:ascii="Tahoma" w:hAnsi="Tahoma" w:cs="Tahoma"/>
          <w:sz w:val="22"/>
          <w:szCs w:val="22"/>
        </w:rPr>
      </w:pPr>
      <w:r w:rsidRPr="008B1BC6">
        <w:rPr>
          <w:rFonts w:ascii="Tahoma" w:hAnsi="Tahoma" w:cs="Tahoma"/>
          <w:b/>
          <w:bCs/>
          <w:sz w:val="22"/>
          <w:szCs w:val="22"/>
        </w:rPr>
        <w:t>2.3.3 Transcendental Reduction</w:t>
      </w:r>
      <w:r w:rsidR="008B1BC6" w:rsidRPr="008B1BC6">
        <w:rPr>
          <w:rFonts w:ascii="Tahoma" w:hAnsi="Tahoma" w:cs="Tahoma"/>
          <w:b/>
          <w:bCs/>
          <w:sz w:val="22"/>
          <w:szCs w:val="22"/>
        </w:rPr>
        <w:t>:</w:t>
      </w:r>
      <w:r w:rsidR="008B1BC6">
        <w:rPr>
          <w:rFonts w:ascii="Tahoma" w:hAnsi="Tahoma" w:cs="Tahoma"/>
          <w:sz w:val="22"/>
          <w:szCs w:val="22"/>
        </w:rPr>
        <w:t xml:space="preserve"> </w:t>
      </w:r>
      <w:r w:rsidRPr="00154E5D">
        <w:rPr>
          <w:rFonts w:ascii="Tahoma" w:hAnsi="Tahoma" w:cs="Tahoma"/>
          <w:sz w:val="22"/>
          <w:szCs w:val="22"/>
        </w:rPr>
        <w:t>This is the deepest stage. It reveals the transcendental ego — the pure "I" that constitutes all meaning. The transcendental ego is not the everyday self but the subject that stands beyond the world while making the world meaningful.</w:t>
      </w:r>
    </w:p>
    <w:p w14:paraId="2FEEA665" w14:textId="4A4EDD16"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In transcendental reduction, consciousness constitutes objects as meaningful. The ego leaves its limited view to judge without bias. Everything — objects, relations, even the world — appears within this transcendental field. This stage shows consciousness as the source of all sense and validity.</w:t>
      </w:r>
    </w:p>
    <w:p w14:paraId="71723AA5" w14:textId="7B4F7E14" w:rsidR="00154E5D" w:rsidRPr="00154E5D" w:rsidRDefault="008B1BC6" w:rsidP="00154E5D">
      <w:pPr>
        <w:spacing w:after="0" w:line="240" w:lineRule="auto"/>
        <w:jc w:val="both"/>
        <w:rPr>
          <w:rFonts w:ascii="Tahoma" w:hAnsi="Tahoma" w:cs="Tahoma"/>
          <w:sz w:val="22"/>
          <w:szCs w:val="22"/>
        </w:rPr>
      </w:pPr>
      <w:r>
        <w:rPr>
          <w:rFonts w:ascii="Tahoma" w:hAnsi="Tahoma" w:cs="Tahoma"/>
          <w:b/>
          <w:bCs/>
          <w:sz w:val="22"/>
          <w:szCs w:val="22"/>
        </w:rPr>
        <w:t>2</w:t>
      </w:r>
      <w:r w:rsidRPr="008B1BC6">
        <w:rPr>
          <w:rFonts w:ascii="Tahoma" w:hAnsi="Tahoma" w:cs="Tahoma"/>
          <w:b/>
          <w:bCs/>
          <w:sz w:val="22"/>
          <w:szCs w:val="22"/>
        </w:rPr>
        <w:t>.</w:t>
      </w:r>
      <w:r>
        <w:rPr>
          <w:rFonts w:ascii="Tahoma" w:hAnsi="Tahoma" w:cs="Tahoma"/>
          <w:b/>
          <w:bCs/>
          <w:sz w:val="22"/>
          <w:szCs w:val="22"/>
        </w:rPr>
        <w:t>4</w:t>
      </w:r>
      <w:r w:rsidRPr="008B1BC6">
        <w:rPr>
          <w:rFonts w:ascii="Tahoma" w:hAnsi="Tahoma" w:cs="Tahoma"/>
          <w:b/>
          <w:bCs/>
          <w:sz w:val="22"/>
          <w:szCs w:val="22"/>
        </w:rPr>
        <w:t xml:space="preserve"> importance of husserl’s phenomenological method to </w:t>
      </w:r>
      <w:r>
        <w:rPr>
          <w:rFonts w:ascii="Tahoma" w:hAnsi="Tahoma" w:cs="Tahoma"/>
          <w:b/>
          <w:bCs/>
          <w:sz w:val="22"/>
          <w:szCs w:val="22"/>
        </w:rPr>
        <w:t>epistemology</w:t>
      </w:r>
    </w:p>
    <w:p w14:paraId="6EFA5948"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It restores certainty to knowledge by returning to pure experience, free from assumptions.</w:t>
      </w:r>
    </w:p>
    <w:p w14:paraId="15400D27"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It provides a firm foundation for all sciences by clarifying how objects are given to consciousness.</w:t>
      </w:r>
    </w:p>
    <w:p w14:paraId="55455D85"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It shows the conditions that make knowing possible, focusing on intentional structures.</w:t>
      </w:r>
    </w:p>
    <w:p w14:paraId="612194AD" w14:textId="0991B6A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It overcomes psychologism — reducing logic to mental facts — by treating essences as ideal and objective.</w:t>
      </w:r>
    </w:p>
    <w:p w14:paraId="351F7E24" w14:textId="7065896A"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In The Crisis of European Sciences and Transcendental Phenomenology, Husserl critiques modern science for reductionism — reducing everything to material causes and ignoring spiritual needs like love, justice, and meaning. Science caused alienation, leading to problems like suicide and loss of human connection. Phenomenology brackets scientific influences to address immediate (spiritual) and mediate (empirical) human needs. Philosophy should solve these, not just describe facts.</w:t>
      </w:r>
    </w:p>
    <w:p w14:paraId="14370AEA" w14:textId="77777777" w:rsidR="00154E5D" w:rsidRPr="00154E5D" w:rsidRDefault="00154E5D" w:rsidP="00154E5D">
      <w:pPr>
        <w:spacing w:after="0" w:line="240" w:lineRule="auto"/>
        <w:jc w:val="both"/>
        <w:rPr>
          <w:rFonts w:ascii="Tahoma" w:hAnsi="Tahoma" w:cs="Tahoma"/>
          <w:sz w:val="22"/>
          <w:szCs w:val="22"/>
        </w:rPr>
      </w:pPr>
    </w:p>
    <w:p w14:paraId="0BFEFFA4" w14:textId="65203F16" w:rsidR="00154E5D" w:rsidRPr="008B1BC6" w:rsidRDefault="008B1BC6" w:rsidP="00154E5D">
      <w:pPr>
        <w:spacing w:after="0" w:line="240" w:lineRule="auto"/>
        <w:jc w:val="both"/>
        <w:rPr>
          <w:rFonts w:ascii="Tahoma" w:hAnsi="Tahoma" w:cs="Tahoma"/>
          <w:b/>
          <w:bCs/>
          <w:sz w:val="22"/>
          <w:szCs w:val="22"/>
        </w:rPr>
      </w:pPr>
      <w:r>
        <w:rPr>
          <w:rFonts w:ascii="Tahoma" w:hAnsi="Tahoma" w:cs="Tahoma"/>
          <w:b/>
          <w:bCs/>
          <w:sz w:val="22"/>
          <w:szCs w:val="22"/>
        </w:rPr>
        <w:t>3</w:t>
      </w:r>
      <w:r w:rsidR="00154E5D" w:rsidRPr="008B1BC6">
        <w:rPr>
          <w:rFonts w:ascii="Tahoma" w:hAnsi="Tahoma" w:cs="Tahoma"/>
          <w:b/>
          <w:bCs/>
          <w:sz w:val="22"/>
          <w:szCs w:val="22"/>
        </w:rPr>
        <w:t>.0 DESCARTES’ METHODIC DOUBT</w:t>
      </w:r>
    </w:p>
    <w:p w14:paraId="73F80EE9" w14:textId="6769A631"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René Descartes developed the </w:t>
      </w:r>
      <w:r>
        <w:rPr>
          <w:rFonts w:ascii="Tahoma" w:hAnsi="Tahoma" w:cs="Tahoma"/>
          <w:b/>
          <w:bCs/>
          <w:sz w:val="22"/>
          <w:szCs w:val="22"/>
        </w:rPr>
        <w:t>methodic</w:t>
      </w:r>
      <w:r w:rsidRPr="00154E5D">
        <w:rPr>
          <w:rFonts w:ascii="Tahoma" w:hAnsi="Tahoma" w:cs="Tahoma"/>
          <w:b/>
          <w:bCs/>
          <w:sz w:val="22"/>
          <w:szCs w:val="22"/>
        </w:rPr>
        <w:t xml:space="preserve"> doubt</w:t>
      </w:r>
      <w:r w:rsidRPr="00154E5D">
        <w:rPr>
          <w:rFonts w:ascii="Tahoma" w:hAnsi="Tahoma" w:cs="Tahoma"/>
          <w:sz w:val="22"/>
          <w:szCs w:val="22"/>
        </w:rPr>
        <w:t xml:space="preserve"> as a systematic tool to find absolutely certain knowledge. He wanted to build philosophy and science on a firm, indubitable foundation, free from any possible error. In his </w:t>
      </w:r>
      <w:r w:rsidRPr="00154E5D">
        <w:rPr>
          <w:rFonts w:ascii="Tahoma" w:hAnsi="Tahoma" w:cs="Tahoma"/>
          <w:i/>
          <w:iCs/>
          <w:sz w:val="22"/>
          <w:szCs w:val="22"/>
        </w:rPr>
        <w:t>Meditations on First Philosophy</w:t>
      </w:r>
      <w:r>
        <w:rPr>
          <w:rFonts w:ascii="Tahoma" w:hAnsi="Tahoma" w:cs="Tahoma"/>
          <w:i/>
          <w:iCs/>
          <w:sz w:val="22"/>
          <w:szCs w:val="22"/>
        </w:rPr>
        <w:t>,</w:t>
      </w:r>
      <w:r w:rsidRPr="00154E5D">
        <w:rPr>
          <w:rFonts w:ascii="Tahoma" w:hAnsi="Tahoma" w:cs="Tahoma"/>
          <w:sz w:val="22"/>
          <w:szCs w:val="22"/>
        </w:rPr>
        <w:t xml:space="preserve"> he explains this method step by step.</w:t>
      </w:r>
    </w:p>
    <w:p w14:paraId="38F78756" w14:textId="100B4F20"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Descartes begins by noting that he has believed many false things in the past. To avoid error forever, he decides to doubt everything that can possibly be doubted. He applies doubt in stages: first to the senses (which often deceive, like optical illusions), then to dreams (which feel real but are false), and finally to an extreme evil demon hypothesis that could deceive him even in simple truths like mathematics. Through this radical process, he doubts </w:t>
      </w:r>
      <w:r w:rsidR="008B1BC6">
        <w:rPr>
          <w:rFonts w:ascii="Tahoma" w:hAnsi="Tahoma" w:cs="Tahoma"/>
          <w:sz w:val="22"/>
          <w:szCs w:val="22"/>
        </w:rPr>
        <w:t xml:space="preserve">his </w:t>
      </w:r>
      <w:r w:rsidRPr="00154E5D">
        <w:rPr>
          <w:rFonts w:ascii="Tahoma" w:hAnsi="Tahoma" w:cs="Tahoma"/>
          <w:sz w:val="22"/>
          <w:szCs w:val="22"/>
        </w:rPr>
        <w:t xml:space="preserve">senses, the external world, his body, and even abstract reasoning. But he discovers one thing he cannot doubt: while doubting, he exists as a thinking thing. This leads to the famous conclusion: </w:t>
      </w:r>
      <w:r w:rsidRPr="00154E5D">
        <w:rPr>
          <w:rFonts w:ascii="Tahoma" w:hAnsi="Tahoma" w:cs="Tahoma"/>
          <w:b/>
          <w:bCs/>
          <w:sz w:val="22"/>
          <w:szCs w:val="22"/>
        </w:rPr>
        <w:t>"Cogito, ergo sum"</w:t>
      </w:r>
      <w:r w:rsidRPr="00154E5D">
        <w:rPr>
          <w:rFonts w:ascii="Tahoma" w:hAnsi="Tahoma" w:cs="Tahoma"/>
          <w:sz w:val="22"/>
          <w:szCs w:val="22"/>
        </w:rPr>
        <w:t xml:space="preserve"> — "I think, therefore I am." From this certain starting point, he rebuilds knowledge by proving God’s existence (as a non-deceiver) and then restoring belief in the external world and sciences.</w:t>
      </w:r>
    </w:p>
    <w:p w14:paraId="0B0FD01A"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The method is called "methodic" because it is systematic: doubt is applied to classes of beliefs (senses, dreams, intellect), not randomly. It is temporary and provisional — not permanent skepticism. The goal is certainty like mathematics: clear, distinct, and indubitable ideas.</w:t>
      </w:r>
    </w:p>
    <w:p w14:paraId="3512C7D3" w14:textId="77777777" w:rsidR="00154E5D" w:rsidRDefault="00154E5D" w:rsidP="00154E5D">
      <w:pPr>
        <w:spacing w:after="0" w:line="240" w:lineRule="auto"/>
        <w:jc w:val="both"/>
        <w:rPr>
          <w:rFonts w:ascii="Tahoma" w:hAnsi="Tahoma" w:cs="Tahoma"/>
          <w:sz w:val="22"/>
          <w:szCs w:val="22"/>
        </w:rPr>
      </w:pPr>
    </w:p>
    <w:p w14:paraId="585625B2" w14:textId="66C11C9E" w:rsidR="008B1BC6" w:rsidRPr="008B1BC6" w:rsidRDefault="008B1BC6" w:rsidP="00154E5D">
      <w:pPr>
        <w:spacing w:after="0" w:line="240" w:lineRule="auto"/>
        <w:jc w:val="both"/>
        <w:rPr>
          <w:rFonts w:ascii="Tahoma" w:hAnsi="Tahoma" w:cs="Tahoma"/>
          <w:b/>
          <w:bCs/>
          <w:sz w:val="22"/>
          <w:szCs w:val="22"/>
        </w:rPr>
      </w:pPr>
      <w:r>
        <w:rPr>
          <w:rFonts w:ascii="Tahoma" w:hAnsi="Tahoma" w:cs="Tahoma"/>
          <w:b/>
          <w:bCs/>
          <w:sz w:val="22"/>
          <w:szCs w:val="22"/>
        </w:rPr>
        <w:t>4.0 COMPARATIVE ANALYSIS BETWEEN HURSELL AND DESCARTES</w:t>
      </w:r>
    </w:p>
    <w:p w14:paraId="16B4DF75" w14:textId="4B0FC1E0"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4.</w:t>
      </w:r>
      <w:r w:rsidR="008B1BC6">
        <w:rPr>
          <w:rFonts w:ascii="Tahoma" w:hAnsi="Tahoma" w:cs="Tahoma"/>
          <w:b/>
          <w:bCs/>
          <w:sz w:val="22"/>
          <w:szCs w:val="22"/>
        </w:rPr>
        <w:t>1</w:t>
      </w:r>
      <w:r w:rsidRPr="008B1BC6">
        <w:rPr>
          <w:rFonts w:ascii="Tahoma" w:hAnsi="Tahoma" w:cs="Tahoma"/>
          <w:b/>
          <w:bCs/>
          <w:sz w:val="22"/>
          <w:szCs w:val="22"/>
        </w:rPr>
        <w:t xml:space="preserve"> Similarities Between Husserl and Descartes</w:t>
      </w:r>
    </w:p>
    <w:p w14:paraId="33ED3983"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Both seek certain, presuppositionless knowledge.  </w:t>
      </w:r>
    </w:p>
    <w:p w14:paraId="2EC41E4C"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Both suspend the natural attitude — Descartes through doubt, Husserl through epoché.  </w:t>
      </w:r>
    </w:p>
    <w:p w14:paraId="34CB1CEE"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Both start from the subject (ego or consciousness) as foundation.  </w:t>
      </w:r>
    </w:p>
    <w:p w14:paraId="7A5E4CAD" w14:textId="1973D602"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Both react to crises: Descartes to skepticism, Husserl to scientism.</w:t>
      </w:r>
    </w:p>
    <w:p w14:paraId="24AC134D" w14:textId="6EE8F510"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4.</w:t>
      </w:r>
      <w:r w:rsidR="008B1BC6">
        <w:rPr>
          <w:rFonts w:ascii="Tahoma" w:hAnsi="Tahoma" w:cs="Tahoma"/>
          <w:b/>
          <w:bCs/>
          <w:sz w:val="22"/>
          <w:szCs w:val="22"/>
        </w:rPr>
        <w:t>2</w:t>
      </w:r>
      <w:r w:rsidRPr="008B1BC6">
        <w:rPr>
          <w:rFonts w:ascii="Tahoma" w:hAnsi="Tahoma" w:cs="Tahoma"/>
          <w:b/>
          <w:bCs/>
          <w:sz w:val="22"/>
          <w:szCs w:val="22"/>
        </w:rPr>
        <w:t xml:space="preserve"> Differences Between Husserl’s Method and Descartes’ Method</w:t>
      </w:r>
    </w:p>
    <w:p w14:paraId="786D3142"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 Descartes uses hyperbolic doubt (denying possibilities); Husserl uses suspension (bracketing without denial).  </w:t>
      </w:r>
    </w:p>
    <w:p w14:paraId="1007AB56"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 Descartes aims at metaphysical certainty (proving existence of self, God, world); Husserl aims at epistemological clarification (describing how meaning forms).  </w:t>
      </w:r>
    </w:p>
    <w:p w14:paraId="1144CD8C"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 Descartes rejects the world temporarily to rebuild; Husserl keeps the world as phenomenon but brackets existence claims.  </w:t>
      </w:r>
    </w:p>
    <w:p w14:paraId="178E3C65"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xml:space="preserve">- Descartes sees consciousness without intentionality (thinking as separate); Husserl stresses intentionality — consciousness is always of something.  </w:t>
      </w:r>
    </w:p>
    <w:p w14:paraId="46AF9B93"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lastRenderedPageBreak/>
        <w:t xml:space="preserve">- Descartes’ ego is a substance from which world derives; Husserl’s transcendental ego is the horizon where everything appears.  </w:t>
      </w:r>
    </w:p>
    <w:p w14:paraId="6D553941" w14:textId="7A0E60DE"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 Descartes’ method is rational and deductive; Husserl’s is descriptive and empirical from first-person perspective.</w:t>
      </w:r>
    </w:p>
    <w:p w14:paraId="79826C98"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 sees Descartes’ doubt as a misapplied epoché. Descartes separates thinking from ego and treats it logically, not as intentional.</w:t>
      </w:r>
    </w:p>
    <w:p w14:paraId="1B8CF856" w14:textId="77777777" w:rsidR="00154E5D" w:rsidRPr="00154E5D" w:rsidRDefault="00154E5D" w:rsidP="00154E5D">
      <w:pPr>
        <w:spacing w:after="0" w:line="240" w:lineRule="auto"/>
        <w:jc w:val="both"/>
        <w:rPr>
          <w:rFonts w:ascii="Tahoma" w:hAnsi="Tahoma" w:cs="Tahoma"/>
          <w:sz w:val="22"/>
          <w:szCs w:val="22"/>
        </w:rPr>
      </w:pPr>
    </w:p>
    <w:p w14:paraId="7BF4A0B8" w14:textId="14A720CF"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5.0 CRITICAL EVALUATION</w:t>
      </w:r>
    </w:p>
    <w:p w14:paraId="4CA45B89" w14:textId="6AA257EC"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Husserl’s method has strengths: it gives rich insight into lived experience, removes bias through bracketing, and describes details often missed by science. It influenced thinkers like Heidegger.</w:t>
      </w:r>
    </w:p>
    <w:p w14:paraId="552C9399" w14:textId="7113F7CF"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Limitations include high subjectivity — hard to generalize from personal views. Bracketing biases fully is difficult. Focusing only on consciousness may ignore external factors.</w:t>
      </w:r>
    </w:p>
    <w:p w14:paraId="2A274AE5" w14:textId="77777777" w:rsidR="00154E5D" w:rsidRPr="00154E5D" w:rsidRDefault="00154E5D" w:rsidP="00154E5D">
      <w:pPr>
        <w:spacing w:after="0" w:line="240" w:lineRule="auto"/>
        <w:jc w:val="both"/>
        <w:rPr>
          <w:rFonts w:ascii="Tahoma" w:hAnsi="Tahoma" w:cs="Tahoma"/>
          <w:sz w:val="22"/>
          <w:szCs w:val="22"/>
        </w:rPr>
      </w:pPr>
      <w:r w:rsidRPr="00154E5D">
        <w:rPr>
          <w:rFonts w:ascii="Tahoma" w:hAnsi="Tahoma" w:cs="Tahoma"/>
          <w:sz w:val="22"/>
          <w:szCs w:val="22"/>
        </w:rPr>
        <w:t>Despite challenges, it offers a profound way to understand meaning in experience.</w:t>
      </w:r>
    </w:p>
    <w:p w14:paraId="407105C3" w14:textId="77777777" w:rsidR="00154E5D" w:rsidRPr="00154E5D" w:rsidRDefault="00154E5D" w:rsidP="00154E5D">
      <w:pPr>
        <w:spacing w:after="0" w:line="240" w:lineRule="auto"/>
        <w:jc w:val="both"/>
        <w:rPr>
          <w:rFonts w:ascii="Tahoma" w:hAnsi="Tahoma" w:cs="Tahoma"/>
          <w:sz w:val="22"/>
          <w:szCs w:val="22"/>
        </w:rPr>
      </w:pPr>
    </w:p>
    <w:p w14:paraId="4AF6EA1F" w14:textId="32E0BBDE" w:rsidR="00154E5D" w:rsidRPr="008B1BC6" w:rsidRDefault="00154E5D" w:rsidP="00154E5D">
      <w:pPr>
        <w:spacing w:after="0" w:line="240" w:lineRule="auto"/>
        <w:jc w:val="both"/>
        <w:rPr>
          <w:rFonts w:ascii="Tahoma" w:hAnsi="Tahoma" w:cs="Tahoma"/>
          <w:b/>
          <w:bCs/>
          <w:sz w:val="22"/>
          <w:szCs w:val="22"/>
        </w:rPr>
      </w:pPr>
      <w:r w:rsidRPr="008B1BC6">
        <w:rPr>
          <w:rFonts w:ascii="Tahoma" w:hAnsi="Tahoma" w:cs="Tahoma"/>
          <w:b/>
          <w:bCs/>
          <w:sz w:val="22"/>
          <w:szCs w:val="22"/>
        </w:rPr>
        <w:t>6.0 CONCLUSION</w:t>
      </w:r>
    </w:p>
    <w:p w14:paraId="21E4B213" w14:textId="3161764C" w:rsidR="00292EEB" w:rsidRDefault="008B1BC6" w:rsidP="00154E5D">
      <w:pPr>
        <w:spacing w:after="0" w:line="240" w:lineRule="auto"/>
        <w:jc w:val="both"/>
        <w:rPr>
          <w:rFonts w:ascii="Tahoma" w:hAnsi="Tahoma" w:cs="Tahoma"/>
          <w:sz w:val="22"/>
          <w:szCs w:val="22"/>
        </w:rPr>
      </w:pPr>
      <w:r>
        <w:rPr>
          <w:rFonts w:ascii="Tahoma" w:hAnsi="Tahoma" w:cs="Tahoma"/>
          <w:sz w:val="22"/>
          <w:szCs w:val="22"/>
        </w:rPr>
        <w:t>SAY SOMETHING…</w:t>
      </w:r>
    </w:p>
    <w:p w14:paraId="17FE6FC1" w14:textId="77777777" w:rsidR="00FD7AF8" w:rsidRDefault="00FD7AF8" w:rsidP="00154E5D">
      <w:pPr>
        <w:spacing w:after="0" w:line="240" w:lineRule="auto"/>
        <w:jc w:val="both"/>
        <w:rPr>
          <w:rFonts w:ascii="Tahoma" w:hAnsi="Tahoma" w:cs="Tahoma"/>
          <w:sz w:val="22"/>
          <w:szCs w:val="22"/>
        </w:rPr>
      </w:pPr>
    </w:p>
    <w:p w14:paraId="61292A53" w14:textId="77777777" w:rsidR="00D63485" w:rsidRDefault="00D63485" w:rsidP="00D63485">
      <w:pPr>
        <w:spacing w:after="0" w:line="240" w:lineRule="auto"/>
        <w:jc w:val="both"/>
        <w:rPr>
          <w:rFonts w:ascii="Tahoma" w:hAnsi="Tahoma" w:cs="Tahoma"/>
          <w:sz w:val="22"/>
          <w:szCs w:val="22"/>
        </w:rPr>
      </w:pPr>
    </w:p>
    <w:p w14:paraId="4EAE48C5" w14:textId="77777777" w:rsidR="00D63485" w:rsidRPr="00D63485" w:rsidRDefault="00D63485" w:rsidP="00D63485">
      <w:pPr>
        <w:spacing w:after="0" w:line="240" w:lineRule="auto"/>
        <w:jc w:val="center"/>
        <w:rPr>
          <w:rFonts w:ascii="Tahoma" w:hAnsi="Tahoma" w:cs="Tahoma"/>
          <w:b/>
          <w:bCs/>
          <w:sz w:val="22"/>
          <w:szCs w:val="22"/>
        </w:rPr>
      </w:pPr>
      <w:r w:rsidRPr="00D63485">
        <w:rPr>
          <w:rFonts w:ascii="Tahoma" w:hAnsi="Tahoma" w:cs="Tahoma"/>
          <w:b/>
          <w:bCs/>
          <w:sz w:val="22"/>
          <w:szCs w:val="22"/>
        </w:rPr>
        <w:t xml:space="preserve">QUESTION 2 </w:t>
      </w:r>
    </w:p>
    <w:p w14:paraId="5C487E60" w14:textId="1978E9CE" w:rsidR="00D63485" w:rsidRPr="00D63485" w:rsidRDefault="00D63485" w:rsidP="00D63485">
      <w:pPr>
        <w:spacing w:after="0" w:line="240" w:lineRule="auto"/>
        <w:jc w:val="center"/>
        <w:rPr>
          <w:rFonts w:ascii="Tahoma" w:hAnsi="Tahoma" w:cs="Tahoma"/>
          <w:b/>
          <w:bCs/>
          <w:sz w:val="22"/>
          <w:szCs w:val="22"/>
        </w:rPr>
      </w:pPr>
      <w:r w:rsidRPr="00D63485">
        <w:rPr>
          <w:rFonts w:ascii="Tahoma" w:hAnsi="Tahoma" w:cs="Tahoma"/>
          <w:b/>
          <w:bCs/>
          <w:sz w:val="22"/>
          <w:szCs w:val="22"/>
        </w:rPr>
        <w:t>Discuss Heidegger’s concept of Being-in-the-World and critically relate it to Husserl’s Transcendental Phenomenology.</w:t>
      </w:r>
    </w:p>
    <w:p w14:paraId="3BBF7094" w14:textId="77777777" w:rsidR="00D63485" w:rsidRDefault="00D63485" w:rsidP="00D63485">
      <w:pPr>
        <w:spacing w:after="0" w:line="240" w:lineRule="auto"/>
        <w:jc w:val="center"/>
        <w:rPr>
          <w:rFonts w:ascii="Tahoma" w:hAnsi="Tahoma" w:cs="Tahoma"/>
          <w:sz w:val="22"/>
          <w:szCs w:val="22"/>
        </w:rPr>
      </w:pPr>
    </w:p>
    <w:p w14:paraId="31755627" w14:textId="0349A805"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Outline</w:t>
      </w:r>
    </w:p>
    <w:p w14:paraId="7D76E537"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1.0 INTRODUCTION  </w:t>
      </w:r>
    </w:p>
    <w:p w14:paraId="55446105"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2.0 HUSSERL’S TRANSCENDENTAL PHENOMENOLOGY  </w:t>
      </w:r>
    </w:p>
    <w:p w14:paraId="3B4AE857" w14:textId="620FEDE9"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2.1 The Three Stages of Husserl’s Phenomenological Method</w:t>
      </w:r>
    </w:p>
    <w:p w14:paraId="43C01E2F"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3.0 HEIDEGGER’S CONCEPT OF BEING-IN-THE-WORLD  </w:t>
      </w:r>
    </w:p>
    <w:p w14:paraId="3C52BCFA" w14:textId="0EE74906"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3.1 Dasein as the Starting Point  </w:t>
      </w:r>
    </w:p>
    <w:p w14:paraId="4D289CBC" w14:textId="59E92ED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3.2 Meaning of Being-in-the-World  </w:t>
      </w:r>
    </w:p>
    <w:p w14:paraId="2A11B0F0" w14:textId="61B6C8C4"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3.3 Existential Structures (Brief Mention)  </w:t>
      </w:r>
    </w:p>
    <w:p w14:paraId="03BDBC76"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4.0 COMPARISON BETWEEN HUSSERL AND HEIDEGGER  </w:t>
      </w:r>
    </w:p>
    <w:p w14:paraId="20F3A31B" w14:textId="1EA4DF2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4.1 Points of Difference </w:t>
      </w:r>
    </w:p>
    <w:p w14:paraId="3DC50B0A" w14:textId="5E717B74"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4.2 </w:t>
      </w:r>
      <w:r w:rsidR="00D921A9">
        <w:rPr>
          <w:rFonts w:ascii="Tahoma" w:hAnsi="Tahoma" w:cs="Tahoma"/>
          <w:sz w:val="22"/>
          <w:szCs w:val="22"/>
        </w:rPr>
        <w:t>Similarities</w:t>
      </w:r>
      <w:r w:rsidRPr="00D63485">
        <w:rPr>
          <w:rFonts w:ascii="Tahoma" w:hAnsi="Tahoma" w:cs="Tahoma"/>
          <w:sz w:val="22"/>
          <w:szCs w:val="22"/>
        </w:rPr>
        <w:t xml:space="preserve">  </w:t>
      </w:r>
    </w:p>
    <w:p w14:paraId="4B455C5E"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5.0 EVALUATION  </w:t>
      </w:r>
    </w:p>
    <w:p w14:paraId="3EF564E8"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6.0 CONCLUSION  </w:t>
      </w:r>
    </w:p>
    <w:p w14:paraId="672CDB31" w14:textId="77777777" w:rsidR="00D63485" w:rsidRPr="00D63485" w:rsidRDefault="00D63485" w:rsidP="00D63485">
      <w:pPr>
        <w:spacing w:after="0" w:line="240" w:lineRule="auto"/>
        <w:jc w:val="both"/>
        <w:rPr>
          <w:rFonts w:ascii="Tahoma" w:hAnsi="Tahoma" w:cs="Tahoma"/>
          <w:sz w:val="22"/>
          <w:szCs w:val="22"/>
        </w:rPr>
      </w:pPr>
    </w:p>
    <w:p w14:paraId="76D5F7AB" w14:textId="0F2A8B9B" w:rsidR="00D63485" w:rsidRPr="00D63485" w:rsidRDefault="00D63485" w:rsidP="00D63485">
      <w:pPr>
        <w:spacing w:after="0" w:line="240" w:lineRule="auto"/>
        <w:jc w:val="both"/>
        <w:rPr>
          <w:rFonts w:ascii="Tahoma" w:hAnsi="Tahoma" w:cs="Tahoma"/>
          <w:b/>
          <w:bCs/>
          <w:sz w:val="22"/>
          <w:szCs w:val="22"/>
        </w:rPr>
      </w:pPr>
      <w:r w:rsidRPr="00D63485">
        <w:rPr>
          <w:rFonts w:ascii="Tahoma" w:hAnsi="Tahoma" w:cs="Tahoma"/>
          <w:b/>
          <w:bCs/>
          <w:sz w:val="22"/>
          <w:szCs w:val="22"/>
        </w:rPr>
        <w:t>1.0 INTRODUCTION</w:t>
      </w:r>
    </w:p>
    <w:p w14:paraId="408F043E" w14:textId="6E3A6B35"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Martin Heidegger (1889–1976) was Edmund Husserl's student and assistant. He started in Husserl's phenomenological tradition but later became a sharp critic. Heidegger shifted phenomenology from a focus on pure consciousness to a deeper study of human existence in the world.</w:t>
      </w:r>
    </w:p>
    <w:p w14:paraId="7FCA01C9" w14:textId="522FCF68"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Husserl's transcendental phenomenology centers on consciousness and how it constitutes meaning. Heidegger, in his major work Being and Time (1927), develops the concept of Being-in-the-world (In-der-Welt-sein), which sees human being as always already involved in a meaningful world.</w:t>
      </w:r>
    </w:p>
    <w:p w14:paraId="03B388E4"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This essay first explains Husserl's transcendental phenomenology briefly. It then discusses Heidegger's Being-in-the-world in detail. Next, it compares the two approaches, highlighting key differences. Finally, it evaluates Heidegger's existential turn and concludes with the main shift in phenomenology.</w:t>
      </w:r>
    </w:p>
    <w:p w14:paraId="19973287" w14:textId="77777777" w:rsidR="00D63485" w:rsidRPr="00D63485" w:rsidRDefault="00D63485" w:rsidP="00D63485">
      <w:pPr>
        <w:spacing w:after="0" w:line="240" w:lineRule="auto"/>
        <w:jc w:val="both"/>
        <w:rPr>
          <w:rFonts w:ascii="Tahoma" w:hAnsi="Tahoma" w:cs="Tahoma"/>
          <w:sz w:val="22"/>
          <w:szCs w:val="22"/>
        </w:rPr>
      </w:pPr>
    </w:p>
    <w:p w14:paraId="4CFFFCF6" w14:textId="6DB554C3" w:rsidR="00D63485" w:rsidRPr="00D63485" w:rsidRDefault="00D63485" w:rsidP="00D63485">
      <w:pPr>
        <w:spacing w:after="0" w:line="240" w:lineRule="auto"/>
        <w:jc w:val="both"/>
        <w:rPr>
          <w:rFonts w:ascii="Tahoma" w:hAnsi="Tahoma" w:cs="Tahoma"/>
          <w:b/>
          <w:bCs/>
          <w:sz w:val="22"/>
          <w:szCs w:val="22"/>
        </w:rPr>
      </w:pPr>
      <w:r w:rsidRPr="00D63485">
        <w:rPr>
          <w:rFonts w:ascii="Tahoma" w:hAnsi="Tahoma" w:cs="Tahoma"/>
          <w:b/>
          <w:bCs/>
          <w:sz w:val="22"/>
          <w:szCs w:val="22"/>
        </w:rPr>
        <w:t>2.0 HUSSERL’S TRANSCENDENTAL PHENOMENOLOGY</w:t>
      </w:r>
    </w:p>
    <w:p w14:paraId="31CB80B6" w14:textId="6081BC71" w:rsidR="00D63485" w:rsidRPr="00D63485" w:rsidRDefault="00D63485" w:rsidP="00D63485">
      <w:pPr>
        <w:spacing w:after="0" w:line="240" w:lineRule="auto"/>
        <w:jc w:val="both"/>
        <w:rPr>
          <w:rFonts w:ascii="Tahoma" w:hAnsi="Tahoma" w:cs="Tahoma"/>
          <w:sz w:val="22"/>
          <w:szCs w:val="22"/>
        </w:rPr>
      </w:pPr>
      <w:r w:rsidRPr="00154E5D">
        <w:rPr>
          <w:rFonts w:ascii="Tahoma" w:hAnsi="Tahoma" w:cs="Tahoma"/>
          <w:sz w:val="22"/>
          <w:szCs w:val="22"/>
        </w:rPr>
        <w:t>Husserl’s method is a way to clarify knowledge itself. It does not study facts about the world like empirical science does. Instead, it examines how knowledge forms in consciousness. The method looks at structures of experience to find what makes knowing possible. It is epistemic clarification: showing conditions under which objects gain meaning for us.</w:t>
      </w:r>
    </w:p>
    <w:p w14:paraId="6715A2BA" w14:textId="3447AA42" w:rsidR="00D63485" w:rsidRPr="008B1BC6" w:rsidRDefault="00D63485" w:rsidP="00D63485">
      <w:pPr>
        <w:spacing w:after="0" w:line="240" w:lineRule="auto"/>
        <w:jc w:val="both"/>
        <w:rPr>
          <w:rFonts w:ascii="Tahoma" w:hAnsi="Tahoma" w:cs="Tahoma"/>
          <w:b/>
          <w:bCs/>
          <w:sz w:val="22"/>
          <w:szCs w:val="22"/>
        </w:rPr>
      </w:pPr>
      <w:r w:rsidRPr="008B1BC6">
        <w:rPr>
          <w:rFonts w:ascii="Tahoma" w:hAnsi="Tahoma" w:cs="Tahoma"/>
          <w:b/>
          <w:bCs/>
          <w:sz w:val="22"/>
          <w:szCs w:val="22"/>
        </w:rPr>
        <w:t>2.</w:t>
      </w:r>
      <w:r>
        <w:rPr>
          <w:rFonts w:ascii="Tahoma" w:hAnsi="Tahoma" w:cs="Tahoma"/>
          <w:b/>
          <w:bCs/>
          <w:sz w:val="22"/>
          <w:szCs w:val="22"/>
        </w:rPr>
        <w:t>1</w:t>
      </w:r>
      <w:r w:rsidRPr="008B1BC6">
        <w:rPr>
          <w:rFonts w:ascii="Tahoma" w:hAnsi="Tahoma" w:cs="Tahoma"/>
          <w:b/>
          <w:bCs/>
          <w:sz w:val="22"/>
          <w:szCs w:val="22"/>
        </w:rPr>
        <w:t xml:space="preserve"> </w:t>
      </w:r>
      <w:bookmarkStart w:id="0" w:name="_Hlk220024291"/>
      <w:r w:rsidRPr="008B1BC6">
        <w:rPr>
          <w:rFonts w:ascii="Tahoma" w:hAnsi="Tahoma" w:cs="Tahoma"/>
          <w:b/>
          <w:bCs/>
          <w:sz w:val="22"/>
          <w:szCs w:val="22"/>
        </w:rPr>
        <w:t>The Three Stages of Husserl’s Phenomenological Method</w:t>
      </w:r>
      <w:bookmarkEnd w:id="0"/>
    </w:p>
    <w:p w14:paraId="4410A6E4" w14:textId="77777777" w:rsidR="00D63485" w:rsidRPr="00154E5D" w:rsidRDefault="00D63485" w:rsidP="00D63485">
      <w:pPr>
        <w:spacing w:after="0" w:line="240" w:lineRule="auto"/>
        <w:jc w:val="both"/>
        <w:rPr>
          <w:rFonts w:ascii="Tahoma" w:hAnsi="Tahoma" w:cs="Tahoma"/>
          <w:sz w:val="22"/>
          <w:szCs w:val="22"/>
        </w:rPr>
      </w:pPr>
      <w:r w:rsidRPr="00154E5D">
        <w:rPr>
          <w:rFonts w:ascii="Tahoma" w:hAnsi="Tahoma" w:cs="Tahoma"/>
          <w:sz w:val="22"/>
          <w:szCs w:val="22"/>
        </w:rPr>
        <w:t>Husserl’s method has three connected stages. They help move from everyday seeing to pure insight.</w:t>
      </w:r>
    </w:p>
    <w:p w14:paraId="4DDF5331" w14:textId="1A7A66AC" w:rsidR="00D63485" w:rsidRPr="00154E5D" w:rsidRDefault="00D63485" w:rsidP="00D63485">
      <w:pPr>
        <w:spacing w:after="0" w:line="240" w:lineRule="auto"/>
        <w:jc w:val="both"/>
        <w:rPr>
          <w:rFonts w:ascii="Tahoma" w:hAnsi="Tahoma" w:cs="Tahoma"/>
          <w:sz w:val="22"/>
          <w:szCs w:val="22"/>
        </w:rPr>
      </w:pPr>
      <w:r w:rsidRPr="008B1BC6">
        <w:rPr>
          <w:rFonts w:ascii="Tahoma" w:hAnsi="Tahoma" w:cs="Tahoma"/>
          <w:b/>
          <w:bCs/>
          <w:sz w:val="22"/>
          <w:szCs w:val="22"/>
        </w:rPr>
        <w:t>2.</w:t>
      </w:r>
      <w:r>
        <w:rPr>
          <w:rFonts w:ascii="Tahoma" w:hAnsi="Tahoma" w:cs="Tahoma"/>
          <w:b/>
          <w:bCs/>
          <w:sz w:val="22"/>
          <w:szCs w:val="22"/>
        </w:rPr>
        <w:t>1</w:t>
      </w:r>
      <w:r w:rsidRPr="008B1BC6">
        <w:rPr>
          <w:rFonts w:ascii="Tahoma" w:hAnsi="Tahoma" w:cs="Tahoma"/>
          <w:b/>
          <w:bCs/>
          <w:sz w:val="22"/>
          <w:szCs w:val="22"/>
        </w:rPr>
        <w:t>.1 Epoché (Bracketing):</w:t>
      </w:r>
      <w:r>
        <w:rPr>
          <w:rFonts w:ascii="Tahoma" w:hAnsi="Tahoma" w:cs="Tahoma"/>
          <w:sz w:val="22"/>
          <w:szCs w:val="22"/>
        </w:rPr>
        <w:t xml:space="preserve"> </w:t>
      </w:r>
      <w:r w:rsidRPr="00154E5D">
        <w:rPr>
          <w:rFonts w:ascii="Tahoma" w:hAnsi="Tahoma" w:cs="Tahoma"/>
          <w:sz w:val="22"/>
          <w:szCs w:val="22"/>
        </w:rPr>
        <w:t>Epoché is the first stage. It means bracketing or suspending judgment about the real existence of the external world. Husserl calls this suspension of the natural attitude — our usual way of accepting the world as obviously real without question.</w:t>
      </w:r>
      <w:r>
        <w:rPr>
          <w:rFonts w:ascii="Tahoma" w:hAnsi="Tahoma" w:cs="Tahoma"/>
          <w:sz w:val="22"/>
          <w:szCs w:val="22"/>
        </w:rPr>
        <w:t xml:space="preserve"> </w:t>
      </w:r>
      <w:r w:rsidRPr="00154E5D">
        <w:rPr>
          <w:rFonts w:ascii="Tahoma" w:hAnsi="Tahoma" w:cs="Tahoma"/>
          <w:sz w:val="22"/>
          <w:szCs w:val="22"/>
        </w:rPr>
        <w:t xml:space="preserve">In the natural attitude, we live with biases and </w:t>
      </w:r>
      <w:r w:rsidRPr="00154E5D">
        <w:rPr>
          <w:rFonts w:ascii="Tahoma" w:hAnsi="Tahoma" w:cs="Tahoma"/>
          <w:sz w:val="22"/>
          <w:szCs w:val="22"/>
        </w:rPr>
        <w:lastRenderedPageBreak/>
        <w:t>preconceptions. For example, we assume things exist independently because of past experiences or cultural views. Epoché does not deny existence; it sets aside belief in it. This allows reality to show itself purely, without distortion from judgments.</w:t>
      </w:r>
    </w:p>
    <w:p w14:paraId="0B875AE4" w14:textId="77777777" w:rsidR="00D63485" w:rsidRPr="00154E5D" w:rsidRDefault="00D63485" w:rsidP="00D63485">
      <w:pPr>
        <w:spacing w:after="0" w:line="240" w:lineRule="auto"/>
        <w:jc w:val="both"/>
        <w:rPr>
          <w:rFonts w:ascii="Tahoma" w:hAnsi="Tahoma" w:cs="Tahoma"/>
          <w:sz w:val="22"/>
          <w:szCs w:val="22"/>
        </w:rPr>
      </w:pPr>
      <w:r w:rsidRPr="00154E5D">
        <w:rPr>
          <w:rFonts w:ascii="Tahoma" w:hAnsi="Tahoma" w:cs="Tahoma"/>
          <w:sz w:val="22"/>
          <w:szCs w:val="22"/>
        </w:rPr>
        <w:t>Husserl explains that epoché starts and ends with structures of consciousness during sense perception. Some scholars divide it into primary (natural) epoché — suspending external biases not personal — and secondary (transcendental) epoché — suspending personal preconceptions. The goal is to prepare consciousness for unbiased seeing.</w:t>
      </w:r>
    </w:p>
    <w:p w14:paraId="62B6995E" w14:textId="73275065" w:rsidR="00D63485" w:rsidRPr="00154E5D" w:rsidRDefault="00D63485" w:rsidP="00D63485">
      <w:pPr>
        <w:spacing w:after="0" w:line="240" w:lineRule="auto"/>
        <w:jc w:val="both"/>
        <w:rPr>
          <w:rFonts w:ascii="Tahoma" w:hAnsi="Tahoma" w:cs="Tahoma"/>
          <w:sz w:val="22"/>
          <w:szCs w:val="22"/>
        </w:rPr>
      </w:pPr>
      <w:r w:rsidRPr="008B1BC6">
        <w:rPr>
          <w:rFonts w:ascii="Tahoma" w:hAnsi="Tahoma" w:cs="Tahoma"/>
          <w:b/>
          <w:bCs/>
          <w:sz w:val="22"/>
          <w:szCs w:val="22"/>
        </w:rPr>
        <w:t>2.</w:t>
      </w:r>
      <w:r>
        <w:rPr>
          <w:rFonts w:ascii="Tahoma" w:hAnsi="Tahoma" w:cs="Tahoma"/>
          <w:b/>
          <w:bCs/>
          <w:sz w:val="22"/>
          <w:szCs w:val="22"/>
        </w:rPr>
        <w:t>1</w:t>
      </w:r>
      <w:r w:rsidRPr="008B1BC6">
        <w:rPr>
          <w:rFonts w:ascii="Tahoma" w:hAnsi="Tahoma" w:cs="Tahoma"/>
          <w:b/>
          <w:bCs/>
          <w:sz w:val="22"/>
          <w:szCs w:val="22"/>
        </w:rPr>
        <w:t>.2 Phenomenological Reduction:</w:t>
      </w:r>
      <w:r>
        <w:rPr>
          <w:rFonts w:ascii="Tahoma" w:hAnsi="Tahoma" w:cs="Tahoma"/>
          <w:sz w:val="22"/>
          <w:szCs w:val="22"/>
        </w:rPr>
        <w:t xml:space="preserve"> </w:t>
      </w:r>
      <w:r w:rsidRPr="00154E5D">
        <w:rPr>
          <w:rFonts w:ascii="Tahoma" w:hAnsi="Tahoma" w:cs="Tahoma"/>
          <w:sz w:val="22"/>
          <w:szCs w:val="22"/>
        </w:rPr>
        <w:t>This stage follows epoché. Here, we reduce experience to pure consciousness. We focus on phenomena as they appear, without linking them to external causes or real objects. Judgment now becomes an act of consciousness based on unbiased perception.</w:t>
      </w:r>
    </w:p>
    <w:p w14:paraId="1226A25D" w14:textId="77777777" w:rsidR="00D63485" w:rsidRPr="00154E5D" w:rsidRDefault="00D63485" w:rsidP="00D63485">
      <w:pPr>
        <w:spacing w:after="0" w:line="240" w:lineRule="auto"/>
        <w:jc w:val="both"/>
        <w:rPr>
          <w:rFonts w:ascii="Tahoma" w:hAnsi="Tahoma" w:cs="Tahoma"/>
          <w:sz w:val="22"/>
          <w:szCs w:val="22"/>
        </w:rPr>
      </w:pPr>
      <w:r w:rsidRPr="00154E5D">
        <w:rPr>
          <w:rFonts w:ascii="Tahoma" w:hAnsi="Tahoma" w:cs="Tahoma"/>
          <w:sz w:val="22"/>
          <w:szCs w:val="22"/>
        </w:rPr>
        <w:t>For example, if I see a tree, phenomenological reduction describes the seeing itself — colors, shapes, feelings — as intentional acts. It uncovers essences (invariant structures) that make the experience what it is. This links to intentional structures: how consciousness constitutes meaning.</w:t>
      </w:r>
    </w:p>
    <w:p w14:paraId="6F2F7CE2" w14:textId="77777777" w:rsidR="00D63485" w:rsidRPr="00154E5D" w:rsidRDefault="00D63485" w:rsidP="00D63485">
      <w:pPr>
        <w:spacing w:after="0" w:line="240" w:lineRule="auto"/>
        <w:jc w:val="both"/>
        <w:rPr>
          <w:rFonts w:ascii="Tahoma" w:hAnsi="Tahoma" w:cs="Tahoma"/>
          <w:sz w:val="22"/>
          <w:szCs w:val="22"/>
        </w:rPr>
      </w:pPr>
      <w:r w:rsidRPr="00154E5D">
        <w:rPr>
          <w:rFonts w:ascii="Tahoma" w:hAnsi="Tahoma" w:cs="Tahoma"/>
          <w:sz w:val="22"/>
          <w:szCs w:val="22"/>
        </w:rPr>
        <w:t>Phenomenological reduction differs from epoché. Epoché prepares by suspending; reduction actively describes pure phenomena and makes conscious judgments from them.</w:t>
      </w:r>
    </w:p>
    <w:p w14:paraId="0BD6E5A9" w14:textId="3DEBF4C5" w:rsidR="00D63485" w:rsidRPr="00154E5D" w:rsidRDefault="00D63485" w:rsidP="00D63485">
      <w:pPr>
        <w:spacing w:after="0" w:line="240" w:lineRule="auto"/>
        <w:jc w:val="both"/>
        <w:rPr>
          <w:rFonts w:ascii="Tahoma" w:hAnsi="Tahoma" w:cs="Tahoma"/>
          <w:sz w:val="22"/>
          <w:szCs w:val="22"/>
        </w:rPr>
      </w:pPr>
      <w:r w:rsidRPr="008B1BC6">
        <w:rPr>
          <w:rFonts w:ascii="Tahoma" w:hAnsi="Tahoma" w:cs="Tahoma"/>
          <w:b/>
          <w:bCs/>
          <w:sz w:val="22"/>
          <w:szCs w:val="22"/>
        </w:rPr>
        <w:t>2.</w:t>
      </w:r>
      <w:r>
        <w:rPr>
          <w:rFonts w:ascii="Tahoma" w:hAnsi="Tahoma" w:cs="Tahoma"/>
          <w:b/>
          <w:bCs/>
          <w:sz w:val="22"/>
          <w:szCs w:val="22"/>
        </w:rPr>
        <w:t>1</w:t>
      </w:r>
      <w:r w:rsidRPr="008B1BC6">
        <w:rPr>
          <w:rFonts w:ascii="Tahoma" w:hAnsi="Tahoma" w:cs="Tahoma"/>
          <w:b/>
          <w:bCs/>
          <w:sz w:val="22"/>
          <w:szCs w:val="22"/>
        </w:rPr>
        <w:t>.3 Transcendental Reduction:</w:t>
      </w:r>
      <w:r>
        <w:rPr>
          <w:rFonts w:ascii="Tahoma" w:hAnsi="Tahoma" w:cs="Tahoma"/>
          <w:sz w:val="22"/>
          <w:szCs w:val="22"/>
        </w:rPr>
        <w:t xml:space="preserve"> </w:t>
      </w:r>
      <w:r w:rsidRPr="00154E5D">
        <w:rPr>
          <w:rFonts w:ascii="Tahoma" w:hAnsi="Tahoma" w:cs="Tahoma"/>
          <w:sz w:val="22"/>
          <w:szCs w:val="22"/>
        </w:rPr>
        <w:t>This is the deepest stage. It reveals the transcendental ego — the pure "I" that constitutes all meaning. The transcendental ego is not the everyday self but the subject that stands beyond the world while making the world meaningful.</w:t>
      </w:r>
    </w:p>
    <w:p w14:paraId="4E354C1A" w14:textId="77777777" w:rsidR="00D63485" w:rsidRPr="00154E5D" w:rsidRDefault="00D63485" w:rsidP="00D63485">
      <w:pPr>
        <w:spacing w:after="0" w:line="240" w:lineRule="auto"/>
        <w:jc w:val="both"/>
        <w:rPr>
          <w:rFonts w:ascii="Tahoma" w:hAnsi="Tahoma" w:cs="Tahoma"/>
          <w:sz w:val="22"/>
          <w:szCs w:val="22"/>
        </w:rPr>
      </w:pPr>
      <w:r w:rsidRPr="00154E5D">
        <w:rPr>
          <w:rFonts w:ascii="Tahoma" w:hAnsi="Tahoma" w:cs="Tahoma"/>
          <w:sz w:val="22"/>
          <w:szCs w:val="22"/>
        </w:rPr>
        <w:t>In transcendental reduction, consciousness constitutes objects as meaningful. The ego leaves its limited view to judge without bias. Everything — objects, relations, even the world — appears within this transcendental field. This stage shows consciousness as the source of all sense and validity.</w:t>
      </w:r>
    </w:p>
    <w:p w14:paraId="06C7615C" w14:textId="77777777" w:rsidR="00D63485" w:rsidRPr="00D63485" w:rsidRDefault="00D63485" w:rsidP="00D63485">
      <w:pPr>
        <w:spacing w:after="0" w:line="240" w:lineRule="auto"/>
        <w:jc w:val="both"/>
        <w:rPr>
          <w:rFonts w:ascii="Tahoma" w:hAnsi="Tahoma" w:cs="Tahoma"/>
          <w:sz w:val="22"/>
          <w:szCs w:val="22"/>
        </w:rPr>
      </w:pPr>
    </w:p>
    <w:p w14:paraId="0C8E3761" w14:textId="7F4C16FE" w:rsidR="00D63485" w:rsidRPr="00D63485" w:rsidRDefault="00D63485" w:rsidP="00D63485">
      <w:pPr>
        <w:spacing w:after="0" w:line="240" w:lineRule="auto"/>
        <w:jc w:val="both"/>
        <w:rPr>
          <w:rFonts w:ascii="Tahoma" w:hAnsi="Tahoma" w:cs="Tahoma"/>
          <w:b/>
          <w:bCs/>
          <w:sz w:val="22"/>
          <w:szCs w:val="22"/>
        </w:rPr>
      </w:pPr>
      <w:r w:rsidRPr="00D63485">
        <w:rPr>
          <w:rFonts w:ascii="Tahoma" w:hAnsi="Tahoma" w:cs="Tahoma"/>
          <w:b/>
          <w:bCs/>
          <w:sz w:val="22"/>
          <w:szCs w:val="22"/>
        </w:rPr>
        <w:t>3.0 HEIDEGGER’S CONCEPT OF BEING-IN-THE-WORLD</w:t>
      </w:r>
    </w:p>
    <w:p w14:paraId="63390DA4" w14:textId="251AFD18" w:rsidR="00D63485" w:rsidRPr="00D63485" w:rsidRDefault="00D63485" w:rsidP="00D63485">
      <w:pPr>
        <w:spacing w:after="0" w:line="240" w:lineRule="auto"/>
        <w:jc w:val="both"/>
        <w:rPr>
          <w:rFonts w:ascii="Tahoma" w:hAnsi="Tahoma" w:cs="Tahoma"/>
          <w:b/>
          <w:bCs/>
          <w:sz w:val="22"/>
          <w:szCs w:val="22"/>
        </w:rPr>
      </w:pPr>
      <w:r w:rsidRPr="00D63485">
        <w:rPr>
          <w:rFonts w:ascii="Tahoma" w:hAnsi="Tahoma" w:cs="Tahoma"/>
          <w:b/>
          <w:bCs/>
          <w:sz w:val="22"/>
          <w:szCs w:val="22"/>
        </w:rPr>
        <w:t>3.1 Dasein as the Starting Point</w:t>
      </w:r>
    </w:p>
    <w:p w14:paraId="41BD2C39" w14:textId="176C4E13"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Heidegger begins with Dasein, which literally means "being-there." Dasein refers to the unique way human beings exist. It is not an abstract ego or a thinking subject like in traditional philosophy. Instead, Dasein is the concrete human being who is always already in a world.</w:t>
      </w:r>
    </w:p>
    <w:p w14:paraId="36AC3019" w14:textId="30FBE5E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Dasein has special priority in ontology (the study of Being). It is the only entity that questions its own Being and understands Being in general. Only through analyzing Dasein can we approach the meaning of Being (Sein) itself. Dasein is not isolated; its Being is defined by involvement, care, and engagement from the start.</w:t>
      </w:r>
    </w:p>
    <w:p w14:paraId="40B45693" w14:textId="4AAF8ED5" w:rsidR="00D63485" w:rsidRPr="00D63485" w:rsidRDefault="00D63485" w:rsidP="00D63485">
      <w:pPr>
        <w:spacing w:after="0" w:line="240" w:lineRule="auto"/>
        <w:jc w:val="both"/>
        <w:rPr>
          <w:rFonts w:ascii="Tahoma" w:hAnsi="Tahoma" w:cs="Tahoma"/>
          <w:b/>
          <w:bCs/>
          <w:sz w:val="22"/>
          <w:szCs w:val="22"/>
        </w:rPr>
      </w:pPr>
      <w:r w:rsidRPr="00D63485">
        <w:rPr>
          <w:rFonts w:ascii="Tahoma" w:hAnsi="Tahoma" w:cs="Tahoma"/>
          <w:b/>
          <w:bCs/>
          <w:sz w:val="22"/>
          <w:szCs w:val="22"/>
        </w:rPr>
        <w:t>3.2 Meaning of Being-in-the-World</w:t>
      </w:r>
    </w:p>
    <w:p w14:paraId="3E884758" w14:textId="4C0758E5"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Being-in-the-world (In-der-Welt-sein) is the basic constitution of Dasein. It is a unified, indivisible structure — not a subject plus a world, or consciousness plus external objects. Heidegger rejects Cartesian dualism (subject-object split) as artificial and misleading.</w:t>
      </w:r>
    </w:p>
    <w:p w14:paraId="7DFA8B09" w14:textId="50EA2906"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Dasein is primordially embedded in the world. The world is not a neutral container of things but a meaningful context of significance disclosed through Dasein's activities. Dasein first encounters entities as equipment (Zeug) or tools that are ready-to-hand (zuhanden). For example, a hammer is not first seen as an object with properties (weight, shape); it is encountered in use — for hammering nails in building a house. The hammer "withdraws" in smooth use; we focus on the task, not the tool itself.</w:t>
      </w:r>
    </w:p>
    <w:p w14:paraId="2485F24D" w14:textId="794615B0"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Only when equipment fails (breaks, is missing, or obstructs) does it become present-at-hand (vorhanden) — an isolated, theoretical object we observe detachedly. Readiness-to-hand is more fundamental; it shows how the world is primarily practical and involved, not theoretical.</w:t>
      </w:r>
    </w:p>
    <w:p w14:paraId="2B6D5156" w14:textId="10BAF17C"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The world includes being-with (Mitsein) others — Dasein exists in a shared world with co-Daseins (other people). Everyday life involves relations of concern (for things) and solicitude (for others). Dasein is never alone in a solipsistic way; even solitude is a deficient mode of being-with.</w:t>
      </w:r>
    </w:p>
    <w:p w14:paraId="028F1401" w14:textId="119A0395" w:rsidR="00D63485" w:rsidRPr="00D63485" w:rsidRDefault="00D63485" w:rsidP="00D63485">
      <w:pPr>
        <w:spacing w:after="0" w:line="240" w:lineRule="auto"/>
        <w:jc w:val="both"/>
        <w:rPr>
          <w:rFonts w:ascii="Tahoma" w:hAnsi="Tahoma" w:cs="Tahoma"/>
          <w:sz w:val="22"/>
          <w:szCs w:val="22"/>
        </w:rPr>
      </w:pPr>
      <w:r w:rsidRPr="00D921A9">
        <w:rPr>
          <w:rFonts w:ascii="Tahoma" w:hAnsi="Tahoma" w:cs="Tahoma"/>
          <w:b/>
          <w:bCs/>
          <w:sz w:val="22"/>
          <w:szCs w:val="22"/>
        </w:rPr>
        <w:t>3.3 Existential Structures</w:t>
      </w:r>
      <w:r w:rsidR="00D921A9">
        <w:rPr>
          <w:rFonts w:ascii="Tahoma" w:hAnsi="Tahoma" w:cs="Tahoma"/>
          <w:sz w:val="22"/>
          <w:szCs w:val="22"/>
        </w:rPr>
        <w:t xml:space="preserve"> </w:t>
      </w:r>
      <w:r w:rsidR="00D921A9" w:rsidRPr="00D921A9">
        <w:rPr>
          <w:rFonts w:ascii="Tahoma" w:hAnsi="Tahoma" w:cs="Tahoma"/>
          <w:b/>
          <w:bCs/>
          <w:sz w:val="22"/>
          <w:szCs w:val="22"/>
        </w:rPr>
        <w:t>of being</w:t>
      </w:r>
    </w:p>
    <w:p w14:paraId="64C44E53" w14:textId="5C882400"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Heidegger uncovers the existential structures (existentialia) of Dasein, which are ontological ways of Being, not ontic properties.</w:t>
      </w:r>
    </w:p>
    <w:p w14:paraId="59FDB1F9" w14:textId="77C30F06"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The unifying structure is care (Sorge). Care has three aspects:  </w:t>
      </w:r>
    </w:p>
    <w:p w14:paraId="74A185E7" w14:textId="4E491CEC"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Ahead-of-itself (projection into future possibilities).  </w:t>
      </w:r>
    </w:p>
    <w:p w14:paraId="739AF70F" w14:textId="2827DF5F"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Already-in-the-world (thrownness into facticity).  </w:t>
      </w:r>
    </w:p>
    <w:p w14:paraId="294FE792" w14:textId="6DD9E8AB"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Being-alongside entities (practical engagement in the present).  </w:t>
      </w:r>
    </w:p>
    <w:p w14:paraId="79739E75" w14:textId="1082E4CD"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Thrownness (Geworfenheit) means Dasein is "thrown" into existence without choosing its starting conditions — birth, culture, body, historical situation (facticity). We find ourselves already in a world with limits and possibilities.</w:t>
      </w:r>
    </w:p>
    <w:p w14:paraId="6392E736" w14:textId="77777777" w:rsidR="00D63485" w:rsidRPr="00D63485" w:rsidRDefault="00D63485" w:rsidP="00D63485">
      <w:pPr>
        <w:spacing w:after="0" w:line="240" w:lineRule="auto"/>
        <w:jc w:val="both"/>
        <w:rPr>
          <w:rFonts w:ascii="Tahoma" w:hAnsi="Tahoma" w:cs="Tahoma"/>
          <w:sz w:val="22"/>
          <w:szCs w:val="22"/>
        </w:rPr>
      </w:pPr>
    </w:p>
    <w:p w14:paraId="0CFA1CCB" w14:textId="5BBFCBB3"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lastRenderedPageBreak/>
        <w:t>Projection (Entwurf) means Dasein always projects ahead toward possibilities. It understands itself in terms of "what it can be" — future-oriented, not fixed. Dasein is possibility; it exists by choosing or avoiding paths.</w:t>
      </w:r>
    </w:p>
    <w:p w14:paraId="1EEC32C6" w14:textId="67F67B4D"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Other structures include state-of-mind (Befindlichkeit or mood/attunement), which discloses how Dasein finds itself (e.g., anxiety reveals thrownness); understanding (Verstehen), which interprets possibilities; and discourse (Rede), the articulation of meaning.</w:t>
      </w:r>
    </w:p>
    <w:p w14:paraId="3B739B62" w14:textId="3618DEE6"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These structures show Dasein as temporal: past (thrownness), future (projection), present (falling/engagement). </w:t>
      </w:r>
      <w:r w:rsidR="00D921A9">
        <w:rPr>
          <w:rFonts w:ascii="Tahoma" w:hAnsi="Tahoma" w:cs="Tahoma"/>
          <w:sz w:val="22"/>
          <w:szCs w:val="22"/>
        </w:rPr>
        <w:t>Every day,</w:t>
      </w:r>
      <w:r w:rsidRPr="00D63485">
        <w:rPr>
          <w:rFonts w:ascii="Tahoma" w:hAnsi="Tahoma" w:cs="Tahoma"/>
          <w:sz w:val="22"/>
          <w:szCs w:val="22"/>
        </w:rPr>
        <w:t xml:space="preserve"> Dasein often falls into inauthenticity (das Man — the "they" of average public norms), losing itself in idle talk, curiosity, and ambiguity. Authenticity requires facing anxiety, death, and resoluteness.</w:t>
      </w:r>
    </w:p>
    <w:p w14:paraId="5D1CD119"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Being-in-the-world thus captures human existence as always involved, caring, temporal, and meaningful — not detached observation.</w:t>
      </w:r>
    </w:p>
    <w:p w14:paraId="1EC209F0" w14:textId="6E87434D" w:rsidR="00D63485" w:rsidRPr="00D63485" w:rsidRDefault="00D63485" w:rsidP="00D63485">
      <w:pPr>
        <w:spacing w:after="0" w:line="240" w:lineRule="auto"/>
        <w:jc w:val="both"/>
        <w:rPr>
          <w:rFonts w:ascii="Tahoma" w:hAnsi="Tahoma" w:cs="Tahoma"/>
          <w:b/>
          <w:bCs/>
          <w:sz w:val="22"/>
          <w:szCs w:val="22"/>
        </w:rPr>
      </w:pPr>
    </w:p>
    <w:p w14:paraId="5ECCA006" w14:textId="732BFA03" w:rsidR="00D63485" w:rsidRPr="00D63485" w:rsidRDefault="00D63485" w:rsidP="00D63485">
      <w:pPr>
        <w:spacing w:after="0" w:line="240" w:lineRule="auto"/>
        <w:jc w:val="both"/>
        <w:rPr>
          <w:rFonts w:ascii="Tahoma" w:hAnsi="Tahoma" w:cs="Tahoma"/>
          <w:sz w:val="22"/>
          <w:szCs w:val="22"/>
        </w:rPr>
      </w:pPr>
      <w:r w:rsidRPr="00D921A9">
        <w:rPr>
          <w:rFonts w:ascii="Tahoma" w:hAnsi="Tahoma" w:cs="Tahoma"/>
          <w:b/>
          <w:bCs/>
          <w:sz w:val="22"/>
          <w:szCs w:val="22"/>
        </w:rPr>
        <w:t>4.0 COMPARISON BETWEEN HUSSERL AND HEIDEGGER</w:t>
      </w:r>
    </w:p>
    <w:p w14:paraId="5EB41F2E" w14:textId="79234AD5" w:rsidR="00D63485" w:rsidRPr="00D921A9" w:rsidRDefault="00D63485" w:rsidP="00D63485">
      <w:pPr>
        <w:spacing w:after="0" w:line="240" w:lineRule="auto"/>
        <w:jc w:val="both"/>
        <w:rPr>
          <w:rFonts w:ascii="Tahoma" w:hAnsi="Tahoma" w:cs="Tahoma"/>
          <w:b/>
          <w:bCs/>
          <w:sz w:val="22"/>
          <w:szCs w:val="22"/>
        </w:rPr>
      </w:pPr>
      <w:r w:rsidRPr="00D921A9">
        <w:rPr>
          <w:rFonts w:ascii="Tahoma" w:hAnsi="Tahoma" w:cs="Tahoma"/>
          <w:b/>
          <w:bCs/>
          <w:sz w:val="22"/>
          <w:szCs w:val="22"/>
        </w:rPr>
        <w:t>4.1 Points of Difference (Core)</w:t>
      </w:r>
    </w:p>
    <w:p w14:paraId="3F1D0958" w14:textId="61164413"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Husserl starts with consciousness (transcendental ego) as pure and detached; Heidegger starts with existence (Dasein) as concrete and worldly.  </w:t>
      </w:r>
    </w:p>
    <w:p w14:paraId="57FC4272" w14:textId="2BA3A550"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Husserl's transcendental ego is universal and bracketed from the world; Heidegger's Dasein is always already being-in-the-world, with no separation from it.  </w:t>
      </w:r>
    </w:p>
    <w:p w14:paraId="038DE237"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Husserl uses reductions to suspend the natural attitude and focus on intentional constitution in consciousness; Heidegger rejects this as artificial — it creates a detached observer instead of capturing lived engagement.  </w:t>
      </w:r>
    </w:p>
    <w:p w14:paraId="752C0070"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xml:space="preserve">- Husserl emphasizes theoretical description of essences; Heidegger stresses practical, pre-theoretical involvement (e.g., ready-to-hand over present-at-hand).  </w:t>
      </w:r>
    </w:p>
    <w:p w14:paraId="5CBB1EE2" w14:textId="4529A6D5" w:rsid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 Husserl seeks epistemological certainty through transcendental subjectivity; Heidegger seeks ontological understanding of Being through existential analysis.</w:t>
      </w:r>
    </w:p>
    <w:p w14:paraId="4ABA00EE" w14:textId="59795453" w:rsidR="00D921A9" w:rsidRDefault="00D921A9" w:rsidP="00D63485">
      <w:pPr>
        <w:spacing w:after="0" w:line="240" w:lineRule="auto"/>
        <w:jc w:val="both"/>
        <w:rPr>
          <w:rFonts w:ascii="Tahoma" w:hAnsi="Tahoma" w:cs="Tahoma"/>
          <w:sz w:val="22"/>
          <w:szCs w:val="22"/>
        </w:rPr>
      </w:pPr>
      <w:r>
        <w:rPr>
          <w:rFonts w:ascii="Tahoma" w:hAnsi="Tahoma" w:cs="Tahoma"/>
          <w:sz w:val="22"/>
          <w:szCs w:val="22"/>
        </w:rPr>
        <w:t xml:space="preserve">- </w:t>
      </w:r>
      <w:r w:rsidRPr="00D63485">
        <w:rPr>
          <w:rFonts w:ascii="Tahoma" w:hAnsi="Tahoma" w:cs="Tahoma"/>
          <w:sz w:val="22"/>
          <w:szCs w:val="22"/>
        </w:rPr>
        <w:t>Heidegger transforms phenomenology from transcendental (focused on consciousness and meaning-constitution) to existential or hermeneutic phenomenology</w:t>
      </w:r>
    </w:p>
    <w:p w14:paraId="25F24FB2" w14:textId="63BB11AA" w:rsidR="00D921A9" w:rsidRDefault="00D921A9" w:rsidP="00D63485">
      <w:pPr>
        <w:spacing w:after="0" w:line="240" w:lineRule="auto"/>
        <w:jc w:val="both"/>
        <w:rPr>
          <w:rFonts w:ascii="Tahoma" w:hAnsi="Tahoma" w:cs="Tahoma"/>
          <w:b/>
          <w:bCs/>
          <w:sz w:val="22"/>
          <w:szCs w:val="22"/>
        </w:rPr>
      </w:pPr>
      <w:r>
        <w:rPr>
          <w:rFonts w:ascii="Tahoma" w:hAnsi="Tahoma" w:cs="Tahoma"/>
          <w:b/>
          <w:bCs/>
          <w:sz w:val="22"/>
          <w:szCs w:val="22"/>
        </w:rPr>
        <w:t>4.2 similarities</w:t>
      </w:r>
    </w:p>
    <w:p w14:paraId="51361C50" w14:textId="77777777" w:rsidR="00D921A9" w:rsidRPr="00D921A9" w:rsidRDefault="00D921A9" w:rsidP="00D921A9">
      <w:pPr>
        <w:spacing w:after="0" w:line="240" w:lineRule="auto"/>
        <w:jc w:val="both"/>
        <w:rPr>
          <w:rFonts w:ascii="Tahoma" w:hAnsi="Tahoma" w:cs="Tahoma"/>
          <w:sz w:val="22"/>
          <w:szCs w:val="22"/>
        </w:rPr>
      </w:pPr>
      <w:r>
        <w:rPr>
          <w:rFonts w:ascii="Tahoma" w:hAnsi="Tahoma" w:cs="Tahoma"/>
          <w:sz w:val="22"/>
          <w:szCs w:val="22"/>
        </w:rPr>
        <w:t>-</w:t>
      </w:r>
      <w:r w:rsidRPr="00D921A9">
        <w:rPr>
          <w:rFonts w:ascii="Tahoma" w:hAnsi="Tahoma" w:cs="Tahoma"/>
          <w:sz w:val="22"/>
          <w:szCs w:val="22"/>
        </w:rPr>
        <w:t>Both are rooted in phenomenology and the phenomenological method</w:t>
      </w:r>
    </w:p>
    <w:p w14:paraId="720CD1C3" w14:textId="77777777" w:rsidR="00D921A9" w:rsidRPr="00D921A9" w:rsidRDefault="00D921A9" w:rsidP="00D921A9">
      <w:pPr>
        <w:spacing w:after="0" w:line="240" w:lineRule="auto"/>
        <w:jc w:val="both"/>
        <w:rPr>
          <w:rFonts w:ascii="Tahoma" w:hAnsi="Tahoma" w:cs="Tahoma"/>
          <w:sz w:val="22"/>
          <w:szCs w:val="22"/>
        </w:rPr>
      </w:pPr>
      <w:r>
        <w:rPr>
          <w:rFonts w:ascii="Tahoma" w:hAnsi="Tahoma" w:cs="Tahoma"/>
          <w:sz w:val="22"/>
          <w:szCs w:val="22"/>
        </w:rPr>
        <w:t>-</w:t>
      </w:r>
      <w:r w:rsidRPr="00D921A9">
        <w:rPr>
          <w:rFonts w:ascii="Tahoma" w:hAnsi="Tahoma" w:cs="Tahoma"/>
          <w:sz w:val="22"/>
          <w:szCs w:val="22"/>
        </w:rPr>
        <w:t>Both reject naive realism and the natural attitude</w:t>
      </w:r>
    </w:p>
    <w:p w14:paraId="41D4D37C" w14:textId="6CE434DD" w:rsidR="00D921A9" w:rsidRPr="00D921A9" w:rsidRDefault="00D921A9" w:rsidP="00D63485">
      <w:pPr>
        <w:spacing w:after="0" w:line="240" w:lineRule="auto"/>
        <w:jc w:val="both"/>
        <w:rPr>
          <w:rFonts w:ascii="Tahoma" w:hAnsi="Tahoma" w:cs="Tahoma"/>
          <w:sz w:val="22"/>
          <w:szCs w:val="22"/>
        </w:rPr>
      </w:pPr>
      <w:r>
        <w:rPr>
          <w:rFonts w:ascii="Tahoma" w:hAnsi="Tahoma" w:cs="Tahoma"/>
          <w:sz w:val="22"/>
          <w:szCs w:val="22"/>
        </w:rPr>
        <w:t xml:space="preserve">- </w:t>
      </w:r>
      <w:r w:rsidRPr="00D921A9">
        <w:rPr>
          <w:rFonts w:ascii="Tahoma" w:hAnsi="Tahoma" w:cs="Tahoma"/>
          <w:sz w:val="22"/>
          <w:szCs w:val="22"/>
        </w:rPr>
        <w:t>Both aim to uncover the primordial or foundational structures of experience</w:t>
      </w:r>
    </w:p>
    <w:p w14:paraId="6CD27D07" w14:textId="77777777" w:rsidR="00D63485" w:rsidRPr="00D63485" w:rsidRDefault="00D63485" w:rsidP="00D63485">
      <w:pPr>
        <w:spacing w:after="0" w:line="240" w:lineRule="auto"/>
        <w:jc w:val="both"/>
        <w:rPr>
          <w:rFonts w:ascii="Tahoma" w:hAnsi="Tahoma" w:cs="Tahoma"/>
          <w:sz w:val="22"/>
          <w:szCs w:val="22"/>
        </w:rPr>
      </w:pPr>
    </w:p>
    <w:p w14:paraId="1D79AAA7" w14:textId="09CCFEE5" w:rsidR="00D63485" w:rsidRPr="00D921A9" w:rsidRDefault="00D63485" w:rsidP="00D63485">
      <w:pPr>
        <w:spacing w:after="0" w:line="240" w:lineRule="auto"/>
        <w:jc w:val="both"/>
        <w:rPr>
          <w:rFonts w:ascii="Tahoma" w:hAnsi="Tahoma" w:cs="Tahoma"/>
          <w:b/>
          <w:bCs/>
          <w:sz w:val="22"/>
          <w:szCs w:val="22"/>
        </w:rPr>
      </w:pPr>
      <w:r w:rsidRPr="00D921A9">
        <w:rPr>
          <w:rFonts w:ascii="Tahoma" w:hAnsi="Tahoma" w:cs="Tahoma"/>
          <w:b/>
          <w:bCs/>
          <w:sz w:val="22"/>
          <w:szCs w:val="22"/>
        </w:rPr>
        <w:t>5.0 EVALUATION</w:t>
      </w:r>
    </w:p>
    <w:p w14:paraId="622E5DCA" w14:textId="185B4D5E"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Heidegger's concept of Being-in-the-world has great strength: it overcomes the artificial subject-object split and captures the richness of lived, practical human existence. It makes phenomenology more concrete and relevant to real life, influencing existentialism, hermeneutics, and later thinkers.</w:t>
      </w:r>
    </w:p>
    <w:p w14:paraId="146C8441" w14:textId="01B3CF24"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However, Husserl's transcendental approach provides rigor and a clear foundation for avoiding psychologism and relativism. Heidegger's rejection of the transcendental ego risks losing universality and falling into historicism or relativism.</w:t>
      </w:r>
    </w:p>
    <w:p w14:paraId="221A6085" w14:textId="77777777" w:rsidR="00D63485" w:rsidRPr="00D63485" w:rsidRDefault="00D63485" w:rsidP="00D63485">
      <w:pPr>
        <w:spacing w:after="0" w:line="240" w:lineRule="auto"/>
        <w:jc w:val="both"/>
        <w:rPr>
          <w:rFonts w:ascii="Tahoma" w:hAnsi="Tahoma" w:cs="Tahoma"/>
          <w:sz w:val="22"/>
          <w:szCs w:val="22"/>
        </w:rPr>
      </w:pPr>
      <w:r w:rsidRPr="00D63485">
        <w:rPr>
          <w:rFonts w:ascii="Tahoma" w:hAnsi="Tahoma" w:cs="Tahoma"/>
          <w:sz w:val="22"/>
          <w:szCs w:val="22"/>
        </w:rPr>
        <w:t>Heidegger's critique sometimes overstates Husserl's detachment — Husserl also addressed lived experience (Lebenswelt in later works). Still, Heidegger's existential turn broadens phenomenology beyond epistemology to ontology.</w:t>
      </w:r>
    </w:p>
    <w:p w14:paraId="68F59CEA" w14:textId="77777777" w:rsidR="00D63485" w:rsidRPr="00D63485" w:rsidRDefault="00D63485" w:rsidP="00D63485">
      <w:pPr>
        <w:spacing w:after="0" w:line="240" w:lineRule="auto"/>
        <w:jc w:val="both"/>
        <w:rPr>
          <w:rFonts w:ascii="Tahoma" w:hAnsi="Tahoma" w:cs="Tahoma"/>
          <w:sz w:val="22"/>
          <w:szCs w:val="22"/>
        </w:rPr>
      </w:pPr>
    </w:p>
    <w:p w14:paraId="3191AB9A" w14:textId="282F1241" w:rsidR="00D63485" w:rsidRPr="00D921A9" w:rsidRDefault="00D63485" w:rsidP="00D63485">
      <w:pPr>
        <w:spacing w:after="0" w:line="240" w:lineRule="auto"/>
        <w:jc w:val="both"/>
        <w:rPr>
          <w:rFonts w:ascii="Tahoma" w:hAnsi="Tahoma" w:cs="Tahoma"/>
          <w:b/>
          <w:bCs/>
          <w:sz w:val="22"/>
          <w:szCs w:val="22"/>
        </w:rPr>
      </w:pPr>
      <w:r w:rsidRPr="00D921A9">
        <w:rPr>
          <w:rFonts w:ascii="Tahoma" w:hAnsi="Tahoma" w:cs="Tahoma"/>
          <w:b/>
          <w:bCs/>
          <w:sz w:val="22"/>
          <w:szCs w:val="22"/>
        </w:rPr>
        <w:t>6.0 CONCLUSION</w:t>
      </w:r>
    </w:p>
    <w:p w14:paraId="2ADB8B41" w14:textId="4C52651C" w:rsidR="00FD7AF8" w:rsidRDefault="00D921A9" w:rsidP="00D63485">
      <w:pPr>
        <w:spacing w:after="0" w:line="240" w:lineRule="auto"/>
        <w:jc w:val="both"/>
        <w:rPr>
          <w:rFonts w:ascii="Tahoma" w:hAnsi="Tahoma" w:cs="Tahoma"/>
          <w:sz w:val="22"/>
          <w:szCs w:val="22"/>
        </w:rPr>
      </w:pPr>
      <w:r>
        <w:rPr>
          <w:rFonts w:ascii="Tahoma" w:hAnsi="Tahoma" w:cs="Tahoma"/>
          <w:sz w:val="22"/>
          <w:szCs w:val="22"/>
        </w:rPr>
        <w:t>Write something…</w:t>
      </w:r>
    </w:p>
    <w:p w14:paraId="224E7362" w14:textId="77777777" w:rsidR="00447699" w:rsidRDefault="00447699" w:rsidP="00D63485">
      <w:pPr>
        <w:spacing w:after="0" w:line="240" w:lineRule="auto"/>
        <w:jc w:val="both"/>
        <w:rPr>
          <w:rFonts w:ascii="Tahoma" w:hAnsi="Tahoma" w:cs="Tahoma"/>
          <w:sz w:val="22"/>
          <w:szCs w:val="22"/>
        </w:rPr>
      </w:pPr>
    </w:p>
    <w:p w14:paraId="2D5665E1" w14:textId="77777777" w:rsidR="00447699" w:rsidRDefault="00447699" w:rsidP="00D63485">
      <w:pPr>
        <w:spacing w:after="0" w:line="240" w:lineRule="auto"/>
        <w:jc w:val="both"/>
        <w:rPr>
          <w:rFonts w:ascii="Tahoma" w:hAnsi="Tahoma" w:cs="Tahoma"/>
          <w:sz w:val="22"/>
          <w:szCs w:val="22"/>
        </w:rPr>
      </w:pPr>
    </w:p>
    <w:p w14:paraId="52B3A891" w14:textId="77777777" w:rsidR="00447699" w:rsidRPr="00447699" w:rsidRDefault="00447699" w:rsidP="00447699">
      <w:pPr>
        <w:spacing w:after="0" w:line="240" w:lineRule="auto"/>
        <w:jc w:val="center"/>
        <w:rPr>
          <w:rFonts w:ascii="Tahoma" w:hAnsi="Tahoma" w:cs="Tahoma"/>
          <w:b/>
          <w:bCs/>
          <w:sz w:val="22"/>
          <w:szCs w:val="22"/>
        </w:rPr>
      </w:pPr>
      <w:r w:rsidRPr="00447699">
        <w:rPr>
          <w:rFonts w:ascii="Tahoma" w:hAnsi="Tahoma" w:cs="Tahoma"/>
          <w:b/>
          <w:bCs/>
          <w:sz w:val="22"/>
          <w:szCs w:val="22"/>
        </w:rPr>
        <w:t xml:space="preserve">QUESTION </w:t>
      </w:r>
      <w:r w:rsidRPr="00447699">
        <w:rPr>
          <w:rFonts w:ascii="Tahoma" w:hAnsi="Tahoma" w:cs="Tahoma"/>
          <w:b/>
          <w:bCs/>
          <w:sz w:val="22"/>
          <w:szCs w:val="22"/>
        </w:rPr>
        <w:t>3</w:t>
      </w:r>
    </w:p>
    <w:p w14:paraId="72A4600C" w14:textId="39CEEF00" w:rsidR="00447699" w:rsidRPr="00447699" w:rsidRDefault="00447699" w:rsidP="00447699">
      <w:pPr>
        <w:spacing w:after="0" w:line="240" w:lineRule="auto"/>
        <w:jc w:val="center"/>
        <w:rPr>
          <w:rFonts w:ascii="Tahoma" w:hAnsi="Tahoma" w:cs="Tahoma"/>
          <w:b/>
          <w:bCs/>
          <w:sz w:val="22"/>
          <w:szCs w:val="22"/>
        </w:rPr>
      </w:pPr>
      <w:r w:rsidRPr="00447699">
        <w:rPr>
          <w:rFonts w:ascii="Tahoma" w:hAnsi="Tahoma" w:cs="Tahoma"/>
          <w:b/>
          <w:bCs/>
          <w:sz w:val="22"/>
          <w:szCs w:val="22"/>
        </w:rPr>
        <w:t xml:space="preserve"> Discuss Hans-Georg Gadamer’s concept of the Fusion of Horizons and its significance for hermeneutics.</w:t>
      </w:r>
    </w:p>
    <w:p w14:paraId="541F4057" w14:textId="77777777" w:rsidR="00447699" w:rsidRDefault="00447699" w:rsidP="00447699">
      <w:pPr>
        <w:spacing w:after="0" w:line="240" w:lineRule="auto"/>
        <w:jc w:val="center"/>
        <w:rPr>
          <w:rFonts w:ascii="Tahoma" w:hAnsi="Tahoma" w:cs="Tahoma"/>
          <w:sz w:val="22"/>
          <w:szCs w:val="22"/>
        </w:rPr>
      </w:pPr>
    </w:p>
    <w:p w14:paraId="6FA8F998" w14:textId="2E8E3860"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Outline</w:t>
      </w:r>
    </w:p>
    <w:p w14:paraId="407C4005"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1.0 INTRODUCTION  </w:t>
      </w:r>
    </w:p>
    <w:p w14:paraId="79B0C6C5"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2.0 HORIZON AND PREJUDICES  </w:t>
      </w:r>
    </w:p>
    <w:p w14:paraId="0DC6744C" w14:textId="5156AD26"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2.1 Meaning of Horizon  </w:t>
      </w:r>
    </w:p>
    <w:p w14:paraId="11683D7C" w14:textId="053D68EB"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2.2 Role of Prejudices  </w:t>
      </w:r>
    </w:p>
    <w:p w14:paraId="73E1D06F" w14:textId="77777777" w:rsid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3.0 FUSION OF HORIZONS  </w:t>
      </w:r>
    </w:p>
    <w:p w14:paraId="40816BA6" w14:textId="52FDF661"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lastRenderedPageBreak/>
        <w:t xml:space="preserve">3.1 Meaning of Fusion of Horizons  </w:t>
      </w:r>
    </w:p>
    <w:p w14:paraId="400B9985" w14:textId="3BEE488B"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3.2 Nature of Understanding  </w:t>
      </w:r>
    </w:p>
    <w:p w14:paraId="180D5178" w14:textId="3F61DA3B"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3.3 Role of Language  </w:t>
      </w:r>
    </w:p>
    <w:p w14:paraId="51FB2D61"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4.0 PHILOSOPHICAL SIGNIFICANCE AND IMPLICATIONS  </w:t>
      </w:r>
    </w:p>
    <w:p w14:paraId="2C08B257" w14:textId="27FDEC31"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4.1 Hermeneutics as Historical and Dynamic  </w:t>
      </w:r>
    </w:p>
    <w:p w14:paraId="64AE6DBF" w14:textId="535AD6B6"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4.2 Participatory and Dialogical Implications  </w:t>
      </w:r>
    </w:p>
    <w:p w14:paraId="07795C97" w14:textId="77777777" w:rsidR="008042F7" w:rsidRDefault="00447699" w:rsidP="00447699">
      <w:pPr>
        <w:spacing w:after="0" w:line="240" w:lineRule="auto"/>
        <w:jc w:val="both"/>
        <w:rPr>
          <w:rFonts w:ascii="Tahoma" w:hAnsi="Tahoma" w:cs="Tahoma"/>
          <w:sz w:val="22"/>
          <w:szCs w:val="22"/>
        </w:rPr>
      </w:pPr>
      <w:r w:rsidRPr="00447699">
        <w:rPr>
          <w:rFonts w:ascii="Tahoma" w:hAnsi="Tahoma" w:cs="Tahoma"/>
          <w:sz w:val="22"/>
          <w:szCs w:val="22"/>
        </w:rPr>
        <w:t>4.3 Cross-Cultural and Contemporary Relevance</w:t>
      </w:r>
    </w:p>
    <w:p w14:paraId="12B536CB" w14:textId="2E88875F" w:rsidR="00447699" w:rsidRPr="00447699" w:rsidRDefault="008042F7" w:rsidP="00447699">
      <w:pPr>
        <w:spacing w:after="0" w:line="240" w:lineRule="auto"/>
        <w:jc w:val="both"/>
        <w:rPr>
          <w:rFonts w:ascii="Tahoma" w:hAnsi="Tahoma" w:cs="Tahoma"/>
          <w:sz w:val="22"/>
          <w:szCs w:val="22"/>
        </w:rPr>
      </w:pPr>
      <w:r w:rsidRPr="008042F7">
        <w:rPr>
          <w:rFonts w:ascii="Tahoma" w:hAnsi="Tahoma" w:cs="Tahoma"/>
          <w:sz w:val="22"/>
          <w:szCs w:val="22"/>
        </w:rPr>
        <w:t>4.4 Restructuring prejudice</w:t>
      </w:r>
      <w:r w:rsidR="00447699" w:rsidRPr="00447699">
        <w:rPr>
          <w:rFonts w:ascii="Tahoma" w:hAnsi="Tahoma" w:cs="Tahoma"/>
          <w:sz w:val="22"/>
          <w:szCs w:val="22"/>
        </w:rPr>
        <w:t xml:space="preserve">  </w:t>
      </w:r>
    </w:p>
    <w:p w14:paraId="4D03CDA1"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5.0 CONCLUSION  </w:t>
      </w:r>
    </w:p>
    <w:p w14:paraId="25F4890F" w14:textId="77777777" w:rsidR="00447699" w:rsidRPr="00447699" w:rsidRDefault="00447699" w:rsidP="00447699">
      <w:pPr>
        <w:spacing w:after="0" w:line="240" w:lineRule="auto"/>
        <w:jc w:val="both"/>
        <w:rPr>
          <w:rFonts w:ascii="Tahoma" w:hAnsi="Tahoma" w:cs="Tahoma"/>
          <w:sz w:val="22"/>
          <w:szCs w:val="22"/>
        </w:rPr>
      </w:pPr>
    </w:p>
    <w:p w14:paraId="3758121F" w14:textId="1ADCA419"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1.0 INTRODUCTION</w:t>
      </w:r>
    </w:p>
    <w:p w14:paraId="6E013B48" w14:textId="1D9021C2"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Hans-Georg Gadamer (1900–2002) is a central figure in philosophical hermeneutics, the study of interpretation and understanding. In his major work, Truth and Method (1960), he shifts hermeneutics from a set of rules for reading texts to a deeper exploration of how humans understand anything at all. Gadamer sees understanding as a dialogical and historical process: it happens through conversation-like engagement with texts, art, or traditions, always shaped by the interpreter's place in history.</w:t>
      </w:r>
    </w:p>
    <w:p w14:paraId="404C34A3"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This essay explains Gadamer's concept of "horizon" as the limited but enabling range of one's perspective. It then discusses the "fusion of horizons" as the key process where different perspectives merge to create new meaning. Finally, it examines the philosophical significance of this concept for hermeneutics, showing how it makes interpretation dynamic, participatory, and relevant to modern life.</w:t>
      </w:r>
    </w:p>
    <w:p w14:paraId="468C383E" w14:textId="77777777" w:rsidR="00447699" w:rsidRPr="00447699" w:rsidRDefault="00447699" w:rsidP="00447699">
      <w:pPr>
        <w:spacing w:after="0" w:line="240" w:lineRule="auto"/>
        <w:jc w:val="both"/>
        <w:rPr>
          <w:rFonts w:ascii="Tahoma" w:hAnsi="Tahoma" w:cs="Tahoma"/>
          <w:sz w:val="22"/>
          <w:szCs w:val="22"/>
        </w:rPr>
      </w:pPr>
    </w:p>
    <w:p w14:paraId="6B867D9F" w14:textId="3D6BDEAD"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2.0 HORIZON AND PREJUDICES</w:t>
      </w:r>
    </w:p>
    <w:p w14:paraId="656A2812" w14:textId="363C1C36"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2.1 Meaning of Horizon</w:t>
      </w:r>
    </w:p>
    <w:p w14:paraId="1708B7CD" w14:textId="3B130DDF"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In Gadamer's hermeneutics, a "horizon" refers to the range of vision or perspective that shapes how a person sees and understands the world. This horizon is not fixed or narrow like a physical boundary; it is open and expandable, but always limited by one's historical, cultural, linguistic, and personal experiences. Gadamer borrows the term from phenomenology and everyday language, where horizon means the edge of what one can see from a certain viewpoint. For example, standing on a hill, your horizon includes everything visible from that spot, but moving changes what you see.</w:t>
      </w:r>
    </w:p>
    <w:p w14:paraId="7A41A4A5" w14:textId="6507FE13"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Gadamer explains that every interpreter has a horizon formed by their time, place, and background. This means no one approaches a text, artwork, or historical event from a neutral or empty standpoint. History "effects" consciousness — it actively shapes how we think and perceive. In Truth and Method, Gadamer writes that "the horizon is the range of vision that includes everything that can be seen from a particular vantage point." This vantage point is not chosen freely; it is given by one's situation in the ongoing flow of tradition. For instance, a modern reader interpreting an ancient Greek poem brings a horizon influenced by contemporary ideas about democracy or ethics, which differs from the original author's horizon.</w:t>
      </w:r>
    </w:p>
    <w:p w14:paraId="5E9C6ECF" w14:textId="7EAB057A"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Importantly, horizons are not closed off. They can shift and expand through encounters with other perspectives. Gadamer stresses that understanding involves recognizing one's own horizon and how it limits but also enables insight. Without a horizon, there would be no starting point for interpretation. This concept rejects the idea of ahistorical objectivity, where one pretends to step outside time. Instead, it shows that all understanding is situated: the interpreter is always "thrown" into a historical context, much like Heidegger's idea of thrownness.</w:t>
      </w:r>
    </w:p>
    <w:p w14:paraId="5676C2EA" w14:textId="01FE0CB7"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2.2 Role of Prejudices</w:t>
      </w:r>
    </w:p>
    <w:p w14:paraId="67F77CEC" w14:textId="0A3A7178"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Prejudices, in Gadamer's view, are pre-judgments or assumptions that everyone brings to interpretation. They are not necessarily negative or biased in a bad way, as the Enlightenment often portrayed them. Gadamer rehabilitates the term, arguing that prejudices are essential for understanding to happen at all. They come from tradition, education, culture, and personal history, providing the initial framework through which we make sense of new things.</w:t>
      </w:r>
    </w:p>
    <w:p w14:paraId="03C0A122" w14:textId="7F1FC9C8"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Gadamer rejects the Enlightenment's demand for complete objectivity, where thinkers like Descartes sought to doubt all prejudices to reach pure truth. He points out that this is impossible and counterproductive. In Truth and Method, he states: "Prejudices are not necessarily unjustified and erroneous, so that they inevitably distort the truth." Instead, positive prejudices open up possibilities for understanding. For example, when reading a religious text, one's cultural familiarity with similar stories acts as a prejudice that helps grasp the meaning, rather than starting from scratch.</w:t>
      </w:r>
    </w:p>
    <w:p w14:paraId="0FF2489B"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 xml:space="preserve">Prejudices make understanding possible by giving a starting point, but they must be tested and risked in dialogue. Gadamer distinguishes legitimate prejudices (those confirmed through engagement) from illegitimate ones (blind dogmas). This role counters historicism's aim to eliminate the interpreter's biases to </w:t>
      </w:r>
      <w:r w:rsidRPr="00447699">
        <w:rPr>
          <w:rFonts w:ascii="Tahoma" w:hAnsi="Tahoma" w:cs="Tahoma"/>
          <w:sz w:val="22"/>
          <w:szCs w:val="22"/>
        </w:rPr>
        <w:lastRenderedPageBreak/>
        <w:t>reconstruct the past "as it was." Gadamer shows that without prejudices, there is no bridge to the text; they are the productive conditions of hermeneutics. This view transforms prejudices from obstacles to tools, emphasizing that true understanding involves reflecting on and revising them.</w:t>
      </w:r>
    </w:p>
    <w:p w14:paraId="5CD81F13" w14:textId="77777777" w:rsidR="00447699" w:rsidRPr="00447699" w:rsidRDefault="00447699" w:rsidP="00447699">
      <w:pPr>
        <w:spacing w:after="0" w:line="240" w:lineRule="auto"/>
        <w:jc w:val="both"/>
        <w:rPr>
          <w:rFonts w:ascii="Tahoma" w:hAnsi="Tahoma" w:cs="Tahoma"/>
          <w:sz w:val="22"/>
          <w:szCs w:val="22"/>
        </w:rPr>
      </w:pPr>
    </w:p>
    <w:p w14:paraId="5BA55722" w14:textId="018CEF8B"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3.0 FUSION OF HORIZONS</w:t>
      </w:r>
    </w:p>
    <w:p w14:paraId="090A488E" w14:textId="16CE4F70"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3.1 Meaning of Fusion of Horizons</w:t>
      </w:r>
    </w:p>
    <w:p w14:paraId="6A1D6BE5" w14:textId="03CA280D"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The fusion of horizons is Gadamer's core concept for how genuine understanding occurs. It describes the merging of two horizons: the interpreter's present horizon (shaped by current history, culture, and prejudices) and the horizon of the text, artwork, or tradition (its original historical context and meaning). Fusion is not a simple addition or elimination of one horizon; it is a creative integration where both change and something new emerges.</w:t>
      </w:r>
    </w:p>
    <w:p w14:paraId="5E7EAEF7" w14:textId="7D6F27B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Gadamer explains that when we interpret, we do not stay locked in our own horizon or try to jump into the past one. Instead, the two horizons interact dynamically. For instance, reading Shakespeare's plays today fuses the Elizabethan horizon (with its views on monarchy and fate) with a modern horizon (influenced by democracy and psychology), producing fresh insights like seeing the plays as critiques of power. In Truth and Method, Gadamer says: "The fusion of horizons that takes place in understanding is actually the achievement of language." This fusion happens as an event — not controlled by the interpreter, but arising from open engagement.</w:t>
      </w:r>
    </w:p>
    <w:p w14:paraId="718F64F1" w14:textId="2C538763"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The process rejects historicism's goal of reconstructing authorial intent or the original meaning exactly. Gadamer argues that such reconstruction is impossible because the interpreter's horizon always plays a role. Fusion acknowledges the temporal distance between past and present as productive, not a gap to close. It is like a conversation where neither party dominates; both horizons are preserved yet transformed.</w:t>
      </w:r>
    </w:p>
    <w:p w14:paraId="69A48041" w14:textId="1B7DB26A"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3.2 Nature of Understanding</w:t>
      </w:r>
    </w:p>
    <w:p w14:paraId="337956E3" w14:textId="3F37E832"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In Gadamer's hermeneutics, understanding is dialogical and transformative, not a mechanical reproduction of fixed meaning. It is like a conversation with the text or tradition, where the interpreter asks questions and listens, allowing the subject matter to speak back. Understanding emerges through this engagement, not by imposing one's views or passively receiving information.</w:t>
      </w:r>
    </w:p>
    <w:p w14:paraId="197F4661" w14:textId="5ED39510"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w:t>
      </w:r>
      <w:r>
        <w:rPr>
          <w:rFonts w:ascii="Tahoma" w:hAnsi="Tahoma" w:cs="Tahoma"/>
          <w:sz w:val="22"/>
          <w:szCs w:val="22"/>
        </w:rPr>
        <w:t>a</w:t>
      </w:r>
      <w:r w:rsidRPr="00447699">
        <w:rPr>
          <w:rFonts w:ascii="Tahoma" w:hAnsi="Tahoma" w:cs="Tahoma"/>
          <w:sz w:val="22"/>
          <w:szCs w:val="22"/>
        </w:rPr>
        <w:t>mer describes understanding as an "event" (Geschehen) that happens to us, involving risk and openness. The interpreter must be willing to have their prejudices challenged. For example, interpreting a historical law document today might fuse its original intent with current ethical concerns, leading to new applications in modern justice. This nature rejects romantic hermeneutics' empathy with the author (like Schleiermacher's "divination") and phenomenology's bracketing (Husserl's epoché). Instead, understanding is participatory: the interpreter is changed by the process.</w:t>
      </w:r>
    </w:p>
    <w:p w14:paraId="384E3516" w14:textId="760A6AEA"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Meaning is not static; it "goes beyond its author," as Gadamer notes. Interpretation transforms both the text's significance and the interpreter's self-understanding. This makes hermeneutics ontological — part of human existence — rather than just methodological.</w:t>
      </w:r>
    </w:p>
    <w:p w14:paraId="544FDCB2" w14:textId="08B486A0"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3.3 Role of Language</w:t>
      </w:r>
    </w:p>
    <w:p w14:paraId="22DE6C45" w14:textId="109D6618"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Language is the essential medium of understanding in Gadamer's thought. It is not a tool we use; it is the way Being discloses itself. Fusion happens through linguistic dialogue, where words bridge horizons and create shared meaning.</w:t>
      </w:r>
    </w:p>
    <w:p w14:paraId="0AE796D1" w14:textId="01626284"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Gadamer, influenced by Heidegger, sees language as the "house of Being" — it shapes how we think and experience. There is no understanding outside language; even non-verbal art like painting speaks through cultural symbols. In fusion, language allows the text's horizon to address us, as in poetry where words evoke new interpretations over time.</w:t>
      </w:r>
    </w:p>
    <w:p w14:paraId="71917430" w14:textId="77777777"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sz w:val="22"/>
          <w:szCs w:val="22"/>
        </w:rPr>
        <w:t>Gadamer emphasizes that meaning arises in linguistic dialogue, not private thought. For example, discussing a philosophical text with others fuses multiple horizons through words, leading to deeper insight. This role underscores that hermeneutics is universal: all knowledge, even science, relies on interpretive language.</w:t>
      </w:r>
    </w:p>
    <w:p w14:paraId="74235257" w14:textId="77777777" w:rsidR="00447699" w:rsidRPr="00447699" w:rsidRDefault="00447699" w:rsidP="00447699">
      <w:pPr>
        <w:spacing w:after="0" w:line="240" w:lineRule="auto"/>
        <w:jc w:val="both"/>
        <w:rPr>
          <w:rFonts w:ascii="Tahoma" w:hAnsi="Tahoma" w:cs="Tahoma"/>
          <w:sz w:val="22"/>
          <w:szCs w:val="22"/>
        </w:rPr>
      </w:pPr>
    </w:p>
    <w:p w14:paraId="41118B65" w14:textId="6DC3B36D" w:rsidR="00447699" w:rsidRPr="00447699" w:rsidRDefault="00447699" w:rsidP="00447699">
      <w:pPr>
        <w:spacing w:after="0" w:line="240" w:lineRule="auto"/>
        <w:jc w:val="both"/>
        <w:rPr>
          <w:rFonts w:ascii="Tahoma" w:hAnsi="Tahoma" w:cs="Tahoma"/>
          <w:b/>
          <w:bCs/>
          <w:sz w:val="22"/>
          <w:szCs w:val="22"/>
        </w:rPr>
      </w:pPr>
      <w:r w:rsidRPr="00447699">
        <w:rPr>
          <w:rFonts w:ascii="Tahoma" w:hAnsi="Tahoma" w:cs="Tahoma"/>
          <w:b/>
          <w:bCs/>
          <w:sz w:val="22"/>
          <w:szCs w:val="22"/>
        </w:rPr>
        <w:t>4.0 PHILOSOPHICAL SIGNIFICANCE AND IMPLICATIONS</w:t>
      </w:r>
    </w:p>
    <w:p w14:paraId="00B6EE8B" w14:textId="43C28C51" w:rsidR="00447699" w:rsidRPr="00447699" w:rsidRDefault="00447699" w:rsidP="00447699">
      <w:pPr>
        <w:spacing w:after="0" w:line="240" w:lineRule="auto"/>
        <w:jc w:val="both"/>
        <w:rPr>
          <w:rFonts w:ascii="Tahoma" w:hAnsi="Tahoma" w:cs="Tahoma"/>
          <w:sz w:val="22"/>
          <w:szCs w:val="22"/>
        </w:rPr>
      </w:pPr>
      <w:r w:rsidRPr="00447699">
        <w:rPr>
          <w:rFonts w:ascii="Tahoma" w:hAnsi="Tahoma" w:cs="Tahoma"/>
          <w:b/>
          <w:bCs/>
          <w:sz w:val="22"/>
          <w:szCs w:val="22"/>
        </w:rPr>
        <w:t>4.1 Hermeneutics as Historical and Dynamic</w:t>
      </w:r>
      <w:r>
        <w:rPr>
          <w:rFonts w:ascii="Tahoma" w:hAnsi="Tahoma" w:cs="Tahoma"/>
          <w:b/>
          <w:bCs/>
          <w:sz w:val="22"/>
          <w:szCs w:val="22"/>
        </w:rPr>
        <w:t xml:space="preserve">: </w:t>
      </w:r>
      <w:r w:rsidRPr="00447699">
        <w:rPr>
          <w:rFonts w:ascii="Tahoma" w:hAnsi="Tahoma" w:cs="Tahoma"/>
          <w:sz w:val="22"/>
          <w:szCs w:val="22"/>
        </w:rPr>
        <w:t>Gadamer's fusion makes hermeneutics historical and dynamic: understanding changes over time because horizons shift with history. There is no final, fixed meaning; each era reinterprets traditions anew.</w:t>
      </w:r>
      <w:r>
        <w:rPr>
          <w:rFonts w:ascii="Tahoma" w:hAnsi="Tahoma" w:cs="Tahoma"/>
          <w:b/>
          <w:bCs/>
          <w:sz w:val="22"/>
          <w:szCs w:val="22"/>
        </w:rPr>
        <w:t xml:space="preserve"> </w:t>
      </w:r>
      <w:r w:rsidRPr="00447699">
        <w:rPr>
          <w:rFonts w:ascii="Tahoma" w:hAnsi="Tahoma" w:cs="Tahoma"/>
          <w:sz w:val="22"/>
          <w:szCs w:val="22"/>
        </w:rPr>
        <w:t>This significance challenges static views like historicism</w:t>
      </w:r>
      <w:r>
        <w:rPr>
          <w:rFonts w:ascii="Tahoma" w:hAnsi="Tahoma" w:cs="Tahoma"/>
          <w:sz w:val="22"/>
          <w:szCs w:val="22"/>
        </w:rPr>
        <w:t xml:space="preserve"> that stresses on the recreation of tradition or history.</w:t>
      </w:r>
      <w:r w:rsidRPr="00447699">
        <w:rPr>
          <w:rFonts w:ascii="Tahoma" w:hAnsi="Tahoma" w:cs="Tahoma"/>
          <w:sz w:val="22"/>
          <w:szCs w:val="22"/>
        </w:rPr>
        <w:t xml:space="preserve"> </w:t>
      </w:r>
    </w:p>
    <w:p w14:paraId="6B995712" w14:textId="717FBB4C" w:rsidR="00447699" w:rsidRPr="00447699" w:rsidRDefault="00447699" w:rsidP="00447699">
      <w:pPr>
        <w:spacing w:after="0" w:line="240" w:lineRule="auto"/>
        <w:jc w:val="both"/>
        <w:rPr>
          <w:rFonts w:ascii="Tahoma" w:hAnsi="Tahoma" w:cs="Tahoma"/>
          <w:sz w:val="22"/>
          <w:szCs w:val="22"/>
        </w:rPr>
      </w:pPr>
      <w:r w:rsidRPr="008042F7">
        <w:rPr>
          <w:rFonts w:ascii="Tahoma" w:hAnsi="Tahoma" w:cs="Tahoma"/>
          <w:b/>
          <w:bCs/>
          <w:sz w:val="22"/>
          <w:szCs w:val="22"/>
        </w:rPr>
        <w:t>4.2 Participatory and Dialogical Implications</w:t>
      </w:r>
      <w:r w:rsidR="008042F7" w:rsidRPr="008042F7">
        <w:rPr>
          <w:rFonts w:ascii="Tahoma" w:hAnsi="Tahoma" w:cs="Tahoma"/>
          <w:b/>
          <w:bCs/>
          <w:sz w:val="22"/>
          <w:szCs w:val="22"/>
        </w:rPr>
        <w:t>:</w:t>
      </w:r>
      <w:r w:rsidR="008042F7">
        <w:rPr>
          <w:rFonts w:ascii="Tahoma" w:hAnsi="Tahoma" w:cs="Tahoma"/>
          <w:sz w:val="22"/>
          <w:szCs w:val="22"/>
        </w:rPr>
        <w:t xml:space="preserve"> </w:t>
      </w:r>
      <w:r w:rsidRPr="00447699">
        <w:rPr>
          <w:rFonts w:ascii="Tahoma" w:hAnsi="Tahoma" w:cs="Tahoma"/>
          <w:sz w:val="22"/>
          <w:szCs w:val="22"/>
        </w:rPr>
        <w:t>Fusion implies that the interpreter participates in creating meaning, not just discovering it. This requires openness, engagement, and willingness to change.</w:t>
      </w:r>
    </w:p>
    <w:p w14:paraId="60882288" w14:textId="5A0F7B0F" w:rsidR="00447699" w:rsidRPr="00447699" w:rsidRDefault="00447699" w:rsidP="00447699">
      <w:pPr>
        <w:spacing w:after="0" w:line="240" w:lineRule="auto"/>
        <w:jc w:val="both"/>
        <w:rPr>
          <w:rFonts w:ascii="Tahoma" w:hAnsi="Tahoma" w:cs="Tahoma"/>
          <w:sz w:val="22"/>
          <w:szCs w:val="22"/>
        </w:rPr>
      </w:pPr>
      <w:r w:rsidRPr="008042F7">
        <w:rPr>
          <w:rFonts w:ascii="Tahoma" w:hAnsi="Tahoma" w:cs="Tahoma"/>
          <w:b/>
          <w:bCs/>
          <w:sz w:val="22"/>
          <w:szCs w:val="22"/>
        </w:rPr>
        <w:t>4.3 Cross-Cultural and Contemporary Relevance</w:t>
      </w:r>
      <w:r w:rsidR="008042F7" w:rsidRPr="008042F7">
        <w:rPr>
          <w:rFonts w:ascii="Tahoma" w:hAnsi="Tahoma" w:cs="Tahoma"/>
          <w:b/>
          <w:bCs/>
          <w:sz w:val="22"/>
          <w:szCs w:val="22"/>
        </w:rPr>
        <w:t>:</w:t>
      </w:r>
      <w:r w:rsidR="008042F7">
        <w:rPr>
          <w:rFonts w:ascii="Tahoma" w:hAnsi="Tahoma" w:cs="Tahoma"/>
          <w:sz w:val="22"/>
          <w:szCs w:val="22"/>
        </w:rPr>
        <w:t xml:space="preserve"> </w:t>
      </w:r>
      <w:r w:rsidRPr="00447699">
        <w:rPr>
          <w:rFonts w:ascii="Tahoma" w:hAnsi="Tahoma" w:cs="Tahoma"/>
          <w:sz w:val="22"/>
          <w:szCs w:val="22"/>
        </w:rPr>
        <w:t>Fusion is relevant for cross-cultural interpretation, bridging diverse horizons in global societies. It helps understand non-Western traditions without domination.</w:t>
      </w:r>
    </w:p>
    <w:p w14:paraId="13C6EB6F" w14:textId="28C3B291" w:rsidR="00447699" w:rsidRPr="008042F7" w:rsidRDefault="008042F7" w:rsidP="00447699">
      <w:pPr>
        <w:spacing w:after="0" w:line="240" w:lineRule="auto"/>
        <w:jc w:val="both"/>
        <w:rPr>
          <w:rFonts w:ascii="Tahoma" w:hAnsi="Tahoma" w:cs="Tahoma"/>
          <w:sz w:val="22"/>
          <w:szCs w:val="22"/>
        </w:rPr>
      </w:pPr>
      <w:bookmarkStart w:id="1" w:name="_Hlk220026082"/>
      <w:r>
        <w:rPr>
          <w:rFonts w:ascii="Tahoma" w:hAnsi="Tahoma" w:cs="Tahoma"/>
          <w:b/>
          <w:bCs/>
          <w:sz w:val="22"/>
          <w:szCs w:val="22"/>
        </w:rPr>
        <w:lastRenderedPageBreak/>
        <w:t>4.4 Restructuring prejudice</w:t>
      </w:r>
      <w:bookmarkEnd w:id="1"/>
      <w:r>
        <w:rPr>
          <w:rFonts w:ascii="Tahoma" w:hAnsi="Tahoma" w:cs="Tahoma"/>
          <w:b/>
          <w:bCs/>
          <w:sz w:val="22"/>
          <w:szCs w:val="22"/>
        </w:rPr>
        <w:t xml:space="preserve">: </w:t>
      </w:r>
      <w:r>
        <w:rPr>
          <w:rFonts w:ascii="Tahoma" w:hAnsi="Tahoma" w:cs="Tahoma"/>
          <w:sz w:val="22"/>
          <w:szCs w:val="22"/>
        </w:rPr>
        <w:t xml:space="preserve">Gadamer’s view of prejudice as an aid to knowledge, as opposed to the negative traditional view, encourages authenticity and creativity in phiolosophy. </w:t>
      </w:r>
    </w:p>
    <w:p w14:paraId="5142C2E3" w14:textId="77777777" w:rsidR="00447699" w:rsidRPr="00447699" w:rsidRDefault="00447699" w:rsidP="00447699">
      <w:pPr>
        <w:spacing w:after="0" w:line="240" w:lineRule="auto"/>
        <w:jc w:val="both"/>
        <w:rPr>
          <w:rFonts w:ascii="Tahoma" w:hAnsi="Tahoma" w:cs="Tahoma"/>
          <w:sz w:val="22"/>
          <w:szCs w:val="22"/>
        </w:rPr>
      </w:pPr>
    </w:p>
    <w:p w14:paraId="093B55D6" w14:textId="3FFB80EF" w:rsidR="00447699" w:rsidRPr="008042F7" w:rsidRDefault="00447699" w:rsidP="00447699">
      <w:pPr>
        <w:spacing w:after="0" w:line="240" w:lineRule="auto"/>
        <w:jc w:val="both"/>
        <w:rPr>
          <w:rFonts w:ascii="Tahoma" w:hAnsi="Tahoma" w:cs="Tahoma"/>
          <w:b/>
          <w:bCs/>
          <w:sz w:val="22"/>
          <w:szCs w:val="22"/>
        </w:rPr>
      </w:pPr>
      <w:r w:rsidRPr="008042F7">
        <w:rPr>
          <w:rFonts w:ascii="Tahoma" w:hAnsi="Tahoma" w:cs="Tahoma"/>
          <w:b/>
          <w:bCs/>
          <w:sz w:val="22"/>
          <w:szCs w:val="22"/>
        </w:rPr>
        <w:t>5.0 CONCLUSION</w:t>
      </w:r>
    </w:p>
    <w:p w14:paraId="1C065279" w14:textId="2FE1CCAF" w:rsidR="00447699" w:rsidRPr="00D63485" w:rsidRDefault="008042F7" w:rsidP="00447699">
      <w:pPr>
        <w:spacing w:after="0" w:line="240" w:lineRule="auto"/>
        <w:jc w:val="both"/>
        <w:rPr>
          <w:rFonts w:ascii="Tahoma" w:hAnsi="Tahoma" w:cs="Tahoma"/>
          <w:sz w:val="22"/>
          <w:szCs w:val="22"/>
        </w:rPr>
      </w:pPr>
      <w:r>
        <w:rPr>
          <w:rFonts w:ascii="Tahoma" w:hAnsi="Tahoma" w:cs="Tahoma"/>
          <w:sz w:val="22"/>
          <w:szCs w:val="22"/>
        </w:rPr>
        <w:t>Say something…</w:t>
      </w:r>
    </w:p>
    <w:sectPr w:rsidR="00447699" w:rsidRPr="00D63485" w:rsidSect="00154E5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8A"/>
    <w:rsid w:val="000F126C"/>
    <w:rsid w:val="001151C9"/>
    <w:rsid w:val="00154E5D"/>
    <w:rsid w:val="00292EEB"/>
    <w:rsid w:val="002A05EC"/>
    <w:rsid w:val="00314F49"/>
    <w:rsid w:val="00447699"/>
    <w:rsid w:val="005B3740"/>
    <w:rsid w:val="00635087"/>
    <w:rsid w:val="008042F7"/>
    <w:rsid w:val="008B1BC6"/>
    <w:rsid w:val="00915E8A"/>
    <w:rsid w:val="00C8096B"/>
    <w:rsid w:val="00D51087"/>
    <w:rsid w:val="00D63485"/>
    <w:rsid w:val="00D921A9"/>
    <w:rsid w:val="00E0375A"/>
    <w:rsid w:val="00FD7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A483"/>
  <w15:chartTrackingRefBased/>
  <w15:docId w15:val="{588E430E-D990-4B33-9DFF-1C11F535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8A"/>
    <w:rPr>
      <w:rFonts w:eastAsiaTheme="majorEastAsia" w:cstheme="majorBidi"/>
      <w:color w:val="272727" w:themeColor="text1" w:themeTint="D8"/>
    </w:rPr>
  </w:style>
  <w:style w:type="paragraph" w:styleId="Title">
    <w:name w:val="Title"/>
    <w:basedOn w:val="Normal"/>
    <w:next w:val="Normal"/>
    <w:link w:val="TitleChar"/>
    <w:uiPriority w:val="10"/>
    <w:qFormat/>
    <w:rsid w:val="00915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8A"/>
    <w:pPr>
      <w:spacing w:before="160"/>
      <w:jc w:val="center"/>
    </w:pPr>
    <w:rPr>
      <w:i/>
      <w:iCs/>
      <w:color w:val="404040" w:themeColor="text1" w:themeTint="BF"/>
    </w:rPr>
  </w:style>
  <w:style w:type="character" w:customStyle="1" w:styleId="QuoteChar">
    <w:name w:val="Quote Char"/>
    <w:basedOn w:val="DefaultParagraphFont"/>
    <w:link w:val="Quote"/>
    <w:uiPriority w:val="29"/>
    <w:rsid w:val="00915E8A"/>
    <w:rPr>
      <w:i/>
      <w:iCs/>
      <w:color w:val="404040" w:themeColor="text1" w:themeTint="BF"/>
    </w:rPr>
  </w:style>
  <w:style w:type="paragraph" w:styleId="ListParagraph">
    <w:name w:val="List Paragraph"/>
    <w:basedOn w:val="Normal"/>
    <w:uiPriority w:val="34"/>
    <w:qFormat/>
    <w:rsid w:val="00915E8A"/>
    <w:pPr>
      <w:ind w:left="720"/>
      <w:contextualSpacing/>
    </w:pPr>
  </w:style>
  <w:style w:type="character" w:styleId="IntenseEmphasis">
    <w:name w:val="Intense Emphasis"/>
    <w:basedOn w:val="DefaultParagraphFont"/>
    <w:uiPriority w:val="21"/>
    <w:qFormat/>
    <w:rsid w:val="00915E8A"/>
    <w:rPr>
      <w:i/>
      <w:iCs/>
      <w:color w:val="2F5496" w:themeColor="accent1" w:themeShade="BF"/>
    </w:rPr>
  </w:style>
  <w:style w:type="paragraph" w:styleId="IntenseQuote">
    <w:name w:val="Intense Quote"/>
    <w:basedOn w:val="Normal"/>
    <w:next w:val="Normal"/>
    <w:link w:val="IntenseQuoteChar"/>
    <w:uiPriority w:val="30"/>
    <w:qFormat/>
    <w:rsid w:val="00915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E8A"/>
    <w:rPr>
      <w:i/>
      <w:iCs/>
      <w:color w:val="2F5496" w:themeColor="accent1" w:themeShade="BF"/>
    </w:rPr>
  </w:style>
  <w:style w:type="character" w:styleId="IntenseReference">
    <w:name w:val="Intense Reference"/>
    <w:basedOn w:val="DefaultParagraphFont"/>
    <w:uiPriority w:val="32"/>
    <w:qFormat/>
    <w:rsid w:val="00915E8A"/>
    <w:rPr>
      <w:b/>
      <w:bCs/>
      <w:smallCaps/>
      <w:color w:val="2F5496" w:themeColor="accent1" w:themeShade="BF"/>
      <w:spacing w:val="5"/>
    </w:rPr>
  </w:style>
  <w:style w:type="paragraph" w:styleId="NormalWeb">
    <w:name w:val="Normal (Web)"/>
    <w:basedOn w:val="Normal"/>
    <w:uiPriority w:val="99"/>
    <w:semiHidden/>
    <w:unhideWhenUsed/>
    <w:rsid w:val="00D921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8</Pages>
  <Words>4334</Words>
  <Characters>24708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emmanuelsavio42@gmail.com</dc:creator>
  <cp:keywords/>
  <dc:description/>
  <cp:lastModifiedBy>emmanuelsavio42@gmail.com</cp:lastModifiedBy>
  <cp:revision>4</cp:revision>
  <dcterms:created xsi:type="dcterms:W3CDTF">2026-01-22T10:31:00Z</dcterms:created>
  <dcterms:modified xsi:type="dcterms:W3CDTF">2026-01-23T01:01:00Z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139977a1-5054-4903-9e7f-b6a805fd4e99</vt:lpwstr>
  </property>
</Properties>
</file>