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79CC" w14:textId="02139184" w:rsidR="008D7005" w:rsidRDefault="008D7005" w:rsidP="008D7005">
      <w:pPr>
        <w:spacing w:after="200" w:line="276" w:lineRule="auto"/>
        <w:rPr>
          <w:rFonts w:ascii="Times New Roman" w:eastAsia="Calibri"/>
          <w:b/>
          <w:bCs/>
          <w:sz w:val="24"/>
          <w:szCs w:val="24"/>
          <w:lang w:val="en-GB"/>
        </w:rPr>
      </w:pPr>
      <w:r>
        <w:rPr>
          <w:rFonts w:ascii="Times New Roman" w:eastAsia="Calibri"/>
          <w:b/>
          <w:bCs/>
          <w:sz w:val="24"/>
          <w:szCs w:val="24"/>
          <w:lang w:val="en-GB"/>
        </w:rPr>
        <w:t>Analytic Philosophy</w:t>
      </w:r>
    </w:p>
    <w:p w14:paraId="0E1B2A61" w14:textId="77777777" w:rsidR="008D7005" w:rsidRPr="008D7005" w:rsidRDefault="008D7005" w:rsidP="008D7005">
      <w:pPr>
        <w:spacing w:after="200" w:line="276" w:lineRule="auto"/>
        <w:rPr>
          <w:rFonts w:ascii="Times New Roman" w:eastAsia="Calibri"/>
          <w:sz w:val="24"/>
          <w:szCs w:val="24"/>
          <w:lang w:val="en-GB"/>
        </w:rPr>
      </w:pPr>
      <w:r w:rsidRPr="008D7005">
        <w:rPr>
          <w:rFonts w:ascii="Times New Roman" w:eastAsia="Calibri"/>
          <w:sz w:val="24"/>
          <w:szCs w:val="24"/>
          <w:lang w:val="en-GB"/>
        </w:rPr>
        <w:t>Analytic philosophy is a style of philosophy that became dominant in regions such as Great Britain and the United States towards the end of the 19th century. This philosophical tradition is characterized by an emphasis on the analysis of language. Proponents believe that clarifying language can serve as an effective tool for understanding the world.</w:t>
      </w:r>
    </w:p>
    <w:p w14:paraId="4995B98C" w14:textId="271262BB" w:rsidR="008D7005" w:rsidRDefault="008D7005" w:rsidP="008D7005">
      <w:pPr>
        <w:spacing w:after="200" w:line="276" w:lineRule="auto"/>
        <w:rPr>
          <w:rFonts w:ascii="Times New Roman" w:eastAsia="Calibri"/>
          <w:b/>
          <w:bCs/>
          <w:sz w:val="24"/>
          <w:szCs w:val="24"/>
          <w:lang w:val="en-GB"/>
        </w:rPr>
      </w:pPr>
      <w:r>
        <w:rPr>
          <w:rFonts w:ascii="Times New Roman" w:eastAsia="Calibri"/>
          <w:b/>
          <w:bCs/>
          <w:sz w:val="24"/>
          <w:szCs w:val="24"/>
          <w:lang w:val="en-GB"/>
        </w:rPr>
        <w:t>Logic as a Tool of Philosophy:</w:t>
      </w:r>
    </w:p>
    <w:p w14:paraId="60CBFD48" w14:textId="77777777" w:rsidR="008D7005" w:rsidRPr="008D7005" w:rsidRDefault="008D7005" w:rsidP="008D7005">
      <w:pPr>
        <w:spacing w:after="200" w:line="276" w:lineRule="auto"/>
        <w:rPr>
          <w:rFonts w:ascii="Times New Roman" w:eastAsia="Calibri"/>
          <w:sz w:val="24"/>
          <w:szCs w:val="24"/>
          <w:lang w:val="en-GB"/>
        </w:rPr>
      </w:pPr>
      <w:r w:rsidRPr="008D7005">
        <w:rPr>
          <w:rFonts w:ascii="Times New Roman" w:eastAsia="Calibri"/>
          <w:sz w:val="24"/>
          <w:szCs w:val="24"/>
          <w:lang w:val="en-GB"/>
        </w:rPr>
        <w:t xml:space="preserve">Logic is often described as a 'tool' for every inquiry; without logic, an inquiry cannot truly be considered valid. More specifically, logic is used as an essential tool in philosophy, as philosophers employ its techniques and results to formulate their theories in ways that are often more significant than in non-philosophical contexts. </w:t>
      </w:r>
    </w:p>
    <w:p w14:paraId="65058C69" w14:textId="77777777" w:rsidR="008D7005" w:rsidRPr="008D7005" w:rsidRDefault="008D7005" w:rsidP="008D7005">
      <w:pPr>
        <w:spacing w:after="200" w:line="276" w:lineRule="auto"/>
        <w:rPr>
          <w:rFonts w:ascii="Times New Roman" w:eastAsia="Calibri"/>
          <w:sz w:val="24"/>
          <w:szCs w:val="24"/>
          <w:lang w:val="en-GB"/>
        </w:rPr>
      </w:pPr>
      <w:r w:rsidRPr="008D7005">
        <w:rPr>
          <w:rFonts w:ascii="Times New Roman" w:eastAsia="Calibri"/>
          <w:sz w:val="24"/>
          <w:szCs w:val="24"/>
          <w:lang w:val="en-GB"/>
        </w:rPr>
        <w:t>Philosophers like Bertrand Russell and Ludwig Wittgenstein aimed to resolve many philosophical problems by using modern logic as a foundational tool. Russell, in particular, sought to establish a logically perfect language to address philosophical issues. This logically perfect language is also referred to as 'artificial language' or 'ideal language.' Such a language would have perfect syntax and vocabulary, accurately reflecting the logical structure of propositions and the facts they assert or deny.</w:t>
      </w:r>
    </w:p>
    <w:p w14:paraId="1AC575FF" w14:textId="52B8CF20" w:rsidR="008D7005" w:rsidRPr="008D7005" w:rsidRDefault="008D7005" w:rsidP="008D7005">
      <w:pPr>
        <w:spacing w:after="200" w:line="276" w:lineRule="auto"/>
        <w:ind w:firstLine="720"/>
      </w:pPr>
      <w:r w:rsidRPr="008D7005">
        <w:rPr>
          <w:rFonts w:ascii="Times New Roman" w:eastAsia="Calibri"/>
          <w:sz w:val="24"/>
          <w:szCs w:val="24"/>
          <w:lang w:val="en-GB"/>
        </w:rPr>
        <w:t>While Russell believed that ordinary language is adequate for everyday purposes, he argued that it falls short for logical analysis. He contended that, for philosophical exploration, it is necessary to reconstruct ordinary language so its fundamental structure becomes clear.</w:t>
      </w:r>
    </w:p>
    <w:p w14:paraId="244C76BA" w14:textId="77777777" w:rsidR="008D7005" w:rsidRDefault="008D7005" w:rsidP="008D7005">
      <w:pPr>
        <w:spacing w:after="200" w:line="276" w:lineRule="auto"/>
        <w:jc w:val="center"/>
        <w:rPr>
          <w:b/>
          <w:bCs/>
          <w:caps/>
        </w:rPr>
      </w:pPr>
      <w:r>
        <w:rPr>
          <w:rFonts w:ascii="Times New Roman" w:eastAsia="Calibri"/>
          <w:b/>
          <w:bCs/>
          <w:caps/>
          <w:sz w:val="24"/>
          <w:szCs w:val="24"/>
          <w:lang w:val="en-GB"/>
        </w:rPr>
        <w:t>Types of Language Analysis</w:t>
      </w:r>
    </w:p>
    <w:p w14:paraId="2473952A" w14:textId="77777777" w:rsidR="008D7005" w:rsidRDefault="008D7005" w:rsidP="008D7005">
      <w:pPr>
        <w:spacing w:after="200" w:line="276" w:lineRule="auto"/>
      </w:pPr>
      <w:r>
        <w:rPr>
          <w:rFonts w:ascii="Times New Roman" w:eastAsia="Calibri"/>
          <w:sz w:val="24"/>
          <w:szCs w:val="24"/>
          <w:lang w:val="en-GB"/>
        </w:rPr>
        <w:t>Analytic philosophy has two types of language analysis:</w:t>
      </w:r>
    </w:p>
    <w:p w14:paraId="012E2CB3" w14:textId="77777777" w:rsidR="008D7005" w:rsidRDefault="008D7005" w:rsidP="008D7005">
      <w:pPr>
        <w:spacing w:after="200" w:line="276" w:lineRule="auto"/>
      </w:pPr>
      <w:r>
        <w:rPr>
          <w:rFonts w:ascii="Times New Roman" w:eastAsia="Calibri"/>
          <w:sz w:val="24"/>
          <w:szCs w:val="24"/>
          <w:lang w:val="en-GB"/>
        </w:rPr>
        <w:t>1. Artificial language analysis and</w:t>
      </w:r>
    </w:p>
    <w:p w14:paraId="63758A98" w14:textId="77777777" w:rsidR="008D7005" w:rsidRDefault="008D7005" w:rsidP="008D7005">
      <w:pPr>
        <w:spacing w:after="200" w:line="276" w:lineRule="auto"/>
      </w:pPr>
      <w:r>
        <w:rPr>
          <w:rFonts w:ascii="Times New Roman" w:eastAsia="Calibri"/>
          <w:sz w:val="24"/>
          <w:szCs w:val="24"/>
          <w:lang w:val="en-GB"/>
        </w:rPr>
        <w:t>2. Ordinary language analysis.</w:t>
      </w:r>
    </w:p>
    <w:p w14:paraId="633892DC" w14:textId="4302BDCF"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xml:space="preserve">1. </w:t>
      </w:r>
      <w:r w:rsidRPr="00A80A06">
        <w:rPr>
          <w:rFonts w:ascii="Times New Roman" w:eastAsia="Calibri"/>
          <w:b/>
          <w:bCs/>
          <w:sz w:val="24"/>
          <w:szCs w:val="24"/>
          <w:lang w:val="en-GB"/>
        </w:rPr>
        <w:t>Artificial Language Philosophy/Ideal Language Philosophy</w:t>
      </w:r>
      <w:r>
        <w:rPr>
          <w:rFonts w:ascii="Times New Roman" w:eastAsia="Calibri"/>
          <w:sz w:val="24"/>
          <w:szCs w:val="24"/>
          <w:lang w:val="en-GB"/>
        </w:rPr>
        <w:t xml:space="preserve">: Analytic philosophers, such as Bertrand Russell and early Ludwig Wittgenstein, emphasized the creation of an ideal language for philosophical analysis. This ideal language aims to be free from the ambiguities present in ordinary language. Both Russell and Wittgenstein contributed to the philosophy of logical atomism, seeking to address philosophical problems through language analysis. </w:t>
      </w:r>
    </w:p>
    <w:p w14:paraId="1764F8D1" w14:textId="025E1191" w:rsidR="008D7005" w:rsidRDefault="008D7005" w:rsidP="008D7005">
      <w:pPr>
        <w:spacing w:after="200" w:line="276" w:lineRule="auto"/>
        <w:ind w:firstLine="720"/>
      </w:pPr>
      <w:r>
        <w:rPr>
          <w:rFonts w:ascii="Times New Roman" w:eastAsia="Calibri"/>
          <w:sz w:val="24"/>
          <w:szCs w:val="24"/>
          <w:lang w:val="en-GB"/>
        </w:rPr>
        <w:t>According to Wittgenstein, the world consists of the totality of actual states of affairs, which can be expressed using the language of first-order predicate logic. He proposed that language serves as a picture of reality, a concept known as the picture theory of meaning.</w:t>
      </w:r>
    </w:p>
    <w:p w14:paraId="17AA323C" w14:textId="26808491" w:rsidR="008D7005" w:rsidRDefault="008D7005" w:rsidP="008D7005">
      <w:pPr>
        <w:spacing w:after="200" w:line="276" w:lineRule="auto"/>
      </w:pPr>
      <w:r w:rsidRPr="00247327">
        <w:rPr>
          <w:rFonts w:ascii="Times New Roman" w:eastAsia="Calibri"/>
          <w:b/>
          <w:bCs/>
          <w:sz w:val="24"/>
          <w:szCs w:val="24"/>
          <w:lang w:val="en-GB"/>
        </w:rPr>
        <w:lastRenderedPageBreak/>
        <w:t>Ordinary Language Philosophy</w:t>
      </w:r>
      <w:r>
        <w:rPr>
          <w:rFonts w:ascii="Times New Roman" w:eastAsia="Calibri"/>
          <w:sz w:val="24"/>
          <w:szCs w:val="24"/>
          <w:lang w:val="en-GB"/>
        </w:rPr>
        <w:t xml:space="preserve">: Wittgenstein's philosophy can be divided into two phases: his early phase and his later phase. His later philosophy is best illustrated in his work, </w:t>
      </w:r>
      <w:r w:rsidRPr="008D7005">
        <w:rPr>
          <w:rFonts w:ascii="Times New Roman" w:eastAsia="Calibri"/>
          <w:i/>
          <w:iCs/>
          <w:sz w:val="24"/>
          <w:szCs w:val="24"/>
          <w:lang w:val="en-GB"/>
        </w:rPr>
        <w:t>Philosophical Investigations</w:t>
      </w:r>
      <w:r>
        <w:rPr>
          <w:rFonts w:ascii="Times New Roman" w:eastAsia="Calibri"/>
          <w:sz w:val="24"/>
          <w:szCs w:val="24"/>
          <w:lang w:val="en-GB"/>
        </w:rPr>
        <w:t>. Unlike the artificial language philosophy of his early work, Wittgenstein's later philosophy emphasized the analysis of ordinary language, focusing on how language is used by everyday people. Notable philosophers associated with ordinary language philosophy include Gilbert Ryle and J.L. Austin.</w:t>
      </w:r>
    </w:p>
    <w:p w14:paraId="7755E622" w14:textId="77777777" w:rsidR="008D7005" w:rsidRDefault="008D7005" w:rsidP="008D7005">
      <w:pPr>
        <w:spacing w:after="200" w:line="276" w:lineRule="auto"/>
      </w:pPr>
    </w:p>
    <w:p w14:paraId="356AAB5A" w14:textId="77777777" w:rsidR="008D7005" w:rsidRDefault="008D7005" w:rsidP="008D7005">
      <w:pPr>
        <w:spacing w:after="200" w:line="276" w:lineRule="auto"/>
        <w:jc w:val="center"/>
        <w:rPr>
          <w:b/>
          <w:bCs/>
          <w:sz w:val="28"/>
          <w:szCs w:val="28"/>
        </w:rPr>
      </w:pPr>
      <w:r>
        <w:rPr>
          <w:rFonts w:ascii="Times New Roman" w:eastAsia="Calibri"/>
          <w:sz w:val="24"/>
          <w:szCs w:val="24"/>
          <w:lang w:val="en-GB"/>
        </w:rPr>
        <w:t xml:space="preserve"> </w:t>
      </w:r>
      <w:r>
        <w:rPr>
          <w:rFonts w:ascii="Times New Roman" w:eastAsia="Calibri"/>
          <w:b/>
          <w:bCs/>
          <w:sz w:val="28"/>
          <w:szCs w:val="28"/>
          <w:lang w:val="en-GB"/>
        </w:rPr>
        <w:t>THEORY OF DESCRIPTIONS</w:t>
      </w:r>
    </w:p>
    <w:p w14:paraId="0BE1CE33"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According to Bertrand Russell, some words refer to things as their meanings, while others do not express meaning referentially. In 1905, Russell wrote the essay “On Denoting,” published in the journal Mind. In this essay, he addresses the issue of how we can have sentences that contain definite descriptions that denote nothing, yet still remain completely meaningful. This exploration forms the basis of what is known as Russell’s famous theory of descriptions.</w:t>
      </w:r>
    </w:p>
    <w:p w14:paraId="3691BF1A" w14:textId="77777777" w:rsidR="008D7005"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Russell analyzes the logical form of sentences containing denoting phrases and categorizes these sentences into three groups:</w:t>
      </w:r>
    </w:p>
    <w:p w14:paraId="4D17BA5D"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1. Denoting phrases that do not denote anything, such as “the present king of France.”</w:t>
      </w:r>
    </w:p>
    <w:p w14:paraId="5DD66DD2"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xml:space="preserve">2. Phrases that denote one specific object, like “the present king of England” (which referred to Edward VII at the time Russell was writing). </w:t>
      </w:r>
    </w:p>
    <w:p w14:paraId="5F9346FC"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3. Phrases that denote ambiguously, for example, “a man.”</w:t>
      </w:r>
    </w:p>
    <w:p w14:paraId="0E9C4F65" w14:textId="77777777" w:rsidR="008D7005"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Definite descriptions involve the first two groups of denoting phrases, while indefinite descriptions relate to the third group. Propositions containing these descriptions typically appear to follow the standard subject-predicate structure; however, Russell's analysis reveals that their actual logical form may differ.</w:t>
      </w:r>
    </w:p>
    <w:p w14:paraId="65B76C2B" w14:textId="77777777" w:rsidR="008D7005"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A key point in Russell's theory is that the grammatical form of a statement may not accurately reflect its logical form. He provides the following examples:</w:t>
      </w:r>
    </w:p>
    <w:p w14:paraId="1A22797B"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“I met Jones.”</w:t>
      </w:r>
    </w:p>
    <w:p w14:paraId="53F6D003"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“I met a man.”</w:t>
      </w:r>
    </w:p>
    <w:p w14:paraId="392F1D0F" w14:textId="160F9D1B" w:rsidR="008D7005" w:rsidRDefault="008D7005" w:rsidP="008D7005">
      <w:pPr>
        <w:spacing w:after="200" w:line="276" w:lineRule="auto"/>
      </w:pPr>
      <w:r>
        <w:rPr>
          <w:rFonts w:ascii="Times New Roman" w:eastAsia="Calibri"/>
          <w:sz w:val="24"/>
          <w:szCs w:val="24"/>
          <w:lang w:val="en-GB"/>
        </w:rPr>
        <w:t>Russell argues that there is a logical distinction between these two propositions. The first proposition names an actual person, namely Jones. In contrast, the second proposition employs a propositional function: “The function ‘I met x, and x is human’ is sometimes true.” Thus, according to Russell, an ordinary sentence may express something without actually denoting anything. Through the concept of propositional functions, Russell illustrates the logical differences between the forms of these propositions.</w:t>
      </w:r>
    </w:p>
    <w:p w14:paraId="60A49ADB" w14:textId="5512E3F7" w:rsidR="008D7005" w:rsidRDefault="008D7005" w:rsidP="008D7005">
      <w:pPr>
        <w:spacing w:after="200" w:line="276" w:lineRule="auto"/>
        <w:ind w:firstLine="720"/>
        <w:rPr>
          <w:rFonts w:ascii="Times New Roman" w:eastAsia="Calibri"/>
          <w:sz w:val="24"/>
          <w:szCs w:val="24"/>
          <w:lang w:val="en-GB"/>
        </w:rPr>
      </w:pPr>
      <w:r w:rsidRPr="008D7005">
        <w:rPr>
          <w:rFonts w:ascii="Times New Roman" w:eastAsia="Calibri"/>
          <w:b/>
          <w:bCs/>
          <w:sz w:val="24"/>
          <w:szCs w:val="24"/>
          <w:lang w:val="en-GB"/>
        </w:rPr>
        <w:lastRenderedPageBreak/>
        <w:t>Propositional Function</w:t>
      </w:r>
      <w:r>
        <w:rPr>
          <w:rFonts w:ascii="Times New Roman" w:eastAsia="Calibri"/>
          <w:sz w:val="24"/>
          <w:szCs w:val="24"/>
          <w:lang w:val="en-GB"/>
        </w:rPr>
        <w:t xml:space="preserve">: A propositional function is defined as any expression that contains one or more undetermined components. It becomes a proposition when these components are specified. For example, “x is a dog” is a propositional function, as it does not have a truth value until a specific value is assigned to ‘x’. </w:t>
      </w:r>
    </w:p>
    <w:p w14:paraId="76A82BCD" w14:textId="77777777" w:rsidR="008D7005"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We define a propositional function as an expression that (1) contains an individual variable and (2) becomes a statement when an individual constant is substituted for that variable. Therefore, a propositional function is not itself a proposition, although it can become one through substitution. Individual constants can be thought of as the proper names of individuals. Any singular proposition is a substitution instance of a propositional function; it results from replacing the individual variable in that function with an individual constant.</w:t>
      </w:r>
    </w:p>
    <w:p w14:paraId="5DF0E6B5"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xml:space="preserve">Let’s examine the symbol Hx more closely. It represents a propositional function. </w:t>
      </w:r>
    </w:p>
    <w:p w14:paraId="5D4DD117" w14:textId="77777777" w:rsidR="00E7565E"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Typically, a propositional function has some substitution instances that are true and some that are false. For instance, if H represents "human," s represents "Socrates," and c represents "Chicago," then Hs is true (Socrates is human) and Hc is false (Chicago is not human). After substitution, we form a proposition; prior to substitution, we only have the propositional function. There is an unlimited number of propositional functions, such as Hx, Mx, Bx, Fx, Wx, and so forth. We refer to these as simple predicates to distinguish them from more complex propositional functions</w:t>
      </w:r>
      <w:r w:rsidR="00E7565E">
        <w:rPr>
          <w:rFonts w:ascii="Times New Roman" w:eastAsia="Calibri"/>
          <w:sz w:val="24"/>
          <w:szCs w:val="24"/>
          <w:lang w:val="en-GB"/>
        </w:rPr>
        <w:t>.</w:t>
      </w:r>
    </w:p>
    <w:p w14:paraId="3564A520" w14:textId="06B8096A" w:rsidR="008D7005" w:rsidRDefault="008D7005" w:rsidP="008D7005">
      <w:pPr>
        <w:spacing w:after="200" w:line="276" w:lineRule="auto"/>
        <w:ind w:firstLine="720"/>
        <w:rPr>
          <w:rFonts w:ascii="Times New Roman" w:eastAsia="Calibri"/>
          <w:sz w:val="24"/>
          <w:szCs w:val="24"/>
          <w:lang w:val="en-GB"/>
        </w:rPr>
      </w:pPr>
      <w:r>
        <w:rPr>
          <w:rFonts w:ascii="Times New Roman" w:eastAsia="Calibri"/>
          <w:sz w:val="24"/>
          <w:szCs w:val="24"/>
          <w:lang w:val="en-GB"/>
        </w:rPr>
        <w:t xml:space="preserve"> simple predicate is a propositional function that has some true and some false substitution instances, each of which constitutes an affirmative singular proposition.</w:t>
      </w:r>
    </w:p>
    <w:p w14:paraId="64495FFC" w14:textId="77777777" w:rsidR="008D7005" w:rsidRDefault="008D7005" w:rsidP="008D7005">
      <w:pPr>
        <w:spacing w:after="200" w:line="276" w:lineRule="auto"/>
        <w:rPr>
          <w:rFonts w:ascii="Times New Roman" w:eastAsia="Calibri"/>
          <w:sz w:val="24"/>
          <w:szCs w:val="24"/>
          <w:lang w:val="en-GB"/>
        </w:rPr>
      </w:pPr>
    </w:p>
    <w:p w14:paraId="052F535D" w14:textId="38C3B553" w:rsidR="008D7005" w:rsidRDefault="008D7005" w:rsidP="008D7005">
      <w:pPr>
        <w:spacing w:after="200" w:line="276" w:lineRule="auto"/>
        <w:rPr>
          <w:rFonts w:ascii="Times New Roman" w:eastAsia="Calibri"/>
          <w:sz w:val="24"/>
          <w:szCs w:val="24"/>
          <w:lang w:val="en-GB"/>
        </w:rPr>
      </w:pPr>
      <w:r w:rsidRPr="008D7005">
        <w:rPr>
          <w:rFonts w:ascii="Times New Roman" w:eastAsia="Calibri"/>
          <w:i/>
          <w:iCs/>
          <w:sz w:val="24"/>
          <w:szCs w:val="24"/>
          <w:lang w:val="en-GB"/>
        </w:rPr>
        <w:t>Russell's Theory of Descriptions</w:t>
      </w:r>
      <w:r>
        <w:rPr>
          <w:rFonts w:ascii="Times New Roman" w:eastAsia="Calibri"/>
          <w:sz w:val="24"/>
          <w:szCs w:val="24"/>
          <w:lang w:val="en-GB"/>
        </w:rPr>
        <w:t>: Bertrand Russell developed the theory of descriptions to address specific philosophical problems. A well-known example he provided is the sentence, "The present king of France is bald." The descriptive phrase in this sentence is "the present king of France," which denotes nothing since there is currently no monarchy in France. Russell argues that in such sentences, definite descriptions do not function as denotations.</w:t>
      </w:r>
    </w:p>
    <w:p w14:paraId="6DDBAD2F"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According to Russell, the proposition "the present king of France is bald" can be analyzed as a conjunction of three propositions:</w:t>
      </w:r>
    </w:p>
    <w:p w14:paraId="3491B6E8"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1. There exists at least one person who currently reigns in France.</w:t>
      </w:r>
    </w:p>
    <w:p w14:paraId="30A0628C"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2. There exists at most one person who currently reigns in France.</w:t>
      </w:r>
    </w:p>
    <w:p w14:paraId="2E4510D1" w14:textId="77777777"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3. Whoever currently reigns in France is bald.</w:t>
      </w:r>
    </w:p>
    <w:p w14:paraId="117BAB50" w14:textId="40501F8C"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 xml:space="preserve">When we translate the original sentence into these three propositions, we find that the constituent “the present king of France” disappears. The sentence is replaced by a propositional function that is not satisfied by any value and thus is always false (the propositional function is "x reigns at present in France.” No replacement of the variable </w:t>
      </w:r>
      <w:r>
        <w:rPr>
          <w:rFonts w:ascii="Times New Roman" w:eastAsia="Calibri"/>
          <w:sz w:val="24"/>
          <w:szCs w:val="24"/>
          <w:lang w:val="en-GB"/>
        </w:rPr>
        <w:lastRenderedPageBreak/>
        <w:t>x with any value will yield a true proposition). Russell demonstrated that definite phrases like "the author of Waverley" function as names in sentences, but these phrases vanish after thorough analysis. He termed such phrases “incomplete symbols,” which lack meaning in isolation but acquire meaning in context with other symbols.</w:t>
      </w:r>
    </w:p>
    <w:p w14:paraId="3D51C79C" w14:textId="77777777" w:rsidR="008D7005" w:rsidRDefault="008D7005" w:rsidP="008D7005">
      <w:pPr>
        <w:spacing w:after="200" w:line="276" w:lineRule="auto"/>
        <w:rPr>
          <w:rFonts w:ascii="Times New Roman" w:eastAsia="Calibri"/>
          <w:sz w:val="24"/>
          <w:szCs w:val="24"/>
          <w:lang w:val="en-GB"/>
        </w:rPr>
      </w:pPr>
    </w:p>
    <w:p w14:paraId="56A6BD05" w14:textId="2868D9F2" w:rsidR="008D7005" w:rsidRPr="008D7005" w:rsidRDefault="008D7005" w:rsidP="008D7005">
      <w:pPr>
        <w:spacing w:after="200" w:line="276" w:lineRule="auto"/>
        <w:rPr>
          <w:rFonts w:ascii="Times New Roman" w:eastAsia="Calibri"/>
          <w:b/>
          <w:bCs/>
          <w:sz w:val="24"/>
          <w:szCs w:val="24"/>
          <w:lang w:val="en-GB"/>
        </w:rPr>
      </w:pPr>
      <w:r w:rsidRPr="008D7005">
        <w:rPr>
          <w:rFonts w:ascii="Times New Roman" w:eastAsia="Calibri"/>
          <w:b/>
          <w:bCs/>
          <w:sz w:val="24"/>
          <w:szCs w:val="24"/>
          <w:lang w:val="en-GB"/>
        </w:rPr>
        <w:t>Advantages of Russell’s Theory of Definite Descriptions:</w:t>
      </w:r>
    </w:p>
    <w:p w14:paraId="3E5B2050" w14:textId="4B199E5C" w:rsidR="008D7005" w:rsidRDefault="008D7005" w:rsidP="008D7005">
      <w:pPr>
        <w:spacing w:after="200" w:line="276" w:lineRule="auto"/>
        <w:rPr>
          <w:rFonts w:ascii="Times New Roman" w:eastAsia="Calibri"/>
          <w:sz w:val="24"/>
          <w:szCs w:val="24"/>
          <w:lang w:val="en-GB"/>
        </w:rPr>
      </w:pPr>
      <w:r>
        <w:rPr>
          <w:rFonts w:ascii="Times New Roman" w:eastAsia="Calibri"/>
          <w:sz w:val="24"/>
          <w:szCs w:val="24"/>
          <w:lang w:val="en-GB"/>
        </w:rPr>
        <w:t>1. This theory allows Russell to account for true negative existential judgments. A notable example is the statement, "The golden mountain does not exist." According to Russell, this negative existential judgment cannot be understood as a statement about something that does not exist.</w:t>
      </w:r>
    </w:p>
    <w:p w14:paraId="1DA6F7C8" w14:textId="48F20843" w:rsidR="008D7005" w:rsidRDefault="008D7005" w:rsidP="008D7005">
      <w:pPr>
        <w:spacing w:after="200" w:line="276" w:lineRule="auto"/>
      </w:pPr>
      <w:r>
        <w:rPr>
          <w:rFonts w:ascii="Times New Roman" w:eastAsia="Calibri"/>
          <w:sz w:val="24"/>
          <w:szCs w:val="24"/>
          <w:lang w:val="en-GB"/>
        </w:rPr>
        <w:t>2. The theory enables Russell to interpret propositions like "the author of Waverley is Scott" as something other than mere identity statements. He differentiates between proper names and descriptions. A proper name is a simple symbol that designates an individual directly and holds meaning in isolation. In contrast, a description does not designate an individual directly, which is why Russell labels it an "incomplete symbol." An incomplete symbol lacks standalone meaning, gaining context only when combined with other symbols. Thus, the description "author of Waverley" does not simply signify "Scott." If that were the case, the proposition would be "Scott is Scott," which is a tautology. When King George IV asked whether Scott was the author of Waverley, he was not asking whether Scott was Scott.</w:t>
      </w:r>
    </w:p>
    <w:p w14:paraId="297C69FB" w14:textId="77777777" w:rsidR="008D7005" w:rsidRDefault="008D7005" w:rsidP="008D7005">
      <w:pPr>
        <w:spacing w:after="200" w:line="276" w:lineRule="auto"/>
        <w:jc w:val="center"/>
        <w:rPr>
          <w:rFonts w:ascii="Times New Roman" w:eastAsia="Calibri"/>
          <w:b/>
          <w:bCs/>
          <w:sz w:val="28"/>
          <w:szCs w:val="28"/>
        </w:rPr>
      </w:pPr>
    </w:p>
    <w:p w14:paraId="09DE557A" w14:textId="77777777" w:rsidR="00255EF6" w:rsidRPr="00255EF6" w:rsidRDefault="00255EF6" w:rsidP="00255EF6">
      <w:pPr>
        <w:keepNext/>
        <w:keepLines/>
        <w:spacing w:before="200" w:line="276" w:lineRule="auto"/>
        <w:outlineLvl w:val="1"/>
        <w:rPr>
          <w:rFonts w:eastAsia="MS Gothic" w:hAnsi="Calibri"/>
          <w:b/>
          <w:bCs/>
          <w:color w:val="4F81BD"/>
          <w:kern w:val="0"/>
          <w:sz w:val="26"/>
          <w:szCs w:val="26"/>
        </w:rPr>
      </w:pPr>
      <w:r w:rsidRPr="00255EF6">
        <w:rPr>
          <w:rFonts w:eastAsia="MS Gothic" w:hAnsi="Calibri"/>
          <w:b/>
          <w:bCs/>
          <w:color w:val="4F81BD"/>
          <w:kern w:val="0"/>
          <w:sz w:val="26"/>
          <w:szCs w:val="26"/>
        </w:rPr>
        <w:t>Modern Commentary</w:t>
      </w:r>
    </w:p>
    <w:p w14:paraId="3181D6A7" w14:textId="77777777" w:rsidR="00255EF6" w:rsidRPr="00255EF6" w:rsidRDefault="00255EF6" w:rsidP="00255EF6">
      <w:pPr>
        <w:spacing w:after="200" w:line="276" w:lineRule="auto"/>
        <w:rPr>
          <w:rFonts w:ascii="Cambria" w:eastAsia="MS Mincho" w:hAnsi="Cambria"/>
          <w:kern w:val="0"/>
          <w:sz w:val="22"/>
        </w:rPr>
      </w:pPr>
      <w:r w:rsidRPr="00255EF6">
        <w:rPr>
          <w:rFonts w:ascii="Cambria" w:eastAsia="MS Mincho" w:hAnsi="Cambria"/>
          <w:kern w:val="0"/>
          <w:sz w:val="22"/>
        </w:rPr>
        <w:t>Philosophers like Saul Kripke and Keith Donnellan later critiqued and refined Russell’s theory. Kripke introduced the idea of rigid designation, challenging the view that names are simply shorthand for descriptions (*Naming and Necessity*, 1980).</w:t>
      </w:r>
      <w:r w:rsidRPr="00255EF6">
        <w:rPr>
          <w:rFonts w:ascii="Cambria" w:eastAsia="MS Mincho" w:hAnsi="Cambria"/>
          <w:kern w:val="0"/>
          <w:sz w:val="22"/>
        </w:rPr>
        <w:br/>
      </w:r>
      <w:r w:rsidRPr="00255EF6">
        <w:rPr>
          <w:rFonts w:ascii="Cambria" w:eastAsia="MS Mincho" w:hAnsi="Cambria"/>
          <w:kern w:val="0"/>
          <w:sz w:val="22"/>
        </w:rPr>
        <w:br/>
        <w:t>Colin McGinn (2019) emphasized the semantic richness of the definite article “the”, noting that it implicitly conveys both existence and uniqueness. However, McGinn suggests that while one may accept Russell’s insights about the semantics of descriptions, one need not adopt his full logical analysis.</w:t>
      </w:r>
    </w:p>
    <w:p w14:paraId="0AC3E666" w14:textId="77777777" w:rsidR="00255EF6" w:rsidRDefault="00255EF6" w:rsidP="008D7005">
      <w:pPr>
        <w:spacing w:after="200" w:line="276" w:lineRule="auto"/>
        <w:jc w:val="center"/>
        <w:rPr>
          <w:rFonts w:ascii="Times New Roman" w:eastAsia="Calibri"/>
          <w:b/>
          <w:bCs/>
          <w:sz w:val="28"/>
          <w:szCs w:val="28"/>
        </w:rPr>
      </w:pPr>
    </w:p>
    <w:p w14:paraId="4C623D48" w14:textId="77777777" w:rsidR="00255EF6" w:rsidRDefault="00255EF6" w:rsidP="008D7005">
      <w:pPr>
        <w:spacing w:after="200" w:line="276" w:lineRule="auto"/>
        <w:jc w:val="center"/>
        <w:rPr>
          <w:rFonts w:ascii="Times New Roman" w:eastAsia="Calibri"/>
          <w:b/>
          <w:bCs/>
          <w:sz w:val="28"/>
          <w:szCs w:val="28"/>
        </w:rPr>
      </w:pPr>
    </w:p>
    <w:p w14:paraId="796DD590" w14:textId="77777777" w:rsidR="00255EF6" w:rsidRDefault="00255EF6" w:rsidP="008D7005">
      <w:pPr>
        <w:spacing w:after="200" w:line="276" w:lineRule="auto"/>
        <w:jc w:val="center"/>
        <w:rPr>
          <w:rFonts w:ascii="Times New Roman" w:eastAsia="Calibri"/>
          <w:b/>
          <w:bCs/>
          <w:sz w:val="28"/>
          <w:szCs w:val="28"/>
        </w:rPr>
      </w:pPr>
    </w:p>
    <w:p w14:paraId="6FAA2BC5" w14:textId="77777777" w:rsidR="00255EF6" w:rsidRDefault="00255EF6" w:rsidP="008D7005">
      <w:pPr>
        <w:spacing w:after="200" w:line="276" w:lineRule="auto"/>
        <w:jc w:val="center"/>
        <w:rPr>
          <w:rFonts w:ascii="Times New Roman" w:eastAsia="Calibri"/>
          <w:b/>
          <w:bCs/>
          <w:sz w:val="28"/>
          <w:szCs w:val="28"/>
        </w:rPr>
      </w:pPr>
    </w:p>
    <w:p w14:paraId="28F83675" w14:textId="77777777" w:rsidR="00255EF6" w:rsidRDefault="00255EF6" w:rsidP="008D7005">
      <w:pPr>
        <w:spacing w:after="200" w:line="276" w:lineRule="auto"/>
        <w:jc w:val="center"/>
        <w:rPr>
          <w:rFonts w:ascii="Times New Roman" w:eastAsia="Calibri"/>
          <w:b/>
          <w:bCs/>
          <w:sz w:val="28"/>
          <w:szCs w:val="28"/>
        </w:rPr>
      </w:pPr>
    </w:p>
    <w:p w14:paraId="0DD4714E" w14:textId="77777777" w:rsidR="00255EF6" w:rsidRDefault="00255EF6" w:rsidP="002A3EA7">
      <w:pPr>
        <w:spacing w:after="200" w:line="276" w:lineRule="auto"/>
        <w:rPr>
          <w:rFonts w:ascii="Times New Roman" w:eastAsia="Calibri"/>
          <w:b/>
          <w:bCs/>
          <w:sz w:val="28"/>
          <w:szCs w:val="28"/>
        </w:rPr>
      </w:pPr>
    </w:p>
    <w:p w14:paraId="24FA901C" w14:textId="77777777" w:rsidR="008D7005" w:rsidRDefault="008D7005" w:rsidP="008D7005">
      <w:pPr>
        <w:spacing w:after="200" w:line="276" w:lineRule="auto"/>
        <w:jc w:val="center"/>
        <w:rPr>
          <w:b/>
          <w:bCs/>
          <w:sz w:val="28"/>
          <w:szCs w:val="28"/>
        </w:rPr>
      </w:pPr>
      <w:r>
        <w:rPr>
          <w:rFonts w:ascii="Times New Roman" w:eastAsia="Calibri"/>
          <w:b/>
          <w:bCs/>
          <w:sz w:val="28"/>
          <w:szCs w:val="28"/>
        </w:rPr>
        <w:t>Another Look at Bertrand Russell’s Theory of Descriptions</w:t>
      </w:r>
    </w:p>
    <w:p w14:paraId="3B77586A" w14:textId="77777777" w:rsidR="008D7005" w:rsidRDefault="008D7005" w:rsidP="008D7005">
      <w:pPr>
        <w:spacing w:after="200" w:line="276" w:lineRule="auto"/>
        <w:rPr>
          <w:b/>
          <w:bCs/>
          <w:sz w:val="24"/>
          <w:szCs w:val="24"/>
        </w:rPr>
      </w:pPr>
      <w:r>
        <w:rPr>
          <w:rFonts w:ascii="Times New Roman" w:eastAsia="Calibri"/>
          <w:b/>
          <w:bCs/>
          <w:color w:val="36363D"/>
          <w:sz w:val="24"/>
          <w:szCs w:val="24"/>
        </w:rPr>
        <w:t xml:space="preserve">By </w:t>
      </w:r>
      <w:r>
        <w:rPr>
          <w:rStyle w:val="Hyperlink"/>
          <w:rFonts w:eastAsia="Calibri"/>
          <w:b/>
          <w:bCs/>
          <w:color w:val="36363D"/>
          <w:sz w:val="24"/>
          <w:szCs w:val="24"/>
        </w:rPr>
        <w:t xml:space="preserve">Colin McGinn </w:t>
      </w:r>
      <w:r>
        <w:rPr>
          <w:rFonts w:ascii="Times New Roman" w:eastAsia="Calibri"/>
          <w:b/>
          <w:bCs/>
          <w:sz w:val="24"/>
          <w:szCs w:val="24"/>
        </w:rPr>
        <w:t xml:space="preserve">October 27, 2019 </w:t>
      </w:r>
    </w:p>
    <w:p w14:paraId="6C87B6F8" w14:textId="77777777" w:rsidR="008D7005" w:rsidRDefault="008D7005" w:rsidP="008D7005">
      <w:pPr>
        <w:spacing w:after="200" w:line="276" w:lineRule="auto"/>
      </w:pPr>
      <w:r>
        <w:rPr>
          <w:rFonts w:ascii="Times New Roman" w:eastAsia="Calibri"/>
          <w:sz w:val="24"/>
          <w:szCs w:val="24"/>
        </w:rPr>
        <w:t xml:space="preserve">According to </w:t>
      </w:r>
      <w:r>
        <w:rPr>
          <w:rFonts w:ascii="Times New Roman" w:eastAsia="Calibri"/>
          <w:b/>
          <w:bCs/>
          <w:sz w:val="24"/>
          <w:szCs w:val="24"/>
        </w:rPr>
        <w:t>Bertrand Russell</w:t>
      </w:r>
      <w:r>
        <w:rPr>
          <w:rFonts w:ascii="Times New Roman" w:eastAsia="Calibri"/>
          <w:sz w:val="24"/>
          <w:szCs w:val="24"/>
        </w:rPr>
        <w:t xml:space="preserve">’s theory of descriptions, the word “the” contains two conceptual elements: existence and uniqueness. It implies that there is a certain something, and that there is only one such thing. The indefinite article “a” contains only the first element; the definite article contributes the second. So the short word “the” is conceptually quite rich; it carries demanding implications. </w:t>
      </w:r>
    </w:p>
    <w:p w14:paraId="2D83277B" w14:textId="77777777" w:rsidR="008D7005" w:rsidRDefault="008D7005" w:rsidP="008D7005">
      <w:pPr>
        <w:spacing w:after="200" w:line="276" w:lineRule="auto"/>
      </w:pPr>
      <w:r>
        <w:rPr>
          <w:rFonts w:ascii="Times New Roman" w:eastAsia="Calibri"/>
          <w:sz w:val="24"/>
          <w:szCs w:val="24"/>
        </w:rPr>
        <w:t xml:space="preserve">Through error these implications can fail, as when someone says, “The unicorn ate the grass” or “The teacher thinks he’s funny”: for there are no unicorns and there are many teachers. </w:t>
      </w:r>
    </w:p>
    <w:p w14:paraId="1B8E5601" w14:textId="77777777" w:rsidR="008D7005" w:rsidRDefault="008D7005" w:rsidP="008D7005">
      <w:pPr>
        <w:spacing w:after="200" w:line="276" w:lineRule="auto"/>
      </w:pPr>
      <w:r>
        <w:rPr>
          <w:rFonts w:ascii="Times New Roman" w:eastAsia="Calibri"/>
          <w:sz w:val="24"/>
          <w:szCs w:val="24"/>
        </w:rPr>
        <w:t xml:space="preserve">It is easy to make false statements (or neither true nor false statements) using definite descriptions because we can make errors of existence and also fail to specify a uniquely identifying predicate. </w:t>
      </w:r>
    </w:p>
    <w:p w14:paraId="3E86204E" w14:textId="77777777" w:rsidR="008D7005" w:rsidRDefault="008D7005" w:rsidP="008D7005">
      <w:pPr>
        <w:spacing w:after="200" w:line="276" w:lineRule="auto"/>
      </w:pPr>
      <w:r>
        <w:rPr>
          <w:rFonts w:ascii="Times New Roman" w:eastAsia="Calibri"/>
          <w:sz w:val="24"/>
          <w:szCs w:val="24"/>
        </w:rPr>
        <w:t xml:space="preserve">You have to be on your toes with “the”. This insight of Russell’s is a point about the meaning of “the”, its semantics not its pragmatics. </w:t>
      </w:r>
    </w:p>
    <w:p w14:paraId="3A92362A" w14:textId="77777777" w:rsidR="008D7005" w:rsidRDefault="008D7005" w:rsidP="008D7005">
      <w:pPr>
        <w:spacing w:after="200" w:line="276" w:lineRule="auto"/>
      </w:pPr>
      <w:r>
        <w:rPr>
          <w:rFonts w:ascii="Times New Roman" w:eastAsia="Calibri"/>
          <w:sz w:val="24"/>
          <w:szCs w:val="24"/>
        </w:rPr>
        <w:t xml:space="preserve">We can put it by saying that “the” is analyzable into “exists” and “unique”: </w:t>
      </w:r>
    </w:p>
    <w:p w14:paraId="1634BD55" w14:textId="77777777" w:rsidR="008D7005" w:rsidRDefault="008D7005" w:rsidP="008D7005">
      <w:pPr>
        <w:spacing w:after="200" w:line="276" w:lineRule="auto"/>
      </w:pPr>
      <w:r>
        <w:rPr>
          <w:rFonts w:ascii="Times New Roman" w:eastAsia="Calibri"/>
          <w:sz w:val="24"/>
          <w:szCs w:val="24"/>
        </w:rPr>
        <w:t xml:space="preserve">“the F is G” means “an existent and uniquely F thing is G”. </w:t>
      </w:r>
    </w:p>
    <w:p w14:paraId="005011B7" w14:textId="77777777" w:rsidR="008D7005" w:rsidRDefault="008D7005" w:rsidP="008D7005">
      <w:pPr>
        <w:spacing w:after="200" w:line="276" w:lineRule="auto"/>
      </w:pPr>
      <w:r>
        <w:rPr>
          <w:rFonts w:ascii="Times New Roman" w:eastAsia="Calibri"/>
          <w:sz w:val="24"/>
          <w:szCs w:val="24"/>
        </w:rPr>
        <w:t xml:space="preserve">Strictly speaking, this claim about the meaning of “the” is limited to its conceptual composition and does not entail the standard conjunctive analysis deriving from Russell. </w:t>
      </w:r>
    </w:p>
    <w:p w14:paraId="1AC456ED" w14:textId="77777777" w:rsidR="008D7005" w:rsidRDefault="008D7005" w:rsidP="008D7005">
      <w:pPr>
        <w:spacing w:after="200" w:line="276" w:lineRule="auto"/>
      </w:pPr>
      <w:r>
        <w:rPr>
          <w:rFonts w:ascii="Times New Roman" w:eastAsia="Calibri"/>
          <w:sz w:val="24"/>
          <w:szCs w:val="24"/>
        </w:rPr>
        <w:t xml:space="preserve">You could agree with Russell about the meaning of “the” but dissent from his analysis of the logical form of sentences containing this word as comprising a threefold conjunction in first-order predicate logic. </w:t>
      </w:r>
    </w:p>
    <w:p w14:paraId="79477379" w14:textId="77777777" w:rsidR="008D7005" w:rsidRDefault="008D7005" w:rsidP="008D7005">
      <w:pPr>
        <w:spacing w:after="200" w:line="276" w:lineRule="auto"/>
      </w:pPr>
      <w:r>
        <w:rPr>
          <w:rFonts w:ascii="Times New Roman" w:eastAsia="Calibri"/>
          <w:sz w:val="24"/>
          <w:szCs w:val="24"/>
        </w:rPr>
        <w:t xml:space="preserve">That analysis makes the definite description, apparently, a referring expression, dissolve into quantifiers, and detects a hidden repeated occurrence of “and”. </w:t>
      </w:r>
    </w:p>
    <w:p w14:paraId="4525EC15" w14:textId="77777777" w:rsidR="008D7005" w:rsidRDefault="008D7005" w:rsidP="008D7005">
      <w:pPr>
        <w:spacing w:after="200" w:line="276" w:lineRule="auto"/>
      </w:pPr>
      <w:r>
        <w:rPr>
          <w:rFonts w:ascii="Times New Roman" w:eastAsia="Calibri"/>
          <w:sz w:val="24"/>
          <w:szCs w:val="24"/>
        </w:rPr>
        <w:t xml:space="preserve">You might find that objectionable without disagreeing about the essential meaning of “the”: </w:t>
      </w:r>
    </w:p>
    <w:p w14:paraId="5ADEB6AC" w14:textId="77777777" w:rsidR="008D7005" w:rsidRDefault="008D7005" w:rsidP="008D7005">
      <w:pPr>
        <w:spacing w:after="200" w:line="276" w:lineRule="auto"/>
      </w:pPr>
      <w:r>
        <w:rPr>
          <w:rFonts w:ascii="Times New Roman" w:eastAsia="Calibri"/>
          <w:sz w:val="24"/>
          <w:szCs w:val="24"/>
        </w:rPr>
        <w:t xml:space="preserve">you might prefer not to express the semantic point in such conjunctive terms (you might favor a part-whole conception of semantic complexity). </w:t>
      </w:r>
    </w:p>
    <w:p w14:paraId="2D12C48B" w14:textId="77777777" w:rsidR="008D7005" w:rsidRDefault="008D7005" w:rsidP="008D7005">
      <w:pPr>
        <w:spacing w:after="200" w:line="276" w:lineRule="auto"/>
      </w:pPr>
      <w:r>
        <w:rPr>
          <w:rFonts w:ascii="Times New Roman" w:eastAsia="Calibri"/>
          <w:sz w:val="24"/>
          <w:szCs w:val="24"/>
        </w:rPr>
        <w:t xml:space="preserve">Similarly, you might be sympathetic to the idea that the meaning of “know” includes truth, belief, and justification without accepting that the logical form of sentences containing “know” is literally a conjunction—though that is certainly one way to express the semantic point. </w:t>
      </w:r>
    </w:p>
    <w:p w14:paraId="440ADD17" w14:textId="77777777" w:rsidR="008D7005" w:rsidRDefault="008D7005" w:rsidP="008D7005">
      <w:pPr>
        <w:spacing w:after="200" w:line="276" w:lineRule="auto"/>
      </w:pPr>
      <w:r>
        <w:rPr>
          <w:rFonts w:ascii="Times New Roman" w:eastAsia="Calibri"/>
          <w:sz w:val="24"/>
          <w:szCs w:val="24"/>
        </w:rPr>
        <w:lastRenderedPageBreak/>
        <w:t xml:space="preserve">Thus we can divide Russell’s theory into two separate ideas, usually run together: </w:t>
      </w:r>
    </w:p>
    <w:p w14:paraId="6FD097F7" w14:textId="77777777" w:rsidR="008D7005" w:rsidRDefault="008D7005" w:rsidP="008D7005">
      <w:pPr>
        <w:spacing w:after="200" w:line="276" w:lineRule="auto"/>
      </w:pPr>
      <w:r>
        <w:rPr>
          <w:rFonts w:ascii="Times New Roman" w:eastAsia="Calibri"/>
          <w:sz w:val="24"/>
          <w:szCs w:val="24"/>
        </w:rPr>
        <w:t xml:space="preserve">the idea that the meaning of “the” involves existence and uniqueness, </w:t>
      </w:r>
    </w:p>
    <w:p w14:paraId="3062CC0D" w14:textId="77777777" w:rsidR="008D7005" w:rsidRDefault="008D7005" w:rsidP="008D7005">
      <w:pPr>
        <w:spacing w:after="200" w:line="276" w:lineRule="auto"/>
      </w:pPr>
      <w:r>
        <w:rPr>
          <w:rFonts w:ascii="Times New Roman" w:eastAsia="Calibri"/>
          <w:sz w:val="24"/>
          <w:szCs w:val="24"/>
        </w:rPr>
        <w:t xml:space="preserve">and the idea that the logical form of sentences containing “the” is a conjunction of quantified propositions. </w:t>
      </w:r>
    </w:p>
    <w:p w14:paraId="593AE929" w14:textId="77777777" w:rsidR="008D7005" w:rsidRDefault="008D7005" w:rsidP="008D7005">
      <w:pPr>
        <w:spacing w:after="200" w:line="276" w:lineRule="auto"/>
      </w:pPr>
      <w:r>
        <w:rPr>
          <w:rFonts w:ascii="Times New Roman" w:eastAsia="Calibri"/>
          <w:sz w:val="24"/>
          <w:szCs w:val="24"/>
        </w:rPr>
        <w:t>In either case, however, the word carries quite demanding and specific conditions as a matter of semantic analysis. It is certainly not redundant or dispensable.</w:t>
      </w:r>
    </w:p>
    <w:p w14:paraId="440FACF3" w14:textId="77777777" w:rsidR="00C04450" w:rsidRDefault="008D7005" w:rsidP="008D7005">
      <w:pPr>
        <w:spacing w:after="200" w:line="276" w:lineRule="auto"/>
      </w:pPr>
      <w:r>
        <w:rPr>
          <w:rFonts w:ascii="Times New Roman" w:eastAsia="Calibri"/>
          <w:sz w:val="24"/>
          <w:szCs w:val="24"/>
        </w:rPr>
        <w:t xml:space="preserve">The reason I am emphasizing what should be obvious is that Russell’s theory has a bearing on the question of the semantics of names and demonstratives. </w:t>
      </w:r>
    </w:p>
    <w:sectPr w:rsidR="00C04450" w:rsidSect="008D7005">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05"/>
    <w:rsid w:val="00070168"/>
    <w:rsid w:val="00134C42"/>
    <w:rsid w:val="00193B33"/>
    <w:rsid w:val="00247327"/>
    <w:rsid w:val="00255EF6"/>
    <w:rsid w:val="002A3EA7"/>
    <w:rsid w:val="002A680C"/>
    <w:rsid w:val="004248BD"/>
    <w:rsid w:val="0043344D"/>
    <w:rsid w:val="00435EBE"/>
    <w:rsid w:val="0076699B"/>
    <w:rsid w:val="008A3EC1"/>
    <w:rsid w:val="008D7005"/>
    <w:rsid w:val="00A80A06"/>
    <w:rsid w:val="00C04450"/>
    <w:rsid w:val="00C736A4"/>
    <w:rsid w:val="00D0526C"/>
    <w:rsid w:val="00D2244B"/>
    <w:rsid w:val="00E7565E"/>
    <w:rsid w:val="00EC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9173A"/>
  <w15:chartTrackingRefBased/>
  <w15:docId w15:val="{F369E812-8B43-4E0F-8903-7C854E4F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005"/>
    <w:pPr>
      <w:spacing w:after="0" w:line="240" w:lineRule="auto"/>
      <w:jc w:val="both"/>
    </w:pPr>
    <w:rPr>
      <w:rFonts w:ascii="Calibri" w:eastAsia="SimSun" w:hAnsi="Times New Roman" w:cs="Times New Roman"/>
      <w:kern w:val="1"/>
      <w:sz w:val="20"/>
      <w:szCs w:val="22"/>
      <w14:ligatures w14:val="none"/>
    </w:rPr>
  </w:style>
  <w:style w:type="paragraph" w:styleId="Heading1">
    <w:name w:val="heading 1"/>
    <w:basedOn w:val="Normal"/>
    <w:next w:val="Normal"/>
    <w:link w:val="Heading1Char"/>
    <w:uiPriority w:val="9"/>
    <w:qFormat/>
    <w:rsid w:val="008D7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0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D700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D700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D700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D700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D700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D700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D700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D700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D70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0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D7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0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D7005"/>
    <w:pPr>
      <w:spacing w:before="160"/>
      <w:jc w:val="center"/>
    </w:pPr>
    <w:rPr>
      <w:i/>
      <w:iCs/>
      <w:color w:val="404040" w:themeColor="text1" w:themeTint="BF"/>
    </w:rPr>
  </w:style>
  <w:style w:type="character" w:customStyle="1" w:styleId="QuoteChar">
    <w:name w:val="Quote Char"/>
    <w:basedOn w:val="DefaultParagraphFont"/>
    <w:link w:val="Quote"/>
    <w:uiPriority w:val="29"/>
    <w:rsid w:val="008D7005"/>
    <w:rPr>
      <w:i/>
      <w:iCs/>
      <w:color w:val="404040" w:themeColor="text1" w:themeTint="BF"/>
      <w:lang w:val="en-GB"/>
    </w:rPr>
  </w:style>
  <w:style w:type="paragraph" w:styleId="ListParagraph">
    <w:name w:val="List Paragraph"/>
    <w:basedOn w:val="Normal"/>
    <w:uiPriority w:val="34"/>
    <w:qFormat/>
    <w:rsid w:val="008D7005"/>
    <w:pPr>
      <w:ind w:left="720"/>
      <w:contextualSpacing/>
    </w:pPr>
  </w:style>
  <w:style w:type="character" w:styleId="IntenseEmphasis">
    <w:name w:val="Intense Emphasis"/>
    <w:basedOn w:val="DefaultParagraphFont"/>
    <w:uiPriority w:val="21"/>
    <w:qFormat/>
    <w:rsid w:val="008D7005"/>
    <w:rPr>
      <w:i/>
      <w:iCs/>
      <w:color w:val="2F5496" w:themeColor="accent1" w:themeShade="BF"/>
    </w:rPr>
  </w:style>
  <w:style w:type="paragraph" w:styleId="IntenseQuote">
    <w:name w:val="Intense Quote"/>
    <w:basedOn w:val="Normal"/>
    <w:next w:val="Normal"/>
    <w:link w:val="IntenseQuoteChar"/>
    <w:uiPriority w:val="30"/>
    <w:qFormat/>
    <w:rsid w:val="008D7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05"/>
    <w:rPr>
      <w:i/>
      <w:iCs/>
      <w:color w:val="2F5496" w:themeColor="accent1" w:themeShade="BF"/>
      <w:lang w:val="en-GB"/>
    </w:rPr>
  </w:style>
  <w:style w:type="character" w:styleId="IntenseReference">
    <w:name w:val="Intense Reference"/>
    <w:basedOn w:val="DefaultParagraphFont"/>
    <w:uiPriority w:val="32"/>
    <w:qFormat/>
    <w:rsid w:val="008D7005"/>
    <w:rPr>
      <w:b/>
      <w:bCs/>
      <w:smallCaps/>
      <w:color w:val="2F5496" w:themeColor="accent1" w:themeShade="BF"/>
      <w:spacing w:val="5"/>
    </w:rPr>
  </w:style>
  <w:style w:type="character" w:styleId="Hyperlink">
    <w:name w:val="Hyperlink"/>
    <w:basedOn w:val="DefaultParagraphFont"/>
    <w:rsid w:val="008D7005"/>
    <w:rPr>
      <w:rFonts w:ascii="Times New Roman" w:eastAsia="SimSun" w:hAnsi="Times New Roman" w:cs="Times New Roman"/>
      <w:color w:val="0000FF"/>
      <w:sz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1034</TotalTime>
  <Pages>6</Pages>
  <Words>1898</Words>
  <Characters>10632</Characters>
  <Application>Microsoft Office Word</Application>
  <DocSecurity>0</DocSecurity>
  <Lines>186</Lines>
  <Paragraphs>69</Paragraphs>
  <ScaleCrop>false</ScaleCrop>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AnyigorOliverNwode</dc:creator>
  <cp:keywords/>
  <dc:description/>
  <cp:lastModifiedBy>AnyigorOliverNwode</cp:lastModifiedBy>
  <cp:revision>9</cp:revision>
  <dcterms:created xsi:type="dcterms:W3CDTF">2025-04-15T16:11:00Z</dcterms:created>
  <dcterms:modified xsi:type="dcterms:W3CDTF">2025-04-16T09:27:00Z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a940dbf9-e646-4aff-ba74-da2bec486e5a</vt:lpwstr>
  </property>
</Properties>
</file>