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95A" w:rsidRPr="005C78EF" w:rsidRDefault="003B648E" w:rsidP="005C78EF">
      <w:pPr>
        <w:pStyle w:val="ListParagraph"/>
        <w:numPr>
          <w:ilvl w:val="0"/>
          <w:numId w:val="2"/>
        </w:numPr>
        <w:ind w:left="0"/>
        <w:jc w:val="both"/>
        <w:rPr>
          <w:sz w:val="28"/>
          <w:szCs w:val="28"/>
          <w:u w:val="single"/>
        </w:rPr>
      </w:pPr>
      <w:r w:rsidRPr="005C78EF">
        <w:rPr>
          <w:sz w:val="28"/>
          <w:szCs w:val="28"/>
          <w:u w:val="single"/>
        </w:rPr>
        <w:t xml:space="preserve">From a company’s terms and conditions of sale </w:t>
      </w:r>
    </w:p>
    <w:p w:rsidR="003B648E" w:rsidRDefault="003B648E" w:rsidP="00632795">
      <w:pPr>
        <w:jc w:val="both"/>
        <w:rPr>
          <w:sz w:val="28"/>
          <w:szCs w:val="28"/>
        </w:rPr>
      </w:pPr>
      <w:r w:rsidRPr="003B648E">
        <w:rPr>
          <w:sz w:val="28"/>
          <w:szCs w:val="28"/>
        </w:rPr>
        <w:t>The Customer shall make payment in full and without any deduction or withholding whatsoever on any account within thirty days of the expiration of the month in which the invoice is dated or some later date following invoicing which must be expressly evidenced in writing as having been agreed between the Company and the Customer and should the payment not be received in full when due there shall accrue interest on the outstanding residue at the rate of 5% per annum above the base lending rate of ABC Bank plc from time to time which shall be payable by the Customer.</w:t>
      </w:r>
    </w:p>
    <w:p w:rsidR="005C78EF" w:rsidRDefault="003B648E" w:rsidP="005C78EF">
      <w:pPr>
        <w:pStyle w:val="ListParagraph"/>
        <w:numPr>
          <w:ilvl w:val="0"/>
          <w:numId w:val="2"/>
        </w:numPr>
        <w:ind w:left="0"/>
        <w:jc w:val="both"/>
        <w:rPr>
          <w:sz w:val="28"/>
          <w:szCs w:val="28"/>
        </w:rPr>
      </w:pPr>
      <w:r w:rsidRPr="005C78EF">
        <w:rPr>
          <w:sz w:val="28"/>
          <w:szCs w:val="28"/>
        </w:rPr>
        <w:t xml:space="preserve">Quickly read through the following and check off items you think are important. Use a 1-5 scale, where 1 = not important and 5 = very important indeed. Would you add any other characteristics? </w:t>
      </w:r>
    </w:p>
    <w:p w:rsidR="005C78EF" w:rsidRDefault="005C78EF" w:rsidP="00612B37">
      <w:pPr>
        <w:pStyle w:val="ListParagraph"/>
        <w:spacing w:line="276" w:lineRule="auto"/>
        <w:ind w:left="0"/>
        <w:jc w:val="both"/>
        <w:rPr>
          <w:sz w:val="28"/>
          <w:szCs w:val="28"/>
        </w:rPr>
      </w:pPr>
      <w:r>
        <w:rPr>
          <w:sz w:val="28"/>
          <w:szCs w:val="28"/>
        </w:rPr>
        <w:t>________</w:t>
      </w:r>
      <w:r w:rsidR="003B648E" w:rsidRPr="005C78EF">
        <w:rPr>
          <w:sz w:val="28"/>
          <w:szCs w:val="28"/>
        </w:rPr>
        <w:t xml:space="preserve">Clear </w:t>
      </w:r>
      <w:r w:rsidR="00612B37">
        <w:rPr>
          <w:sz w:val="28"/>
          <w:szCs w:val="28"/>
        </w:rPr>
        <w:tab/>
      </w:r>
      <w:r w:rsidR="00612B37">
        <w:rPr>
          <w:sz w:val="28"/>
          <w:szCs w:val="28"/>
        </w:rPr>
        <w:tab/>
      </w:r>
      <w:r w:rsidR="00612B37">
        <w:rPr>
          <w:sz w:val="28"/>
          <w:szCs w:val="28"/>
        </w:rPr>
        <w:tab/>
      </w:r>
      <w:r w:rsidR="00612B37">
        <w:rPr>
          <w:sz w:val="28"/>
          <w:szCs w:val="28"/>
        </w:rPr>
        <w:tab/>
      </w:r>
      <w:r w:rsidR="00612B37">
        <w:rPr>
          <w:sz w:val="28"/>
          <w:szCs w:val="28"/>
        </w:rPr>
        <w:tab/>
      </w:r>
      <w:r w:rsidR="00612B37">
        <w:rPr>
          <w:sz w:val="28"/>
          <w:szCs w:val="28"/>
        </w:rPr>
        <w:tab/>
      </w:r>
      <w:r>
        <w:rPr>
          <w:sz w:val="28"/>
          <w:szCs w:val="28"/>
        </w:rPr>
        <w:t>________</w:t>
      </w:r>
      <w:r w:rsidR="003B648E" w:rsidRPr="005C78EF">
        <w:rPr>
          <w:sz w:val="28"/>
          <w:szCs w:val="28"/>
        </w:rPr>
        <w:t xml:space="preserve">Organized </w:t>
      </w:r>
    </w:p>
    <w:p w:rsidR="005C78EF" w:rsidRDefault="005C78EF" w:rsidP="00612B37">
      <w:pPr>
        <w:pStyle w:val="ListParagraph"/>
        <w:spacing w:line="276" w:lineRule="auto"/>
        <w:ind w:left="0"/>
        <w:jc w:val="both"/>
        <w:rPr>
          <w:sz w:val="28"/>
          <w:szCs w:val="28"/>
        </w:rPr>
      </w:pPr>
      <w:r>
        <w:rPr>
          <w:sz w:val="28"/>
          <w:szCs w:val="28"/>
        </w:rPr>
        <w:t>________</w:t>
      </w:r>
      <w:r w:rsidR="003B648E" w:rsidRPr="005C78EF">
        <w:rPr>
          <w:sz w:val="28"/>
          <w:szCs w:val="28"/>
        </w:rPr>
        <w:t xml:space="preserve">Specific and concrete </w:t>
      </w:r>
      <w:r w:rsidR="00612B37">
        <w:rPr>
          <w:sz w:val="28"/>
          <w:szCs w:val="28"/>
        </w:rPr>
        <w:tab/>
      </w:r>
      <w:r w:rsidR="00612B37">
        <w:rPr>
          <w:sz w:val="28"/>
          <w:szCs w:val="28"/>
        </w:rPr>
        <w:tab/>
      </w:r>
      <w:r w:rsidR="00612B37">
        <w:rPr>
          <w:sz w:val="28"/>
          <w:szCs w:val="28"/>
        </w:rPr>
        <w:tab/>
      </w:r>
      <w:r>
        <w:rPr>
          <w:sz w:val="28"/>
          <w:szCs w:val="28"/>
        </w:rPr>
        <w:t>________</w:t>
      </w:r>
      <w:r w:rsidR="003B648E" w:rsidRPr="005C78EF">
        <w:rPr>
          <w:sz w:val="28"/>
          <w:szCs w:val="28"/>
        </w:rPr>
        <w:t xml:space="preserve">Abstract and general </w:t>
      </w:r>
    </w:p>
    <w:p w:rsidR="005C78EF" w:rsidRDefault="005C78EF" w:rsidP="00612B37">
      <w:pPr>
        <w:pStyle w:val="ListParagraph"/>
        <w:spacing w:line="276" w:lineRule="auto"/>
        <w:ind w:left="0"/>
        <w:jc w:val="both"/>
        <w:rPr>
          <w:sz w:val="28"/>
          <w:szCs w:val="28"/>
        </w:rPr>
      </w:pPr>
      <w:r>
        <w:rPr>
          <w:sz w:val="28"/>
          <w:szCs w:val="28"/>
        </w:rPr>
        <w:t>________</w:t>
      </w:r>
      <w:r w:rsidR="003B648E" w:rsidRPr="005C78EF">
        <w:rPr>
          <w:sz w:val="28"/>
          <w:szCs w:val="28"/>
        </w:rPr>
        <w:t xml:space="preserve">Unclear </w:t>
      </w:r>
      <w:r w:rsidR="00612B37">
        <w:rPr>
          <w:sz w:val="28"/>
          <w:szCs w:val="28"/>
        </w:rPr>
        <w:tab/>
      </w:r>
      <w:r w:rsidR="00612B37">
        <w:rPr>
          <w:sz w:val="28"/>
          <w:szCs w:val="28"/>
        </w:rPr>
        <w:tab/>
      </w:r>
      <w:r w:rsidR="00612B37">
        <w:rPr>
          <w:sz w:val="28"/>
          <w:szCs w:val="28"/>
        </w:rPr>
        <w:tab/>
      </w:r>
      <w:r w:rsidR="00612B37">
        <w:rPr>
          <w:sz w:val="28"/>
          <w:szCs w:val="28"/>
        </w:rPr>
        <w:tab/>
      </w:r>
      <w:r w:rsidR="00612B37">
        <w:rPr>
          <w:sz w:val="28"/>
          <w:szCs w:val="28"/>
        </w:rPr>
        <w:tab/>
      </w:r>
      <w:r w:rsidR="00612B37">
        <w:rPr>
          <w:sz w:val="28"/>
          <w:szCs w:val="28"/>
        </w:rPr>
        <w:tab/>
      </w:r>
      <w:r>
        <w:rPr>
          <w:sz w:val="28"/>
          <w:szCs w:val="28"/>
        </w:rPr>
        <w:t>________</w:t>
      </w:r>
      <w:r w:rsidR="003B648E" w:rsidRPr="005C78EF">
        <w:rPr>
          <w:sz w:val="28"/>
          <w:szCs w:val="28"/>
        </w:rPr>
        <w:t xml:space="preserve">Accurate terminology </w:t>
      </w:r>
    </w:p>
    <w:p w:rsidR="005C78EF" w:rsidRDefault="005C78EF" w:rsidP="00612B37">
      <w:pPr>
        <w:pStyle w:val="ListParagraph"/>
        <w:spacing w:line="276" w:lineRule="auto"/>
        <w:ind w:left="0"/>
        <w:jc w:val="both"/>
        <w:rPr>
          <w:sz w:val="28"/>
          <w:szCs w:val="28"/>
        </w:rPr>
      </w:pPr>
      <w:r>
        <w:rPr>
          <w:sz w:val="28"/>
          <w:szCs w:val="28"/>
        </w:rPr>
        <w:t>________</w:t>
      </w:r>
      <w:r w:rsidR="003B648E" w:rsidRPr="005C78EF">
        <w:rPr>
          <w:sz w:val="28"/>
          <w:szCs w:val="28"/>
        </w:rPr>
        <w:t xml:space="preserve">Correct grammar, punctuation, usage </w:t>
      </w:r>
      <w:r w:rsidR="00612B37">
        <w:rPr>
          <w:sz w:val="28"/>
          <w:szCs w:val="28"/>
        </w:rPr>
        <w:tab/>
      </w:r>
      <w:r>
        <w:rPr>
          <w:sz w:val="28"/>
          <w:szCs w:val="28"/>
        </w:rPr>
        <w:t>________</w:t>
      </w:r>
      <w:r w:rsidR="003B648E" w:rsidRPr="005C78EF">
        <w:rPr>
          <w:sz w:val="28"/>
          <w:szCs w:val="28"/>
        </w:rPr>
        <w:t xml:space="preserve">Long and detailed </w:t>
      </w:r>
    </w:p>
    <w:p w:rsidR="00612B37" w:rsidRDefault="005C78EF" w:rsidP="00612B37">
      <w:pPr>
        <w:pStyle w:val="ListParagraph"/>
        <w:spacing w:line="276" w:lineRule="auto"/>
        <w:ind w:left="0"/>
        <w:jc w:val="both"/>
        <w:rPr>
          <w:sz w:val="28"/>
          <w:szCs w:val="28"/>
        </w:rPr>
      </w:pPr>
      <w:r>
        <w:rPr>
          <w:sz w:val="28"/>
          <w:szCs w:val="28"/>
        </w:rPr>
        <w:t>________</w:t>
      </w:r>
      <w:r w:rsidR="003B648E" w:rsidRPr="005C78EF">
        <w:rPr>
          <w:sz w:val="28"/>
          <w:szCs w:val="28"/>
        </w:rPr>
        <w:t xml:space="preserve">Easy to read </w:t>
      </w:r>
    </w:p>
    <w:p w:rsidR="005C78EF" w:rsidRDefault="005C78EF" w:rsidP="00612B37">
      <w:pPr>
        <w:pStyle w:val="ListParagraph"/>
        <w:spacing w:line="276" w:lineRule="auto"/>
        <w:ind w:left="0"/>
        <w:jc w:val="both"/>
        <w:rPr>
          <w:sz w:val="28"/>
          <w:szCs w:val="28"/>
        </w:rPr>
      </w:pPr>
      <w:r>
        <w:rPr>
          <w:sz w:val="28"/>
          <w:szCs w:val="28"/>
        </w:rPr>
        <w:t>________</w:t>
      </w:r>
      <w:r w:rsidR="003B648E" w:rsidRPr="005C78EF">
        <w:rPr>
          <w:sz w:val="28"/>
          <w:szCs w:val="28"/>
        </w:rPr>
        <w:t xml:space="preserve">A short summary of agreed terms </w:t>
      </w:r>
    </w:p>
    <w:p w:rsidR="005C78EF" w:rsidRDefault="005C78EF" w:rsidP="00612B37">
      <w:pPr>
        <w:pStyle w:val="ListParagraph"/>
        <w:spacing w:line="276" w:lineRule="auto"/>
        <w:ind w:left="0"/>
        <w:jc w:val="both"/>
        <w:rPr>
          <w:sz w:val="28"/>
          <w:szCs w:val="28"/>
        </w:rPr>
      </w:pPr>
      <w:r>
        <w:rPr>
          <w:sz w:val="28"/>
          <w:szCs w:val="28"/>
        </w:rPr>
        <w:t>________</w:t>
      </w:r>
      <w:r w:rsidR="003B648E" w:rsidRPr="005C78EF">
        <w:rPr>
          <w:sz w:val="28"/>
          <w:szCs w:val="28"/>
        </w:rPr>
        <w:t xml:space="preserve">Legal terminology shows that a lawyer wrote it </w:t>
      </w:r>
    </w:p>
    <w:p w:rsidR="005C78EF" w:rsidRDefault="005C78EF" w:rsidP="00612B37">
      <w:pPr>
        <w:pStyle w:val="ListParagraph"/>
        <w:spacing w:line="276" w:lineRule="auto"/>
        <w:ind w:left="0"/>
        <w:jc w:val="both"/>
        <w:rPr>
          <w:sz w:val="28"/>
          <w:szCs w:val="28"/>
        </w:rPr>
      </w:pPr>
      <w:r>
        <w:rPr>
          <w:sz w:val="28"/>
          <w:szCs w:val="28"/>
        </w:rPr>
        <w:t>________</w:t>
      </w:r>
      <w:r w:rsidR="003B648E" w:rsidRPr="005C78EF">
        <w:rPr>
          <w:sz w:val="28"/>
          <w:szCs w:val="28"/>
        </w:rPr>
        <w:t xml:space="preserve">Complex </w:t>
      </w:r>
    </w:p>
    <w:p w:rsidR="003B648E" w:rsidRDefault="005C78EF" w:rsidP="00612B37">
      <w:pPr>
        <w:pStyle w:val="ListParagraph"/>
        <w:spacing w:line="276" w:lineRule="auto"/>
        <w:ind w:left="0"/>
        <w:jc w:val="both"/>
        <w:rPr>
          <w:sz w:val="28"/>
          <w:szCs w:val="28"/>
        </w:rPr>
      </w:pPr>
      <w:r>
        <w:rPr>
          <w:sz w:val="28"/>
          <w:szCs w:val="28"/>
        </w:rPr>
        <w:t>________</w:t>
      </w:r>
      <w:proofErr w:type="spellStart"/>
      <w:r w:rsidR="003B648E" w:rsidRPr="005C78EF">
        <w:rPr>
          <w:sz w:val="28"/>
          <w:szCs w:val="28"/>
        </w:rPr>
        <w:t>Favours</w:t>
      </w:r>
      <w:proofErr w:type="spellEnd"/>
      <w:r w:rsidR="003B648E" w:rsidRPr="005C78EF">
        <w:rPr>
          <w:sz w:val="28"/>
          <w:szCs w:val="28"/>
        </w:rPr>
        <w:t xml:space="preserve"> the party whose lawyer prepared it</w:t>
      </w:r>
    </w:p>
    <w:p w:rsidR="00612B37" w:rsidRDefault="00612B37" w:rsidP="00612B37">
      <w:pPr>
        <w:pStyle w:val="ListParagraph"/>
        <w:spacing w:line="276" w:lineRule="auto"/>
        <w:ind w:left="0"/>
        <w:jc w:val="both"/>
        <w:rPr>
          <w:sz w:val="28"/>
          <w:szCs w:val="28"/>
        </w:rPr>
      </w:pPr>
    </w:p>
    <w:p w:rsidR="005C78EF" w:rsidRDefault="00632795" w:rsidP="005C78EF">
      <w:pPr>
        <w:pStyle w:val="ListParagraph"/>
        <w:numPr>
          <w:ilvl w:val="0"/>
          <w:numId w:val="2"/>
        </w:numPr>
        <w:ind w:left="0"/>
        <w:jc w:val="both"/>
        <w:rPr>
          <w:sz w:val="28"/>
          <w:szCs w:val="28"/>
        </w:rPr>
      </w:pPr>
      <w:r w:rsidRPr="005C78EF">
        <w:rPr>
          <w:sz w:val="28"/>
          <w:szCs w:val="28"/>
        </w:rPr>
        <w:t>Do They Have a Contract?</w:t>
      </w:r>
    </w:p>
    <w:p w:rsidR="00632795" w:rsidRDefault="00632795" w:rsidP="005C78EF">
      <w:pPr>
        <w:pStyle w:val="ListParagraph"/>
        <w:ind w:left="0"/>
        <w:jc w:val="both"/>
        <w:rPr>
          <w:sz w:val="28"/>
          <w:szCs w:val="28"/>
        </w:rPr>
      </w:pPr>
      <w:proofErr w:type="spellStart"/>
      <w:r w:rsidRPr="005C78EF">
        <w:rPr>
          <w:sz w:val="28"/>
          <w:szCs w:val="28"/>
        </w:rPr>
        <w:t>Manoj</w:t>
      </w:r>
      <w:proofErr w:type="spellEnd"/>
      <w:r w:rsidRPr="005C78EF">
        <w:rPr>
          <w:sz w:val="28"/>
          <w:szCs w:val="28"/>
        </w:rPr>
        <w:t xml:space="preserve"> and </w:t>
      </w:r>
      <w:proofErr w:type="spellStart"/>
      <w:r w:rsidRPr="005C78EF">
        <w:rPr>
          <w:sz w:val="28"/>
          <w:szCs w:val="28"/>
        </w:rPr>
        <w:t>Manali</w:t>
      </w:r>
      <w:proofErr w:type="spellEnd"/>
      <w:r w:rsidRPr="005C78EF">
        <w:rPr>
          <w:sz w:val="28"/>
          <w:szCs w:val="28"/>
        </w:rPr>
        <w:t xml:space="preserve"> are very good friends. </w:t>
      </w:r>
      <w:proofErr w:type="spellStart"/>
      <w:r w:rsidRPr="005C78EF">
        <w:rPr>
          <w:sz w:val="28"/>
          <w:szCs w:val="28"/>
        </w:rPr>
        <w:t>Manali’s</w:t>
      </w:r>
      <w:proofErr w:type="spellEnd"/>
      <w:r w:rsidRPr="005C78EF">
        <w:rPr>
          <w:sz w:val="28"/>
          <w:szCs w:val="28"/>
        </w:rPr>
        <w:t xml:space="preserve"> apartment needs decorating so she calls </w:t>
      </w:r>
      <w:proofErr w:type="spellStart"/>
      <w:r w:rsidRPr="005C78EF">
        <w:rPr>
          <w:sz w:val="28"/>
          <w:szCs w:val="28"/>
        </w:rPr>
        <w:t>Manoj</w:t>
      </w:r>
      <w:proofErr w:type="spellEnd"/>
      <w:r w:rsidRPr="005C78EF">
        <w:rPr>
          <w:sz w:val="28"/>
          <w:szCs w:val="28"/>
        </w:rPr>
        <w:t xml:space="preserve">, who is unemployed at the moment, and asks him: “Will you decorate all three rooms in my apartment for RS.  20000?” </w:t>
      </w:r>
      <w:proofErr w:type="spellStart"/>
      <w:r w:rsidRPr="005C78EF">
        <w:rPr>
          <w:sz w:val="28"/>
          <w:szCs w:val="28"/>
        </w:rPr>
        <w:t>Manoj</w:t>
      </w:r>
      <w:proofErr w:type="spellEnd"/>
      <w:r w:rsidRPr="005C78EF">
        <w:rPr>
          <w:sz w:val="28"/>
          <w:szCs w:val="28"/>
        </w:rPr>
        <w:t xml:space="preserve"> agrees. On May 1 he spends </w:t>
      </w:r>
      <w:proofErr w:type="spellStart"/>
      <w:r w:rsidRPr="005C78EF">
        <w:rPr>
          <w:sz w:val="28"/>
          <w:szCs w:val="28"/>
        </w:rPr>
        <w:t>Rs</w:t>
      </w:r>
      <w:proofErr w:type="spellEnd"/>
      <w:r w:rsidRPr="005C78EF">
        <w:rPr>
          <w:sz w:val="28"/>
          <w:szCs w:val="28"/>
        </w:rPr>
        <w:t xml:space="preserve">. 8000 on materials and starts work. On 3 May </w:t>
      </w:r>
      <w:proofErr w:type="spellStart"/>
      <w:r w:rsidRPr="005C78EF">
        <w:rPr>
          <w:sz w:val="28"/>
          <w:szCs w:val="28"/>
        </w:rPr>
        <w:t>Manali</w:t>
      </w:r>
      <w:proofErr w:type="spellEnd"/>
      <w:r w:rsidRPr="005C78EF">
        <w:rPr>
          <w:sz w:val="28"/>
          <w:szCs w:val="28"/>
        </w:rPr>
        <w:t xml:space="preserve"> tells him that she needs the work to be finished by 12 May because her parents are coming to stay. </w:t>
      </w:r>
      <w:proofErr w:type="spellStart"/>
      <w:r w:rsidRPr="005C78EF">
        <w:rPr>
          <w:sz w:val="28"/>
          <w:szCs w:val="28"/>
        </w:rPr>
        <w:t>Manoj</w:t>
      </w:r>
      <w:proofErr w:type="spellEnd"/>
      <w:r w:rsidRPr="005C78EF">
        <w:rPr>
          <w:sz w:val="28"/>
          <w:szCs w:val="28"/>
        </w:rPr>
        <w:t xml:space="preserve"> agrees to finish the work by then. Unfortunately, </w:t>
      </w:r>
      <w:proofErr w:type="spellStart"/>
      <w:r w:rsidRPr="005C78EF">
        <w:rPr>
          <w:sz w:val="28"/>
          <w:szCs w:val="28"/>
        </w:rPr>
        <w:t>Manoj</w:t>
      </w:r>
      <w:proofErr w:type="spellEnd"/>
      <w:r w:rsidRPr="005C78EF">
        <w:rPr>
          <w:sz w:val="28"/>
          <w:szCs w:val="28"/>
        </w:rPr>
        <w:t xml:space="preserve"> is a bit lazy and the work is only half done by 14 May. He finally finishes on 20 May and asks </w:t>
      </w:r>
      <w:proofErr w:type="spellStart"/>
      <w:r w:rsidRPr="005C78EF">
        <w:rPr>
          <w:sz w:val="28"/>
          <w:szCs w:val="28"/>
        </w:rPr>
        <w:t>Manali</w:t>
      </w:r>
      <w:proofErr w:type="spellEnd"/>
      <w:r w:rsidRPr="005C78EF">
        <w:rPr>
          <w:sz w:val="28"/>
          <w:szCs w:val="28"/>
        </w:rPr>
        <w:t xml:space="preserve"> for his RS.  20000, plus RS.  8000 for the materials. </w:t>
      </w:r>
      <w:proofErr w:type="spellStart"/>
      <w:r w:rsidRPr="005C78EF">
        <w:rPr>
          <w:sz w:val="28"/>
          <w:szCs w:val="28"/>
        </w:rPr>
        <w:t>Manali</w:t>
      </w:r>
      <w:proofErr w:type="spellEnd"/>
      <w:r w:rsidRPr="005C78EF">
        <w:rPr>
          <w:sz w:val="28"/>
          <w:szCs w:val="28"/>
        </w:rPr>
        <w:t xml:space="preserve"> can’t believe this. She insists that the RS.  20000 included the cost of materials, and anyway </w:t>
      </w:r>
      <w:proofErr w:type="spellStart"/>
      <w:r w:rsidRPr="005C78EF">
        <w:rPr>
          <w:sz w:val="28"/>
          <w:szCs w:val="28"/>
        </w:rPr>
        <w:t>Manoj</w:t>
      </w:r>
      <w:proofErr w:type="spellEnd"/>
      <w:r w:rsidRPr="005C78EF">
        <w:rPr>
          <w:sz w:val="28"/>
          <w:szCs w:val="28"/>
        </w:rPr>
        <w:t xml:space="preserve"> finished late. She has also lost her job in the last few days and offers him RS.  12000. </w:t>
      </w:r>
      <w:proofErr w:type="spellStart"/>
      <w:r w:rsidRPr="005C78EF">
        <w:rPr>
          <w:sz w:val="28"/>
          <w:szCs w:val="28"/>
        </w:rPr>
        <w:t>Manoj</w:t>
      </w:r>
      <w:proofErr w:type="spellEnd"/>
      <w:r w:rsidRPr="005C78EF">
        <w:rPr>
          <w:sz w:val="28"/>
          <w:szCs w:val="28"/>
        </w:rPr>
        <w:t xml:space="preserve"> consults you for advice. </w:t>
      </w:r>
    </w:p>
    <w:p w:rsidR="007B3253" w:rsidRPr="005C78EF" w:rsidRDefault="007B3253" w:rsidP="005C78EF">
      <w:pPr>
        <w:pStyle w:val="ListParagraph"/>
        <w:ind w:left="0"/>
        <w:jc w:val="both"/>
        <w:rPr>
          <w:sz w:val="28"/>
          <w:szCs w:val="28"/>
        </w:rPr>
      </w:pPr>
    </w:p>
    <w:p w:rsidR="005C78EF" w:rsidRDefault="005C78EF" w:rsidP="005C78EF">
      <w:pPr>
        <w:pStyle w:val="ListParagraph"/>
        <w:numPr>
          <w:ilvl w:val="0"/>
          <w:numId w:val="2"/>
        </w:numPr>
        <w:ind w:left="0"/>
        <w:jc w:val="both"/>
        <w:rPr>
          <w:sz w:val="28"/>
          <w:szCs w:val="28"/>
        </w:rPr>
      </w:pPr>
      <w:r w:rsidRPr="005C78EF">
        <w:rPr>
          <w:sz w:val="28"/>
          <w:szCs w:val="28"/>
        </w:rPr>
        <w:lastRenderedPageBreak/>
        <w:t>Do They Have a Contract?</w:t>
      </w:r>
    </w:p>
    <w:p w:rsidR="005F1159" w:rsidRPr="003B648E" w:rsidRDefault="00632795" w:rsidP="005C78EF">
      <w:pPr>
        <w:pStyle w:val="ListParagraph"/>
        <w:ind w:left="0"/>
        <w:jc w:val="both"/>
        <w:rPr>
          <w:sz w:val="28"/>
          <w:szCs w:val="28"/>
        </w:rPr>
      </w:pPr>
      <w:proofErr w:type="spellStart"/>
      <w:r w:rsidRPr="003B648E">
        <w:rPr>
          <w:sz w:val="28"/>
          <w:szCs w:val="28"/>
        </w:rPr>
        <w:t>Dariusz</w:t>
      </w:r>
      <w:proofErr w:type="spellEnd"/>
      <w:r w:rsidRPr="003B648E">
        <w:rPr>
          <w:sz w:val="28"/>
          <w:szCs w:val="28"/>
        </w:rPr>
        <w:t xml:space="preserve"> has been meeting </w:t>
      </w:r>
      <w:proofErr w:type="spellStart"/>
      <w:r w:rsidRPr="003B648E">
        <w:rPr>
          <w:sz w:val="28"/>
          <w:szCs w:val="28"/>
        </w:rPr>
        <w:t>Reelika</w:t>
      </w:r>
      <w:proofErr w:type="spellEnd"/>
      <w:r w:rsidRPr="003B648E">
        <w:rPr>
          <w:sz w:val="28"/>
          <w:szCs w:val="28"/>
        </w:rPr>
        <w:t xml:space="preserve">, a colleague from work, for the past two weeks. He is delighted when she agrees to come with him in a month’s time for a skiing weekend in Italy, for which he pays RS.  10K for both of them. </w:t>
      </w:r>
      <w:proofErr w:type="spellStart"/>
      <w:r w:rsidRPr="003B648E">
        <w:rPr>
          <w:sz w:val="28"/>
          <w:szCs w:val="28"/>
        </w:rPr>
        <w:t>Dariusz</w:t>
      </w:r>
      <w:proofErr w:type="spellEnd"/>
      <w:r w:rsidRPr="003B648E">
        <w:rPr>
          <w:sz w:val="28"/>
          <w:szCs w:val="28"/>
        </w:rPr>
        <w:t xml:space="preserve"> buys new clothing for himself for the trip and arranges to have flowers and wine delivered to their chalet as a surprise. He has paid for everything by credit card, which amounted to RS.  15000. Two days before the holiday, </w:t>
      </w:r>
      <w:proofErr w:type="spellStart"/>
      <w:r w:rsidRPr="003B648E">
        <w:rPr>
          <w:sz w:val="28"/>
          <w:szCs w:val="28"/>
        </w:rPr>
        <w:t>Reelika</w:t>
      </w:r>
      <w:proofErr w:type="spellEnd"/>
      <w:r w:rsidRPr="003B648E">
        <w:rPr>
          <w:sz w:val="28"/>
          <w:szCs w:val="28"/>
        </w:rPr>
        <w:t xml:space="preserve"> calls him to say that she is ending their relationship and can’t go with him. He insists that she is responsible for at least half of his credit card bill, if not all of it. </w:t>
      </w:r>
      <w:proofErr w:type="spellStart"/>
      <w:r w:rsidRPr="003B648E">
        <w:rPr>
          <w:sz w:val="28"/>
          <w:szCs w:val="28"/>
        </w:rPr>
        <w:t>Reelika</w:t>
      </w:r>
      <w:proofErr w:type="spellEnd"/>
      <w:r w:rsidRPr="003B648E">
        <w:rPr>
          <w:sz w:val="28"/>
          <w:szCs w:val="28"/>
        </w:rPr>
        <w:t xml:space="preserve"> consults you for advice.</w:t>
      </w:r>
    </w:p>
    <w:p w:rsidR="003B648E" w:rsidRDefault="003B648E" w:rsidP="003B648E">
      <w:pPr>
        <w:jc w:val="both"/>
        <w:rPr>
          <w:sz w:val="28"/>
          <w:szCs w:val="28"/>
        </w:rPr>
      </w:pPr>
    </w:p>
    <w:p w:rsidR="007B3253" w:rsidRDefault="0081571A" w:rsidP="0081571A">
      <w:pPr>
        <w:pStyle w:val="ListParagraph"/>
        <w:numPr>
          <w:ilvl w:val="0"/>
          <w:numId w:val="2"/>
        </w:numPr>
        <w:ind w:left="0"/>
        <w:jc w:val="both"/>
        <w:rPr>
          <w:sz w:val="28"/>
          <w:szCs w:val="28"/>
        </w:rPr>
      </w:pPr>
      <w:r>
        <w:rPr>
          <w:sz w:val="28"/>
          <w:szCs w:val="28"/>
        </w:rPr>
        <w:t xml:space="preserve">Jill </w:t>
      </w:r>
      <w:r w:rsidRPr="0081571A">
        <w:rPr>
          <w:sz w:val="28"/>
          <w:szCs w:val="28"/>
        </w:rPr>
        <w:t xml:space="preserve">and </w:t>
      </w:r>
      <w:r>
        <w:rPr>
          <w:sz w:val="28"/>
          <w:szCs w:val="28"/>
        </w:rPr>
        <w:t xml:space="preserve">Jack </w:t>
      </w:r>
      <w:r w:rsidRPr="0081571A">
        <w:rPr>
          <w:sz w:val="28"/>
          <w:szCs w:val="28"/>
        </w:rPr>
        <w:t xml:space="preserve">had a valid contract under which </w:t>
      </w:r>
      <w:r>
        <w:rPr>
          <w:sz w:val="28"/>
          <w:szCs w:val="28"/>
        </w:rPr>
        <w:t xml:space="preserve">Jack </w:t>
      </w:r>
      <w:r w:rsidRPr="0081571A">
        <w:rPr>
          <w:sz w:val="28"/>
          <w:szCs w:val="28"/>
        </w:rPr>
        <w:t xml:space="preserve">would buy all of the fruit from </w:t>
      </w:r>
      <w:r>
        <w:rPr>
          <w:sz w:val="28"/>
          <w:szCs w:val="28"/>
        </w:rPr>
        <w:t>Jill</w:t>
      </w:r>
      <w:r w:rsidRPr="0081571A">
        <w:rPr>
          <w:sz w:val="28"/>
          <w:szCs w:val="28"/>
        </w:rPr>
        <w:t>’</w:t>
      </w:r>
      <w:r w:rsidRPr="0081571A">
        <w:rPr>
          <w:sz w:val="28"/>
          <w:szCs w:val="28"/>
        </w:rPr>
        <w:t xml:space="preserve">s orchard. A fire swept through </w:t>
      </w:r>
      <w:r>
        <w:rPr>
          <w:sz w:val="28"/>
          <w:szCs w:val="28"/>
        </w:rPr>
        <w:t>Jill</w:t>
      </w:r>
      <w:r w:rsidRPr="0081571A">
        <w:rPr>
          <w:sz w:val="28"/>
          <w:szCs w:val="28"/>
        </w:rPr>
        <w:t>’</w:t>
      </w:r>
      <w:r w:rsidRPr="0081571A">
        <w:rPr>
          <w:sz w:val="28"/>
          <w:szCs w:val="28"/>
        </w:rPr>
        <w:t xml:space="preserve">s orchard just before the harvest, destroying all of the fruit trees. </w:t>
      </w:r>
      <w:r>
        <w:rPr>
          <w:sz w:val="28"/>
          <w:szCs w:val="28"/>
        </w:rPr>
        <w:t xml:space="preserve">Jill </w:t>
      </w:r>
      <w:r w:rsidRPr="0081571A">
        <w:rPr>
          <w:sz w:val="28"/>
          <w:szCs w:val="28"/>
        </w:rPr>
        <w:t xml:space="preserve">tells </w:t>
      </w:r>
      <w:r>
        <w:rPr>
          <w:sz w:val="28"/>
          <w:szCs w:val="28"/>
        </w:rPr>
        <w:t xml:space="preserve">Jack </w:t>
      </w:r>
      <w:r w:rsidRPr="0081571A">
        <w:rPr>
          <w:sz w:val="28"/>
          <w:szCs w:val="28"/>
        </w:rPr>
        <w:t xml:space="preserve">that she will not be able to supply him with the fruit. </w:t>
      </w:r>
      <w:r>
        <w:rPr>
          <w:sz w:val="28"/>
          <w:szCs w:val="28"/>
        </w:rPr>
        <w:t xml:space="preserve">Jack </w:t>
      </w:r>
      <w:r w:rsidRPr="0081571A">
        <w:rPr>
          <w:sz w:val="28"/>
          <w:szCs w:val="28"/>
        </w:rPr>
        <w:t xml:space="preserve">sues </w:t>
      </w:r>
      <w:r>
        <w:rPr>
          <w:sz w:val="28"/>
          <w:szCs w:val="28"/>
        </w:rPr>
        <w:t xml:space="preserve">Jill </w:t>
      </w:r>
      <w:r w:rsidRPr="0081571A">
        <w:rPr>
          <w:sz w:val="28"/>
          <w:szCs w:val="28"/>
        </w:rPr>
        <w:t>for breach of contract.</w:t>
      </w:r>
      <w:r>
        <w:rPr>
          <w:sz w:val="28"/>
          <w:szCs w:val="28"/>
        </w:rPr>
        <w:t xml:space="preserve"> </w:t>
      </w:r>
      <w:r w:rsidRPr="0081571A">
        <w:rPr>
          <w:sz w:val="28"/>
          <w:szCs w:val="28"/>
        </w:rPr>
        <w:t>How should the judge rule?</w:t>
      </w:r>
    </w:p>
    <w:p w:rsidR="0081571A" w:rsidRDefault="0081571A" w:rsidP="0081571A">
      <w:pPr>
        <w:pStyle w:val="ListParagraph"/>
        <w:numPr>
          <w:ilvl w:val="1"/>
          <w:numId w:val="2"/>
        </w:numPr>
        <w:ind w:left="360"/>
        <w:jc w:val="both"/>
        <w:rPr>
          <w:sz w:val="28"/>
          <w:szCs w:val="28"/>
        </w:rPr>
      </w:pPr>
      <w:r w:rsidRPr="0081571A">
        <w:rPr>
          <w:sz w:val="28"/>
          <w:szCs w:val="28"/>
        </w:rPr>
        <w:t xml:space="preserve">For </w:t>
      </w:r>
      <w:r>
        <w:rPr>
          <w:sz w:val="28"/>
          <w:szCs w:val="28"/>
        </w:rPr>
        <w:t>Jill</w:t>
      </w:r>
      <w:r w:rsidRPr="0081571A">
        <w:rPr>
          <w:sz w:val="28"/>
          <w:szCs w:val="28"/>
        </w:rPr>
        <w:t>,</w:t>
      </w:r>
      <w:r w:rsidRPr="0081571A">
        <w:rPr>
          <w:sz w:val="28"/>
          <w:szCs w:val="28"/>
        </w:rPr>
        <w:t xml:space="preserve"> because it has become impossible for her to perform the contract.</w:t>
      </w:r>
    </w:p>
    <w:p w:rsidR="0081571A" w:rsidRPr="0081571A" w:rsidRDefault="0081571A" w:rsidP="0081571A">
      <w:pPr>
        <w:pStyle w:val="ListParagraph"/>
        <w:numPr>
          <w:ilvl w:val="1"/>
          <w:numId w:val="2"/>
        </w:numPr>
        <w:ind w:left="360"/>
        <w:jc w:val="both"/>
        <w:rPr>
          <w:sz w:val="28"/>
          <w:szCs w:val="28"/>
        </w:rPr>
      </w:pPr>
      <w:r w:rsidRPr="0081571A">
        <w:rPr>
          <w:sz w:val="28"/>
          <w:szCs w:val="28"/>
        </w:rPr>
        <w:t xml:space="preserve">For </w:t>
      </w:r>
      <w:r>
        <w:rPr>
          <w:sz w:val="28"/>
          <w:szCs w:val="28"/>
        </w:rPr>
        <w:t>Jack</w:t>
      </w:r>
      <w:r w:rsidRPr="0081571A">
        <w:rPr>
          <w:sz w:val="28"/>
          <w:szCs w:val="28"/>
        </w:rPr>
        <w:t>,</w:t>
      </w:r>
      <w:r w:rsidRPr="0081571A">
        <w:rPr>
          <w:sz w:val="28"/>
          <w:szCs w:val="28"/>
        </w:rPr>
        <w:t xml:space="preserve"> because </w:t>
      </w:r>
      <w:r>
        <w:rPr>
          <w:sz w:val="28"/>
          <w:szCs w:val="28"/>
        </w:rPr>
        <w:t xml:space="preserve">Jill </w:t>
      </w:r>
      <w:r w:rsidRPr="0081571A">
        <w:rPr>
          <w:sz w:val="28"/>
          <w:szCs w:val="28"/>
        </w:rPr>
        <w:t>did not supply him with fruit as they had agreed.</w:t>
      </w:r>
    </w:p>
    <w:p w:rsidR="00612B37" w:rsidRDefault="00612B37" w:rsidP="00612B37">
      <w:pPr>
        <w:pStyle w:val="ListParagraph"/>
        <w:ind w:left="0"/>
        <w:jc w:val="both"/>
        <w:rPr>
          <w:sz w:val="28"/>
          <w:szCs w:val="28"/>
        </w:rPr>
      </w:pPr>
    </w:p>
    <w:p w:rsidR="007B3253" w:rsidRDefault="00612B37" w:rsidP="00612B37">
      <w:pPr>
        <w:pStyle w:val="ListParagraph"/>
        <w:numPr>
          <w:ilvl w:val="0"/>
          <w:numId w:val="2"/>
        </w:numPr>
        <w:ind w:left="0"/>
        <w:jc w:val="both"/>
        <w:rPr>
          <w:sz w:val="28"/>
          <w:szCs w:val="28"/>
        </w:rPr>
      </w:pPr>
      <w:r w:rsidRPr="00612B37">
        <w:rPr>
          <w:sz w:val="28"/>
          <w:szCs w:val="28"/>
        </w:rPr>
        <w:t>Mike puts an ad in the newspaper stating that he wants to sell his truck for $500. James goes to Mike’s home and tells him that he is interested in buying the truck. After looking at it, James hands Mike $500 in cash, which Mike puts in his pocket. Just then, Steve drives up and tells Mike that he’ll give him $600 for the truck. Mike hands James back his $500 and sells the truck to Steve. James sues Mike for breach of contract.</w:t>
      </w:r>
      <w:r>
        <w:rPr>
          <w:sz w:val="28"/>
          <w:szCs w:val="28"/>
        </w:rPr>
        <w:t xml:space="preserve"> </w:t>
      </w:r>
      <w:r w:rsidRPr="00612B37">
        <w:rPr>
          <w:sz w:val="28"/>
          <w:szCs w:val="28"/>
        </w:rPr>
        <w:t>How should the judge rule?</w:t>
      </w:r>
    </w:p>
    <w:p w:rsidR="00612B37" w:rsidRDefault="00612B37" w:rsidP="00612B37">
      <w:pPr>
        <w:pStyle w:val="ListParagraph"/>
        <w:numPr>
          <w:ilvl w:val="1"/>
          <w:numId w:val="2"/>
        </w:numPr>
        <w:ind w:left="450"/>
        <w:jc w:val="both"/>
        <w:rPr>
          <w:sz w:val="28"/>
          <w:szCs w:val="28"/>
        </w:rPr>
      </w:pPr>
      <w:r w:rsidRPr="00612B37">
        <w:rPr>
          <w:sz w:val="28"/>
          <w:szCs w:val="28"/>
        </w:rPr>
        <w:t>For Mike, because there was no offer and acceptance.</w:t>
      </w:r>
    </w:p>
    <w:p w:rsidR="00612B37" w:rsidRDefault="00612B37" w:rsidP="00612B37">
      <w:pPr>
        <w:pStyle w:val="ListParagraph"/>
        <w:numPr>
          <w:ilvl w:val="1"/>
          <w:numId w:val="2"/>
        </w:numPr>
        <w:ind w:left="450"/>
        <w:jc w:val="both"/>
        <w:rPr>
          <w:sz w:val="28"/>
          <w:szCs w:val="28"/>
        </w:rPr>
      </w:pPr>
      <w:r w:rsidRPr="00612B37">
        <w:rPr>
          <w:sz w:val="28"/>
          <w:szCs w:val="28"/>
        </w:rPr>
        <w:t>For Mike, because he gave the money back to James.</w:t>
      </w:r>
    </w:p>
    <w:p w:rsidR="00612B37" w:rsidRDefault="00612B37" w:rsidP="00612B37">
      <w:pPr>
        <w:pStyle w:val="ListParagraph"/>
        <w:numPr>
          <w:ilvl w:val="1"/>
          <w:numId w:val="2"/>
        </w:numPr>
        <w:ind w:left="450"/>
        <w:jc w:val="both"/>
        <w:rPr>
          <w:sz w:val="28"/>
          <w:szCs w:val="28"/>
        </w:rPr>
      </w:pPr>
      <w:r w:rsidRPr="00612B37">
        <w:rPr>
          <w:sz w:val="28"/>
          <w:szCs w:val="28"/>
        </w:rPr>
        <w:t>For James, because once Mike accepted the money, the deal was closed.</w:t>
      </w:r>
    </w:p>
    <w:p w:rsidR="00612B37" w:rsidRPr="00612B37" w:rsidRDefault="00612B37" w:rsidP="00612B37">
      <w:pPr>
        <w:pStyle w:val="ListParagraph"/>
        <w:numPr>
          <w:ilvl w:val="1"/>
          <w:numId w:val="2"/>
        </w:numPr>
        <w:ind w:left="450"/>
        <w:jc w:val="both"/>
        <w:rPr>
          <w:sz w:val="28"/>
          <w:szCs w:val="28"/>
        </w:rPr>
      </w:pPr>
      <w:bookmarkStart w:id="0" w:name="_GoBack"/>
      <w:bookmarkEnd w:id="0"/>
      <w:r w:rsidRPr="00612B37">
        <w:rPr>
          <w:sz w:val="28"/>
          <w:szCs w:val="28"/>
        </w:rPr>
        <w:t>For Mike, because he didn’t specifically say why he was taking the money.</w:t>
      </w:r>
    </w:p>
    <w:p w:rsidR="007B3253" w:rsidRDefault="007B3253" w:rsidP="003B648E">
      <w:pPr>
        <w:jc w:val="both"/>
        <w:rPr>
          <w:sz w:val="28"/>
          <w:szCs w:val="28"/>
        </w:rPr>
      </w:pPr>
    </w:p>
    <w:p w:rsidR="007B3253" w:rsidRDefault="007B3253" w:rsidP="003B648E">
      <w:pPr>
        <w:jc w:val="both"/>
        <w:rPr>
          <w:sz w:val="28"/>
          <w:szCs w:val="28"/>
        </w:rPr>
      </w:pPr>
    </w:p>
    <w:p w:rsidR="007B3253" w:rsidRDefault="007B3253" w:rsidP="003B648E">
      <w:pPr>
        <w:jc w:val="both"/>
        <w:rPr>
          <w:sz w:val="28"/>
          <w:szCs w:val="28"/>
        </w:rPr>
      </w:pPr>
    </w:p>
    <w:p w:rsidR="007B3253" w:rsidRDefault="007B3253" w:rsidP="003B648E">
      <w:pPr>
        <w:jc w:val="both"/>
        <w:rPr>
          <w:sz w:val="28"/>
          <w:szCs w:val="28"/>
        </w:rPr>
      </w:pPr>
    </w:p>
    <w:p w:rsidR="007B3253" w:rsidRPr="003B648E" w:rsidRDefault="007B3253" w:rsidP="003B648E">
      <w:pPr>
        <w:jc w:val="both"/>
        <w:rPr>
          <w:sz w:val="28"/>
          <w:szCs w:val="28"/>
        </w:rPr>
      </w:pPr>
    </w:p>
    <w:tbl>
      <w:tblPr>
        <w:tblW w:w="10350" w:type="dxa"/>
        <w:tblCellSpacing w:w="0" w:type="dxa"/>
        <w:tblInd w:w="-5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59"/>
        <w:gridCol w:w="1849"/>
        <w:gridCol w:w="2266"/>
        <w:gridCol w:w="2407"/>
        <w:gridCol w:w="2269"/>
      </w:tblGrid>
      <w:tr w:rsidR="000F1508" w:rsidRPr="007B3253" w:rsidTr="000F1508">
        <w:trPr>
          <w:trHeight w:val="78"/>
          <w:tblCellSpacing w:w="0" w:type="dxa"/>
        </w:trPr>
        <w:tc>
          <w:tcPr>
            <w:tcW w:w="0" w:type="auto"/>
            <w:tcBorders>
              <w:top w:val="outset" w:sz="6" w:space="0" w:color="auto"/>
              <w:bottom w:val="outset" w:sz="6" w:space="0" w:color="auto"/>
              <w:right w:val="outset" w:sz="6" w:space="0" w:color="auto"/>
            </w:tcBorders>
            <w:vAlign w:val="center"/>
          </w:tcPr>
          <w:p w:rsidR="007B3253" w:rsidRPr="007B3253" w:rsidRDefault="007B3253" w:rsidP="000F1508">
            <w:pPr>
              <w:spacing w:after="0"/>
              <w:rPr>
                <w:rFonts w:ascii="Verdana" w:hAnsi="Verdana"/>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3253" w:rsidRPr="007B3253" w:rsidRDefault="007B3253" w:rsidP="000F1508">
            <w:pPr>
              <w:pStyle w:val="NormalWeb"/>
              <w:spacing w:after="0" w:afterAutospacing="0"/>
              <w:rPr>
                <w:sz w:val="20"/>
                <w:szCs w:val="20"/>
              </w:rPr>
            </w:pPr>
            <w:r w:rsidRPr="007B3253">
              <w:rPr>
                <w:b/>
                <w:bCs/>
                <w:sz w:val="20"/>
                <w:szCs w:val="20"/>
              </w:rPr>
              <w:br/>
            </w:r>
            <w:r w:rsidRPr="007B3253">
              <w:rPr>
                <w:b/>
                <w:bCs/>
                <w:sz w:val="20"/>
                <w:szCs w:val="20"/>
              </w:rPr>
              <w:br/>
              <w:t>Firm Fixed-Price (FFP)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3253" w:rsidRPr="007B3253" w:rsidRDefault="007B3253" w:rsidP="000F1508">
            <w:pPr>
              <w:pStyle w:val="NormalWeb"/>
              <w:spacing w:after="0" w:afterAutospacing="0"/>
              <w:rPr>
                <w:sz w:val="20"/>
                <w:szCs w:val="20"/>
              </w:rPr>
            </w:pPr>
            <w:r w:rsidRPr="007B3253">
              <w:rPr>
                <w:b/>
                <w:bCs/>
                <w:sz w:val="20"/>
                <w:szCs w:val="20"/>
              </w:rPr>
              <w:t>Fixed-Price Economic Price Adjustment (FPEPA)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3253" w:rsidRPr="007B3253" w:rsidRDefault="007B3253" w:rsidP="000F1508">
            <w:pPr>
              <w:pStyle w:val="NormalWeb"/>
              <w:spacing w:after="0" w:afterAutospacing="0"/>
              <w:rPr>
                <w:sz w:val="20"/>
                <w:szCs w:val="20"/>
              </w:rPr>
            </w:pPr>
            <w:r w:rsidRPr="007B3253">
              <w:rPr>
                <w:b/>
                <w:bCs/>
                <w:sz w:val="20"/>
                <w:szCs w:val="20"/>
              </w:rPr>
              <w:br/>
              <w:t>Fixed-Price Incentive Firm</w:t>
            </w:r>
            <w:r w:rsidRPr="007B3253">
              <w:rPr>
                <w:b/>
                <w:bCs/>
                <w:sz w:val="20"/>
                <w:szCs w:val="20"/>
              </w:rPr>
              <w:br/>
              <w:t>(FPIF)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3253" w:rsidRPr="007B3253" w:rsidRDefault="007B3253" w:rsidP="000F1508">
            <w:pPr>
              <w:pStyle w:val="NormalWeb"/>
              <w:spacing w:after="0" w:afterAutospacing="0"/>
              <w:rPr>
                <w:sz w:val="20"/>
                <w:szCs w:val="20"/>
              </w:rPr>
            </w:pPr>
            <w:r w:rsidRPr="007B3253">
              <w:rPr>
                <w:b/>
                <w:bCs/>
                <w:sz w:val="20"/>
                <w:szCs w:val="20"/>
              </w:rPr>
              <w:br/>
              <w:t xml:space="preserve">Fixed-Price Award-fee </w:t>
            </w:r>
            <w:r w:rsidRPr="007B3253">
              <w:rPr>
                <w:b/>
                <w:bCs/>
                <w:sz w:val="20"/>
                <w:szCs w:val="20"/>
              </w:rPr>
              <w:br/>
              <w:t>(FPAF)</w:t>
            </w:r>
          </w:p>
        </w:tc>
      </w:tr>
      <w:tr w:rsidR="000F1508" w:rsidRPr="007B3253" w:rsidTr="000F1508">
        <w:trPr>
          <w:trHeight w:val="128"/>
          <w:tblCellSpacing w:w="0" w:type="dxa"/>
        </w:trPr>
        <w:tc>
          <w:tcPr>
            <w:tcW w:w="0" w:type="auto"/>
            <w:tcBorders>
              <w:top w:val="outset" w:sz="6" w:space="0" w:color="auto"/>
              <w:bottom w:val="outset" w:sz="6" w:space="0" w:color="auto"/>
              <w:right w:val="outset" w:sz="6" w:space="0" w:color="auto"/>
            </w:tcBorders>
            <w:vAlign w:val="center"/>
          </w:tcPr>
          <w:p w:rsidR="007B3253" w:rsidRPr="007B3253" w:rsidRDefault="007B3253" w:rsidP="000F1508">
            <w:pPr>
              <w:pStyle w:val="NormalWeb"/>
              <w:spacing w:before="0" w:beforeAutospacing="0" w:after="0" w:afterAutospacing="0"/>
              <w:rPr>
                <w:sz w:val="20"/>
                <w:szCs w:val="20"/>
              </w:rPr>
            </w:pPr>
            <w:r w:rsidRPr="007B3253">
              <w:rPr>
                <w:b/>
                <w:bCs/>
                <w:sz w:val="20"/>
                <w:szCs w:val="20"/>
              </w:rPr>
              <w:t>Principal Risk to be Mitigated</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before="0" w:beforeAutospacing="0" w:after="0" w:afterAutospacing="0"/>
              <w:rPr>
                <w:sz w:val="20"/>
                <w:szCs w:val="20"/>
              </w:rPr>
            </w:pPr>
            <w:r w:rsidRPr="007B3253">
              <w:rPr>
                <w:sz w:val="20"/>
                <w:szCs w:val="20"/>
              </w:rPr>
              <w:t>None. Thus, the contractor assumes all cost risk.</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before="0" w:beforeAutospacing="0" w:after="0" w:afterAutospacing="0"/>
              <w:rPr>
                <w:sz w:val="20"/>
                <w:szCs w:val="20"/>
              </w:rPr>
            </w:pPr>
            <w:r w:rsidRPr="007B3253">
              <w:rPr>
                <w:sz w:val="20"/>
                <w:szCs w:val="20"/>
              </w:rPr>
              <w:t>Unstable market prices for labor or material over the life of the contract.</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before="0" w:beforeAutospacing="0" w:after="0" w:afterAutospacing="0"/>
              <w:rPr>
                <w:sz w:val="20"/>
                <w:szCs w:val="20"/>
              </w:rPr>
            </w:pPr>
            <w:r w:rsidRPr="007B3253">
              <w:rPr>
                <w:sz w:val="20"/>
                <w:szCs w:val="20"/>
              </w:rPr>
              <w:t>Moderately uncertain contract labor or material requirements.</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before="0" w:beforeAutospacing="0" w:after="0" w:afterAutospacing="0"/>
              <w:rPr>
                <w:sz w:val="20"/>
                <w:szCs w:val="20"/>
              </w:rPr>
            </w:pPr>
            <w:r w:rsidRPr="007B3253">
              <w:rPr>
                <w:sz w:val="20"/>
                <w:szCs w:val="20"/>
              </w:rPr>
              <w:t>Risk that the user will not be fully satisfied because of judgmental acceptance criteria.</w:t>
            </w:r>
          </w:p>
        </w:tc>
      </w:tr>
      <w:tr w:rsidR="000F1508" w:rsidRPr="007B3253" w:rsidTr="000F1508">
        <w:trPr>
          <w:trHeight w:val="940"/>
          <w:tblCellSpacing w:w="0" w:type="dxa"/>
        </w:trPr>
        <w:tc>
          <w:tcPr>
            <w:tcW w:w="0" w:type="auto"/>
            <w:tcBorders>
              <w:top w:val="outset" w:sz="6" w:space="0" w:color="auto"/>
              <w:bottom w:val="outset" w:sz="6" w:space="0" w:color="auto"/>
              <w:right w:val="outset" w:sz="6" w:space="0" w:color="auto"/>
            </w:tcBorders>
            <w:vAlign w:val="center"/>
          </w:tcPr>
          <w:p w:rsidR="007B3253" w:rsidRPr="007B3253" w:rsidRDefault="007B3253" w:rsidP="000F1508">
            <w:pPr>
              <w:pStyle w:val="NormalWeb"/>
              <w:spacing w:before="0" w:beforeAutospacing="0" w:after="0" w:afterAutospacing="0"/>
              <w:rPr>
                <w:sz w:val="20"/>
                <w:szCs w:val="20"/>
              </w:rPr>
            </w:pPr>
            <w:r w:rsidRPr="007B3253">
              <w:rPr>
                <w:b/>
                <w:bCs/>
                <w:sz w:val="20"/>
                <w:szCs w:val="20"/>
              </w:rPr>
              <w:t>Use When</w:t>
            </w:r>
            <w:proofErr w:type="gramStart"/>
            <w:r w:rsidRPr="007B3253">
              <w:rPr>
                <w:b/>
                <w:bCs/>
                <w:sz w:val="20"/>
                <w:szCs w:val="20"/>
              </w:rPr>
              <w:t>..</w:t>
            </w:r>
            <w:proofErr w:type="gramEnd"/>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numPr>
                <w:ilvl w:val="0"/>
                <w:numId w:val="3"/>
              </w:numPr>
              <w:tabs>
                <w:tab w:val="clear" w:pos="720"/>
              </w:tabs>
              <w:spacing w:after="0" w:line="240" w:lineRule="auto"/>
              <w:ind w:left="225" w:hanging="197"/>
              <w:rPr>
                <w:rFonts w:ascii="Verdana" w:hAnsi="Verdana"/>
                <w:color w:val="000000"/>
                <w:sz w:val="20"/>
                <w:szCs w:val="20"/>
              </w:rPr>
            </w:pPr>
            <w:r w:rsidRPr="007B3253">
              <w:rPr>
                <w:rFonts w:ascii="Verdana" w:hAnsi="Verdana"/>
                <w:color w:val="000000"/>
                <w:sz w:val="20"/>
                <w:szCs w:val="20"/>
              </w:rPr>
              <w:t>The requirement is well-defined.</w:t>
            </w:r>
          </w:p>
          <w:p w:rsidR="007B3253" w:rsidRPr="007B3253" w:rsidRDefault="007B3253" w:rsidP="000F1508">
            <w:pPr>
              <w:numPr>
                <w:ilvl w:val="0"/>
                <w:numId w:val="3"/>
              </w:numPr>
              <w:tabs>
                <w:tab w:val="clear" w:pos="720"/>
              </w:tabs>
              <w:spacing w:after="0" w:line="240" w:lineRule="auto"/>
              <w:ind w:left="225" w:hanging="197"/>
              <w:rPr>
                <w:rFonts w:ascii="Verdana" w:hAnsi="Verdana"/>
                <w:color w:val="000000"/>
                <w:sz w:val="20"/>
                <w:szCs w:val="20"/>
              </w:rPr>
            </w:pPr>
            <w:r w:rsidRPr="007B3253">
              <w:rPr>
                <w:rFonts w:ascii="Verdana" w:hAnsi="Verdana"/>
                <w:color w:val="000000"/>
                <w:sz w:val="20"/>
                <w:szCs w:val="20"/>
              </w:rPr>
              <w:t>Contractors are experienced in meeting it.</w:t>
            </w:r>
          </w:p>
          <w:p w:rsidR="007B3253" w:rsidRPr="007B3253" w:rsidRDefault="007B3253" w:rsidP="000F1508">
            <w:pPr>
              <w:numPr>
                <w:ilvl w:val="0"/>
                <w:numId w:val="3"/>
              </w:numPr>
              <w:tabs>
                <w:tab w:val="clear" w:pos="720"/>
              </w:tabs>
              <w:spacing w:after="0" w:line="240" w:lineRule="auto"/>
              <w:ind w:left="225" w:hanging="197"/>
              <w:rPr>
                <w:rFonts w:ascii="Verdana" w:hAnsi="Verdana"/>
                <w:color w:val="000000"/>
                <w:sz w:val="20"/>
                <w:szCs w:val="20"/>
              </w:rPr>
            </w:pPr>
            <w:r w:rsidRPr="007B3253">
              <w:rPr>
                <w:rFonts w:ascii="Verdana" w:hAnsi="Verdana"/>
                <w:color w:val="000000"/>
                <w:sz w:val="20"/>
                <w:szCs w:val="20"/>
              </w:rPr>
              <w:t>Market conditions are stable.</w:t>
            </w:r>
          </w:p>
          <w:p w:rsidR="007B3253" w:rsidRPr="007B3253" w:rsidRDefault="007B3253" w:rsidP="000F1508">
            <w:pPr>
              <w:numPr>
                <w:ilvl w:val="0"/>
                <w:numId w:val="3"/>
              </w:numPr>
              <w:tabs>
                <w:tab w:val="clear" w:pos="720"/>
              </w:tabs>
              <w:spacing w:after="0" w:line="240" w:lineRule="auto"/>
              <w:ind w:left="225" w:hanging="197"/>
              <w:rPr>
                <w:rFonts w:ascii="Verdana" w:hAnsi="Verdana"/>
                <w:color w:val="000000"/>
                <w:sz w:val="20"/>
                <w:szCs w:val="20"/>
              </w:rPr>
            </w:pPr>
            <w:r w:rsidRPr="007B3253">
              <w:rPr>
                <w:rFonts w:ascii="Verdana" w:hAnsi="Verdana"/>
                <w:color w:val="000000"/>
                <w:sz w:val="20"/>
                <w:szCs w:val="20"/>
              </w:rPr>
              <w:t>Financial risks are otherwise insignificant.</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before="0" w:beforeAutospacing="0" w:after="0" w:afterAutospacing="0"/>
              <w:rPr>
                <w:sz w:val="20"/>
                <w:szCs w:val="20"/>
              </w:rPr>
            </w:pPr>
            <w:r w:rsidRPr="007B3253">
              <w:rPr>
                <w:sz w:val="20"/>
                <w:szCs w:val="20"/>
              </w:rPr>
              <w:t>The market prices at risk are severable and significant. The risk stems from industry-wide contingencies beyond the contractor's control. The dollars at risk outweigh the administrative burdens of an FPEPA.</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before="0" w:beforeAutospacing="0" w:after="0" w:afterAutospacing="0"/>
              <w:rPr>
                <w:sz w:val="20"/>
                <w:szCs w:val="20"/>
              </w:rPr>
            </w:pPr>
            <w:r w:rsidRPr="007B3253">
              <w:rPr>
                <w:sz w:val="20"/>
                <w:szCs w:val="20"/>
              </w:rPr>
              <w:t>A ceiling price can be established that covers the most probable risks inherent in the nature of the work. The proposed profit sharing formula would motivate the contractor to control costs to and meet other objectives.</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before="0" w:beforeAutospacing="0" w:after="0" w:afterAutospacing="0"/>
              <w:rPr>
                <w:sz w:val="20"/>
                <w:szCs w:val="20"/>
              </w:rPr>
            </w:pPr>
            <w:r w:rsidRPr="007B3253">
              <w:rPr>
                <w:sz w:val="20"/>
                <w:szCs w:val="20"/>
              </w:rPr>
              <w:t>Judgmental standards can be fairly applied by an Award-fee panel. The potential fee is large enough to both:</w:t>
            </w:r>
          </w:p>
          <w:p w:rsidR="007B3253" w:rsidRPr="007B3253" w:rsidRDefault="007B3253" w:rsidP="000F1508">
            <w:pPr>
              <w:numPr>
                <w:ilvl w:val="0"/>
                <w:numId w:val="4"/>
              </w:numPr>
              <w:tabs>
                <w:tab w:val="clear" w:pos="720"/>
                <w:tab w:val="num" w:pos="591"/>
              </w:tabs>
              <w:spacing w:after="0" w:line="240" w:lineRule="auto"/>
              <w:ind w:left="231" w:hanging="129"/>
              <w:rPr>
                <w:rFonts w:ascii="Verdana" w:hAnsi="Verdana"/>
                <w:color w:val="000000"/>
                <w:sz w:val="20"/>
                <w:szCs w:val="20"/>
              </w:rPr>
            </w:pPr>
            <w:r w:rsidRPr="007B3253">
              <w:rPr>
                <w:rFonts w:ascii="Verdana" w:hAnsi="Verdana"/>
                <w:color w:val="000000"/>
                <w:sz w:val="20"/>
                <w:szCs w:val="20"/>
              </w:rPr>
              <w:t>Provide a meaningful incentive.</w:t>
            </w:r>
          </w:p>
          <w:p w:rsidR="007B3253" w:rsidRPr="007B3253" w:rsidRDefault="007B3253" w:rsidP="000F1508">
            <w:pPr>
              <w:numPr>
                <w:ilvl w:val="0"/>
                <w:numId w:val="4"/>
              </w:numPr>
              <w:tabs>
                <w:tab w:val="clear" w:pos="720"/>
                <w:tab w:val="num" w:pos="591"/>
              </w:tabs>
              <w:spacing w:after="0" w:line="240" w:lineRule="auto"/>
              <w:ind w:left="231" w:hanging="129"/>
              <w:rPr>
                <w:rFonts w:ascii="Verdana" w:hAnsi="Verdana"/>
                <w:color w:val="000000"/>
                <w:sz w:val="20"/>
                <w:szCs w:val="20"/>
              </w:rPr>
            </w:pPr>
            <w:r w:rsidRPr="007B3253">
              <w:rPr>
                <w:rFonts w:ascii="Verdana" w:hAnsi="Verdana"/>
                <w:color w:val="000000"/>
                <w:sz w:val="20"/>
                <w:szCs w:val="20"/>
              </w:rPr>
              <w:t>Justify related administrative burdens.</w:t>
            </w:r>
          </w:p>
        </w:tc>
      </w:tr>
      <w:tr w:rsidR="000F1508" w:rsidRPr="007B3253" w:rsidTr="000F1508">
        <w:trPr>
          <w:trHeight w:val="535"/>
          <w:tblCellSpacing w:w="0" w:type="dxa"/>
        </w:trPr>
        <w:tc>
          <w:tcPr>
            <w:tcW w:w="0" w:type="auto"/>
            <w:tcBorders>
              <w:top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b/>
                <w:bCs/>
                <w:sz w:val="20"/>
                <w:szCs w:val="20"/>
              </w:rPr>
              <w:t>Elements</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sz w:val="20"/>
                <w:szCs w:val="20"/>
              </w:rPr>
              <w:t>A firm fixed-price for each line item or one or more groupings of line items.</w:t>
            </w:r>
          </w:p>
        </w:tc>
        <w:tc>
          <w:tcPr>
            <w:tcW w:w="0" w:type="auto"/>
            <w:tcBorders>
              <w:top w:val="outset" w:sz="6" w:space="0" w:color="auto"/>
              <w:left w:val="outset" w:sz="6" w:space="0" w:color="auto"/>
              <w:bottom w:val="outset" w:sz="6" w:space="0" w:color="auto"/>
              <w:right w:val="outset" w:sz="6" w:space="0" w:color="auto"/>
            </w:tcBorders>
            <w:vAlign w:val="center"/>
          </w:tcPr>
          <w:p w:rsidR="000F1508" w:rsidRDefault="007B3253" w:rsidP="000F1508">
            <w:pPr>
              <w:pStyle w:val="NormalWeb"/>
              <w:spacing w:before="0" w:beforeAutospacing="0" w:after="0" w:afterAutospacing="0"/>
              <w:rPr>
                <w:sz w:val="20"/>
                <w:szCs w:val="20"/>
              </w:rPr>
            </w:pPr>
            <w:r w:rsidRPr="007B3253">
              <w:rPr>
                <w:sz w:val="20"/>
                <w:szCs w:val="20"/>
              </w:rPr>
              <w:t xml:space="preserve">A fixed-price, ceiling on upward </w:t>
            </w:r>
            <w:r w:rsidRPr="007B3253">
              <w:rPr>
                <w:sz w:val="20"/>
                <w:szCs w:val="20"/>
              </w:rPr>
              <w:br/>
              <w:t>adjustment, and a formula for adjusting the price up or down based on:</w:t>
            </w:r>
          </w:p>
          <w:p w:rsidR="007B3253" w:rsidRPr="007B3253" w:rsidRDefault="007B3253" w:rsidP="000F1508">
            <w:pPr>
              <w:pStyle w:val="NormalWeb"/>
              <w:numPr>
                <w:ilvl w:val="0"/>
                <w:numId w:val="8"/>
              </w:numPr>
              <w:spacing w:before="0" w:beforeAutospacing="0" w:after="0" w:afterAutospacing="0"/>
              <w:ind w:left="271" w:hanging="156"/>
              <w:rPr>
                <w:sz w:val="20"/>
                <w:szCs w:val="20"/>
              </w:rPr>
            </w:pPr>
            <w:r w:rsidRPr="007B3253">
              <w:rPr>
                <w:sz w:val="20"/>
                <w:szCs w:val="20"/>
              </w:rPr>
              <w:t>Established prices.</w:t>
            </w:r>
          </w:p>
          <w:p w:rsidR="007B3253" w:rsidRPr="007B3253" w:rsidRDefault="007B3253" w:rsidP="000F1508">
            <w:pPr>
              <w:numPr>
                <w:ilvl w:val="0"/>
                <w:numId w:val="5"/>
              </w:numPr>
              <w:tabs>
                <w:tab w:val="clear" w:pos="720"/>
                <w:tab w:val="num" w:pos="547"/>
              </w:tabs>
              <w:spacing w:after="0" w:line="240" w:lineRule="auto"/>
              <w:ind w:left="271" w:hanging="156"/>
              <w:rPr>
                <w:rFonts w:ascii="Verdana" w:hAnsi="Verdana"/>
                <w:color w:val="000000"/>
                <w:sz w:val="20"/>
                <w:szCs w:val="20"/>
              </w:rPr>
            </w:pPr>
            <w:r w:rsidRPr="007B3253">
              <w:rPr>
                <w:rFonts w:ascii="Verdana" w:hAnsi="Verdana"/>
                <w:color w:val="000000"/>
                <w:sz w:val="20"/>
                <w:szCs w:val="20"/>
              </w:rPr>
              <w:t>Actual labor or material costs.</w:t>
            </w:r>
          </w:p>
          <w:p w:rsidR="007B3253" w:rsidRPr="007B3253" w:rsidRDefault="007B3253" w:rsidP="000F1508">
            <w:pPr>
              <w:numPr>
                <w:ilvl w:val="0"/>
                <w:numId w:val="5"/>
              </w:numPr>
              <w:tabs>
                <w:tab w:val="clear" w:pos="720"/>
                <w:tab w:val="num" w:pos="547"/>
              </w:tabs>
              <w:spacing w:before="100" w:beforeAutospacing="1" w:after="0" w:line="240" w:lineRule="auto"/>
              <w:ind w:left="271" w:hanging="156"/>
              <w:rPr>
                <w:rFonts w:ascii="Verdana" w:hAnsi="Verdana"/>
                <w:color w:val="000000"/>
                <w:sz w:val="20"/>
                <w:szCs w:val="20"/>
              </w:rPr>
            </w:pPr>
            <w:r w:rsidRPr="007B3253">
              <w:rPr>
                <w:rFonts w:ascii="Verdana" w:hAnsi="Verdana"/>
                <w:color w:val="000000"/>
                <w:sz w:val="20"/>
                <w:szCs w:val="20"/>
              </w:rPr>
              <w:t>Labor or material indices.</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numPr>
                <w:ilvl w:val="0"/>
                <w:numId w:val="6"/>
              </w:numPr>
              <w:tabs>
                <w:tab w:val="clear" w:pos="720"/>
              </w:tabs>
              <w:spacing w:after="0" w:line="240" w:lineRule="auto"/>
              <w:ind w:left="261" w:hanging="189"/>
              <w:rPr>
                <w:rFonts w:ascii="Verdana" w:hAnsi="Verdana"/>
                <w:color w:val="000000"/>
                <w:sz w:val="20"/>
                <w:szCs w:val="20"/>
              </w:rPr>
            </w:pPr>
            <w:r w:rsidRPr="007B3253">
              <w:rPr>
                <w:rFonts w:ascii="Verdana" w:hAnsi="Verdana"/>
                <w:color w:val="000000"/>
                <w:sz w:val="20"/>
                <w:szCs w:val="20"/>
              </w:rPr>
              <w:t>A ceiling price</w:t>
            </w:r>
          </w:p>
          <w:p w:rsidR="007B3253" w:rsidRPr="007B3253" w:rsidRDefault="007B3253" w:rsidP="000F1508">
            <w:pPr>
              <w:numPr>
                <w:ilvl w:val="0"/>
                <w:numId w:val="6"/>
              </w:numPr>
              <w:tabs>
                <w:tab w:val="clear" w:pos="720"/>
              </w:tabs>
              <w:spacing w:before="100" w:beforeAutospacing="1" w:after="0" w:line="240" w:lineRule="auto"/>
              <w:ind w:left="261" w:hanging="189"/>
              <w:rPr>
                <w:rFonts w:ascii="Verdana" w:hAnsi="Verdana"/>
                <w:color w:val="000000"/>
                <w:sz w:val="20"/>
                <w:szCs w:val="20"/>
              </w:rPr>
            </w:pPr>
            <w:r w:rsidRPr="007B3253">
              <w:rPr>
                <w:rFonts w:ascii="Verdana" w:hAnsi="Verdana"/>
                <w:color w:val="000000"/>
                <w:sz w:val="20"/>
                <w:szCs w:val="20"/>
              </w:rPr>
              <w:t>Target cost</w:t>
            </w:r>
          </w:p>
          <w:p w:rsidR="007B3253" w:rsidRPr="007B3253" w:rsidRDefault="007B3253" w:rsidP="000F1508">
            <w:pPr>
              <w:numPr>
                <w:ilvl w:val="0"/>
                <w:numId w:val="6"/>
              </w:numPr>
              <w:tabs>
                <w:tab w:val="clear" w:pos="720"/>
              </w:tabs>
              <w:spacing w:before="100" w:beforeAutospacing="1" w:after="0" w:line="240" w:lineRule="auto"/>
              <w:ind w:left="261" w:hanging="189"/>
              <w:rPr>
                <w:rFonts w:ascii="Verdana" w:hAnsi="Verdana"/>
                <w:color w:val="000000"/>
                <w:sz w:val="20"/>
                <w:szCs w:val="20"/>
              </w:rPr>
            </w:pPr>
            <w:r w:rsidRPr="007B3253">
              <w:rPr>
                <w:rFonts w:ascii="Verdana" w:hAnsi="Verdana"/>
                <w:color w:val="000000"/>
                <w:sz w:val="20"/>
                <w:szCs w:val="20"/>
              </w:rPr>
              <w:t>Target profit</w:t>
            </w:r>
          </w:p>
          <w:p w:rsidR="007B3253" w:rsidRPr="007B3253" w:rsidRDefault="007B3253" w:rsidP="000F1508">
            <w:pPr>
              <w:numPr>
                <w:ilvl w:val="0"/>
                <w:numId w:val="6"/>
              </w:numPr>
              <w:tabs>
                <w:tab w:val="clear" w:pos="720"/>
              </w:tabs>
              <w:spacing w:before="100" w:beforeAutospacing="1" w:after="0" w:line="240" w:lineRule="auto"/>
              <w:ind w:left="261" w:hanging="189"/>
              <w:rPr>
                <w:rFonts w:ascii="Verdana" w:hAnsi="Verdana"/>
                <w:color w:val="000000"/>
                <w:sz w:val="20"/>
                <w:szCs w:val="20"/>
              </w:rPr>
            </w:pPr>
            <w:r w:rsidRPr="007B3253">
              <w:rPr>
                <w:rFonts w:ascii="Verdana" w:hAnsi="Verdana"/>
                <w:color w:val="000000"/>
                <w:sz w:val="20"/>
                <w:szCs w:val="20"/>
              </w:rPr>
              <w:t>Delivery, quality, and/or other performance targets (optional)</w:t>
            </w:r>
          </w:p>
          <w:p w:rsidR="007B3253" w:rsidRPr="007B3253" w:rsidRDefault="007B3253" w:rsidP="000F1508">
            <w:pPr>
              <w:numPr>
                <w:ilvl w:val="0"/>
                <w:numId w:val="6"/>
              </w:numPr>
              <w:tabs>
                <w:tab w:val="clear" w:pos="720"/>
              </w:tabs>
              <w:spacing w:after="0" w:line="240" w:lineRule="auto"/>
              <w:ind w:left="261" w:hanging="189"/>
              <w:rPr>
                <w:rFonts w:ascii="Verdana" w:hAnsi="Verdana"/>
                <w:color w:val="000000"/>
                <w:sz w:val="20"/>
                <w:szCs w:val="20"/>
              </w:rPr>
            </w:pPr>
            <w:r w:rsidRPr="007B3253">
              <w:rPr>
                <w:rFonts w:ascii="Verdana" w:hAnsi="Verdana"/>
                <w:color w:val="000000"/>
                <w:sz w:val="20"/>
                <w:szCs w:val="20"/>
              </w:rPr>
              <w:t>Profit sharing formula</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numPr>
                <w:ilvl w:val="0"/>
                <w:numId w:val="7"/>
              </w:numPr>
              <w:tabs>
                <w:tab w:val="clear" w:pos="720"/>
                <w:tab w:val="num" w:pos="614"/>
              </w:tabs>
              <w:spacing w:before="100" w:beforeAutospacing="1" w:after="0" w:line="240" w:lineRule="auto"/>
              <w:ind w:left="164" w:hanging="106"/>
              <w:rPr>
                <w:rFonts w:ascii="Verdana" w:hAnsi="Verdana"/>
                <w:color w:val="000000"/>
                <w:sz w:val="20"/>
                <w:szCs w:val="20"/>
              </w:rPr>
            </w:pPr>
            <w:r w:rsidRPr="007B3253">
              <w:rPr>
                <w:rFonts w:ascii="Verdana" w:hAnsi="Verdana"/>
                <w:color w:val="000000"/>
                <w:sz w:val="20"/>
                <w:szCs w:val="20"/>
              </w:rPr>
              <w:t>A firm fixed-price.</w:t>
            </w:r>
          </w:p>
          <w:p w:rsidR="007B3253" w:rsidRPr="007B3253" w:rsidRDefault="007B3253" w:rsidP="000F1508">
            <w:pPr>
              <w:numPr>
                <w:ilvl w:val="0"/>
                <w:numId w:val="7"/>
              </w:numPr>
              <w:tabs>
                <w:tab w:val="clear" w:pos="720"/>
                <w:tab w:val="num" w:pos="614"/>
              </w:tabs>
              <w:spacing w:before="100" w:beforeAutospacing="1" w:after="0" w:line="240" w:lineRule="auto"/>
              <w:ind w:left="164" w:hanging="106"/>
              <w:rPr>
                <w:rFonts w:ascii="Verdana" w:hAnsi="Verdana"/>
                <w:color w:val="000000"/>
                <w:sz w:val="20"/>
                <w:szCs w:val="20"/>
              </w:rPr>
            </w:pPr>
            <w:r w:rsidRPr="007B3253">
              <w:rPr>
                <w:rFonts w:ascii="Verdana" w:hAnsi="Verdana"/>
                <w:color w:val="000000"/>
                <w:sz w:val="20"/>
                <w:szCs w:val="20"/>
              </w:rPr>
              <w:t>Standards for evaluating performance.</w:t>
            </w:r>
          </w:p>
          <w:p w:rsidR="007B3253" w:rsidRPr="007B3253" w:rsidRDefault="007B3253" w:rsidP="000F1508">
            <w:pPr>
              <w:numPr>
                <w:ilvl w:val="0"/>
                <w:numId w:val="7"/>
              </w:numPr>
              <w:tabs>
                <w:tab w:val="clear" w:pos="720"/>
                <w:tab w:val="num" w:pos="614"/>
              </w:tabs>
              <w:spacing w:before="100" w:beforeAutospacing="1" w:after="0" w:line="240" w:lineRule="auto"/>
              <w:ind w:left="164" w:hanging="106"/>
              <w:rPr>
                <w:rFonts w:ascii="Verdana" w:hAnsi="Verdana"/>
                <w:color w:val="000000"/>
                <w:sz w:val="20"/>
                <w:szCs w:val="20"/>
              </w:rPr>
            </w:pPr>
            <w:r w:rsidRPr="007B3253">
              <w:rPr>
                <w:rFonts w:ascii="Verdana" w:hAnsi="Verdana"/>
                <w:color w:val="000000"/>
                <w:sz w:val="20"/>
                <w:szCs w:val="20"/>
              </w:rPr>
              <w:t>Procedures for calculating a fee based on performance against the standards</w:t>
            </w:r>
          </w:p>
        </w:tc>
      </w:tr>
      <w:tr w:rsidR="000F1508" w:rsidRPr="007B3253" w:rsidTr="000F1508">
        <w:trPr>
          <w:trHeight w:val="374"/>
          <w:tblCellSpacing w:w="0" w:type="dxa"/>
        </w:trPr>
        <w:tc>
          <w:tcPr>
            <w:tcW w:w="0" w:type="auto"/>
            <w:tcBorders>
              <w:top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b/>
                <w:bCs/>
                <w:sz w:val="20"/>
                <w:szCs w:val="20"/>
              </w:rPr>
              <w:t>Contractor is Obliged to:</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sz w:val="20"/>
                <w:szCs w:val="20"/>
              </w:rPr>
              <w:t>Provide an acceptable deliverable at the time, place and price specified in the contract.</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sz w:val="20"/>
                <w:szCs w:val="20"/>
              </w:rPr>
              <w:t>Provide an acceptable deliverable at the time and place specified in the contract at the adjusted price.</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sz w:val="20"/>
                <w:szCs w:val="20"/>
              </w:rPr>
              <w:t>Provide an acceptable deliverable at the time and place specified in the contract at or below the ceiling price.</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sz w:val="20"/>
                <w:szCs w:val="20"/>
              </w:rPr>
              <w:t>Perform at the time, place, and the price fixed in the contract.</w:t>
            </w:r>
          </w:p>
        </w:tc>
      </w:tr>
      <w:tr w:rsidR="000F1508" w:rsidRPr="007B3253" w:rsidTr="000F1508">
        <w:trPr>
          <w:trHeight w:val="246"/>
          <w:tblCellSpacing w:w="0" w:type="dxa"/>
        </w:trPr>
        <w:tc>
          <w:tcPr>
            <w:tcW w:w="0" w:type="auto"/>
            <w:tcBorders>
              <w:top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b/>
                <w:bCs/>
                <w:sz w:val="20"/>
                <w:szCs w:val="20"/>
              </w:rPr>
              <w:t xml:space="preserve">Contractor Incentive </w:t>
            </w:r>
            <w:r w:rsidRPr="007B3253">
              <w:rPr>
                <w:b/>
                <w:bCs/>
                <w:i/>
                <w:iCs/>
                <w:sz w:val="20"/>
                <w:szCs w:val="20"/>
              </w:rPr>
              <w:t xml:space="preserve">(other than maximizing goodwill) </w:t>
            </w:r>
            <w:hyperlink r:id="rId7" w:anchor="Note 1#Note 1" w:history="1">
              <w:r w:rsidRPr="007B3253">
                <w:rPr>
                  <w:color w:val="0000FF"/>
                  <w:sz w:val="20"/>
                  <w:szCs w:val="20"/>
                  <w:u w:val="single"/>
                  <w:vertAlign w:val="superscript"/>
                </w:rPr>
                <w:t>1</w:t>
              </w:r>
            </w:hyperlink>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sz w:val="20"/>
                <w:szCs w:val="20"/>
              </w:rPr>
              <w:t>Generally realizes an additional dollar of profit for every dollar that costs are reduced.</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sz w:val="20"/>
                <w:szCs w:val="20"/>
              </w:rPr>
              <w:t>Generally realizes an additional dollar of profit for every dollar that costs are reduced.</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sz w:val="20"/>
                <w:szCs w:val="20"/>
              </w:rPr>
              <w:t>Realizes a higher profit by completing the work below the ceiling price and/or by meeting objective performance targets.</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sz w:val="20"/>
                <w:szCs w:val="20"/>
              </w:rPr>
              <w:t>Generally realizes an additional dollar of profit for every dollar that costs are reduced; earns an additional fee for satisfying the performance standards.</w:t>
            </w:r>
          </w:p>
        </w:tc>
      </w:tr>
      <w:tr w:rsidR="000F1508" w:rsidRPr="007B3253" w:rsidTr="000F1508">
        <w:trPr>
          <w:trHeight w:val="128"/>
          <w:tblCellSpacing w:w="0" w:type="dxa"/>
        </w:trPr>
        <w:tc>
          <w:tcPr>
            <w:tcW w:w="0" w:type="auto"/>
            <w:tcBorders>
              <w:top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b/>
                <w:bCs/>
                <w:sz w:val="20"/>
                <w:szCs w:val="20"/>
              </w:rPr>
              <w:t>Typical Application</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sz w:val="20"/>
                <w:szCs w:val="20"/>
              </w:rPr>
              <w:t>Commercial supplies and services.</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sz w:val="20"/>
                <w:szCs w:val="20"/>
              </w:rPr>
              <w:t>Long-term contracts for commercial supplies</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r w:rsidRPr="007B3253">
              <w:rPr>
                <w:sz w:val="20"/>
                <w:szCs w:val="20"/>
              </w:rPr>
              <w:t>Production of a major system based on a prototype</w:t>
            </w:r>
          </w:p>
        </w:tc>
        <w:tc>
          <w:tcPr>
            <w:tcW w:w="0" w:type="auto"/>
            <w:tcBorders>
              <w:top w:val="outset" w:sz="6" w:space="0" w:color="auto"/>
              <w:left w:val="outset" w:sz="6" w:space="0" w:color="auto"/>
              <w:bottom w:val="outset" w:sz="6" w:space="0" w:color="auto"/>
              <w:right w:val="outset" w:sz="6" w:space="0" w:color="auto"/>
            </w:tcBorders>
            <w:vAlign w:val="center"/>
          </w:tcPr>
          <w:p w:rsidR="007B3253" w:rsidRPr="007B3253" w:rsidRDefault="007B3253" w:rsidP="000F1508">
            <w:pPr>
              <w:pStyle w:val="NormalWeb"/>
              <w:spacing w:after="0" w:afterAutospacing="0"/>
              <w:rPr>
                <w:sz w:val="20"/>
                <w:szCs w:val="20"/>
              </w:rPr>
            </w:pPr>
            <w:proofErr w:type="spellStart"/>
            <w:r w:rsidRPr="007B3253">
              <w:rPr>
                <w:sz w:val="20"/>
                <w:szCs w:val="20"/>
              </w:rPr>
              <w:t>Perfromance</w:t>
            </w:r>
            <w:proofErr w:type="spellEnd"/>
            <w:r w:rsidRPr="007B3253">
              <w:rPr>
                <w:sz w:val="20"/>
                <w:szCs w:val="20"/>
              </w:rPr>
              <w:t>-based service contracts.</w:t>
            </w:r>
          </w:p>
        </w:tc>
      </w:tr>
    </w:tbl>
    <w:p w:rsidR="000F1508" w:rsidRDefault="000F1508" w:rsidP="003B648E">
      <w:pPr>
        <w:jc w:val="both"/>
        <w:rPr>
          <w:sz w:val="28"/>
          <w:szCs w:val="28"/>
        </w:rPr>
      </w:pPr>
    </w:p>
    <w:tbl>
      <w:tblPr>
        <w:tblW w:w="5688" w:type="pct"/>
        <w:tblCellSpacing w:w="0" w:type="dxa"/>
        <w:tblInd w:w="-5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38"/>
        <w:gridCol w:w="1909"/>
        <w:gridCol w:w="1595"/>
        <w:gridCol w:w="247"/>
        <w:gridCol w:w="1218"/>
        <w:gridCol w:w="296"/>
        <w:gridCol w:w="1835"/>
        <w:gridCol w:w="1992"/>
      </w:tblGrid>
      <w:tr w:rsidR="000F1508" w:rsidRPr="000F1508" w:rsidTr="000F1508">
        <w:trPr>
          <w:trHeight w:val="598"/>
          <w:tblCellSpacing w:w="0" w:type="dxa"/>
        </w:trPr>
        <w:tc>
          <w:tcPr>
            <w:tcW w:w="724" w:type="pct"/>
            <w:tcBorders>
              <w:top w:val="outset" w:sz="6" w:space="0" w:color="auto"/>
              <w:bottom w:val="outset" w:sz="6" w:space="0" w:color="auto"/>
              <w:right w:val="outset" w:sz="6" w:space="0" w:color="auto"/>
            </w:tcBorders>
          </w:tcPr>
          <w:p w:rsidR="000F1508" w:rsidRPr="000F1508" w:rsidRDefault="000F1508" w:rsidP="000F1508">
            <w:pPr>
              <w:spacing w:after="0"/>
              <w:rPr>
                <w:rFonts w:ascii="Verdana" w:hAnsi="Verdana"/>
                <w:color w:val="000000"/>
                <w:sz w:val="20"/>
                <w:szCs w:val="20"/>
              </w:rPr>
            </w:pPr>
          </w:p>
        </w:tc>
        <w:tc>
          <w:tcPr>
            <w:tcW w:w="898" w:type="pct"/>
            <w:tcBorders>
              <w:top w:val="outset" w:sz="6" w:space="0" w:color="auto"/>
              <w:left w:val="outset" w:sz="6" w:space="0" w:color="auto"/>
              <w:bottom w:val="outset" w:sz="6" w:space="0" w:color="auto"/>
              <w:right w:val="outset" w:sz="6" w:space="0" w:color="auto"/>
            </w:tcBorders>
            <w:shd w:val="clear" w:color="auto" w:fill="FFFFFF"/>
          </w:tcPr>
          <w:p w:rsidR="000F1508" w:rsidRPr="000F1508" w:rsidRDefault="000F1508" w:rsidP="000F1508">
            <w:pPr>
              <w:pStyle w:val="NormalWeb"/>
              <w:spacing w:after="0" w:afterAutospacing="0"/>
              <w:jc w:val="center"/>
              <w:rPr>
                <w:sz w:val="20"/>
                <w:szCs w:val="20"/>
              </w:rPr>
            </w:pPr>
            <w:r w:rsidRPr="000F1508">
              <w:rPr>
                <w:b/>
                <w:bCs/>
                <w:sz w:val="20"/>
                <w:szCs w:val="20"/>
              </w:rPr>
              <w:t>Cost-Plus Incentive-Fee (CPIF)</w:t>
            </w:r>
          </w:p>
        </w:tc>
        <w:tc>
          <w:tcPr>
            <w:tcW w:w="750" w:type="pct"/>
            <w:tcBorders>
              <w:top w:val="outset" w:sz="6" w:space="0" w:color="auto"/>
              <w:left w:val="outset" w:sz="6" w:space="0" w:color="auto"/>
              <w:bottom w:val="outset" w:sz="6" w:space="0" w:color="auto"/>
              <w:right w:val="outset" w:sz="6" w:space="0" w:color="auto"/>
            </w:tcBorders>
            <w:shd w:val="clear" w:color="auto" w:fill="FFFFFF"/>
          </w:tcPr>
          <w:p w:rsidR="000F1508" w:rsidRPr="000F1508" w:rsidRDefault="000F1508" w:rsidP="000F1508">
            <w:pPr>
              <w:pStyle w:val="NormalWeb"/>
              <w:spacing w:after="0" w:afterAutospacing="0"/>
              <w:jc w:val="center"/>
              <w:rPr>
                <w:sz w:val="20"/>
                <w:szCs w:val="20"/>
              </w:rPr>
            </w:pPr>
            <w:r w:rsidRPr="000F1508">
              <w:rPr>
                <w:b/>
                <w:bCs/>
                <w:sz w:val="20"/>
                <w:szCs w:val="20"/>
              </w:rPr>
              <w:t xml:space="preserve">Cost-Plus </w:t>
            </w:r>
            <w:r w:rsidRPr="000F1508">
              <w:rPr>
                <w:b/>
                <w:bCs/>
                <w:sz w:val="20"/>
                <w:szCs w:val="20"/>
              </w:rPr>
              <w:br/>
              <w:t xml:space="preserve">Award-Fee </w:t>
            </w:r>
            <w:r w:rsidRPr="000F1508">
              <w:rPr>
                <w:b/>
                <w:bCs/>
                <w:sz w:val="20"/>
                <w:szCs w:val="20"/>
              </w:rPr>
              <w:br/>
              <w:t>(CPAF)</w:t>
            </w:r>
          </w:p>
        </w:tc>
        <w:tc>
          <w:tcPr>
            <w:tcW w:w="689" w:type="pct"/>
            <w:gridSpan w:val="2"/>
            <w:tcBorders>
              <w:top w:val="outset" w:sz="6" w:space="0" w:color="auto"/>
              <w:left w:val="outset" w:sz="6" w:space="0" w:color="auto"/>
              <w:bottom w:val="outset" w:sz="6" w:space="0" w:color="auto"/>
              <w:right w:val="outset" w:sz="6" w:space="0" w:color="auto"/>
            </w:tcBorders>
            <w:shd w:val="clear" w:color="auto" w:fill="FFFFFF"/>
          </w:tcPr>
          <w:p w:rsidR="000F1508" w:rsidRPr="000F1508" w:rsidRDefault="000F1508" w:rsidP="000F1508">
            <w:pPr>
              <w:pStyle w:val="NormalWeb"/>
              <w:spacing w:after="0" w:afterAutospacing="0"/>
              <w:jc w:val="center"/>
              <w:rPr>
                <w:sz w:val="20"/>
                <w:szCs w:val="20"/>
              </w:rPr>
            </w:pPr>
            <w:r w:rsidRPr="000F1508">
              <w:rPr>
                <w:b/>
                <w:bCs/>
                <w:sz w:val="20"/>
                <w:szCs w:val="20"/>
              </w:rPr>
              <w:t xml:space="preserve">Cost-Plus </w:t>
            </w:r>
            <w:r w:rsidRPr="000F1508">
              <w:rPr>
                <w:b/>
                <w:bCs/>
                <w:sz w:val="20"/>
                <w:szCs w:val="20"/>
              </w:rPr>
              <w:br/>
              <w:t xml:space="preserve">Fixed-Fee </w:t>
            </w:r>
            <w:r w:rsidRPr="000F1508">
              <w:rPr>
                <w:b/>
                <w:bCs/>
                <w:sz w:val="20"/>
                <w:szCs w:val="20"/>
              </w:rPr>
              <w:br/>
              <w:t>(CPFF)</w:t>
            </w:r>
          </w:p>
        </w:tc>
        <w:tc>
          <w:tcPr>
            <w:tcW w:w="1001" w:type="pct"/>
            <w:gridSpan w:val="2"/>
            <w:tcBorders>
              <w:top w:val="outset" w:sz="6" w:space="0" w:color="auto"/>
              <w:left w:val="outset" w:sz="6" w:space="0" w:color="auto"/>
              <w:bottom w:val="outset" w:sz="6" w:space="0" w:color="auto"/>
              <w:right w:val="outset" w:sz="6" w:space="0" w:color="auto"/>
            </w:tcBorders>
            <w:shd w:val="clear" w:color="auto" w:fill="FFFFFF"/>
          </w:tcPr>
          <w:p w:rsidR="000F1508" w:rsidRPr="000F1508" w:rsidRDefault="000F1508" w:rsidP="000F1508">
            <w:pPr>
              <w:pStyle w:val="NormalWeb"/>
              <w:spacing w:after="0" w:afterAutospacing="0"/>
              <w:jc w:val="center"/>
              <w:rPr>
                <w:sz w:val="20"/>
                <w:szCs w:val="20"/>
              </w:rPr>
            </w:pPr>
            <w:r w:rsidRPr="000F1508">
              <w:rPr>
                <w:b/>
                <w:bCs/>
                <w:sz w:val="20"/>
                <w:szCs w:val="20"/>
              </w:rPr>
              <w:t xml:space="preserve">Cost or </w:t>
            </w:r>
            <w:r w:rsidRPr="000F1508">
              <w:rPr>
                <w:b/>
                <w:bCs/>
                <w:sz w:val="20"/>
                <w:szCs w:val="20"/>
              </w:rPr>
              <w:br/>
              <w:t xml:space="preserve">Cost- Sharing </w:t>
            </w:r>
            <w:r w:rsidRPr="000F1508">
              <w:rPr>
                <w:b/>
                <w:bCs/>
                <w:sz w:val="20"/>
                <w:szCs w:val="20"/>
              </w:rPr>
              <w:br/>
              <w:t>(C or CS)</w:t>
            </w:r>
          </w:p>
        </w:tc>
        <w:tc>
          <w:tcPr>
            <w:tcW w:w="937" w:type="pct"/>
            <w:tcBorders>
              <w:top w:val="outset" w:sz="6" w:space="0" w:color="auto"/>
              <w:left w:val="outset" w:sz="6" w:space="0" w:color="auto"/>
              <w:bottom w:val="outset" w:sz="6" w:space="0" w:color="auto"/>
            </w:tcBorders>
            <w:shd w:val="clear" w:color="auto" w:fill="FFFFFF"/>
          </w:tcPr>
          <w:p w:rsidR="000F1508" w:rsidRPr="000F1508" w:rsidRDefault="000F1508" w:rsidP="000F1508">
            <w:pPr>
              <w:pStyle w:val="NormalWeb"/>
              <w:spacing w:after="0" w:afterAutospacing="0"/>
              <w:jc w:val="center"/>
              <w:rPr>
                <w:sz w:val="20"/>
                <w:szCs w:val="20"/>
              </w:rPr>
            </w:pPr>
            <w:r w:rsidRPr="000F1508">
              <w:rPr>
                <w:b/>
                <w:bCs/>
                <w:sz w:val="20"/>
                <w:szCs w:val="20"/>
              </w:rPr>
              <w:br/>
              <w:t>Time &amp; Materials (T&amp;M)</w:t>
            </w:r>
          </w:p>
        </w:tc>
      </w:tr>
      <w:tr w:rsidR="000F1508" w:rsidRPr="000F1508" w:rsidTr="000F1508">
        <w:trPr>
          <w:trHeight w:val="743"/>
          <w:tblCellSpacing w:w="0" w:type="dxa"/>
        </w:trPr>
        <w:tc>
          <w:tcPr>
            <w:tcW w:w="724" w:type="pct"/>
            <w:tcBorders>
              <w:top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b/>
                <w:bCs/>
                <w:sz w:val="20"/>
                <w:szCs w:val="20"/>
              </w:rPr>
              <w:t>Principal Risk to be Mitigated</w:t>
            </w:r>
          </w:p>
        </w:tc>
        <w:tc>
          <w:tcPr>
            <w:tcW w:w="4276" w:type="pct"/>
            <w:gridSpan w:val="7"/>
            <w:tcBorders>
              <w:top w:val="outset" w:sz="6" w:space="0" w:color="auto"/>
              <w:left w:val="outset" w:sz="6" w:space="0" w:color="auto"/>
              <w:bottom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 xml:space="preserve">Highly uncertain and speculative labor hours, labor mix, and/or material requirements (and other things) necessary to perform the contract. The Government assumes the risks inherent in the contract -benefiting if the actual cost is lower than the expected cost-losing if the work cannot be completed within the expected cost of performance. </w:t>
            </w:r>
          </w:p>
        </w:tc>
      </w:tr>
      <w:tr w:rsidR="000F1508" w:rsidRPr="000F1508" w:rsidTr="000F1508">
        <w:trPr>
          <w:trHeight w:val="2712"/>
          <w:tblCellSpacing w:w="0" w:type="dxa"/>
        </w:trPr>
        <w:tc>
          <w:tcPr>
            <w:tcW w:w="724" w:type="pct"/>
            <w:tcBorders>
              <w:top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b/>
                <w:bCs/>
                <w:sz w:val="20"/>
                <w:szCs w:val="20"/>
              </w:rPr>
              <w:t>Use When</w:t>
            </w:r>
            <w:proofErr w:type="gramStart"/>
            <w:r w:rsidRPr="000F1508">
              <w:rPr>
                <w:b/>
                <w:bCs/>
                <w:sz w:val="20"/>
                <w:szCs w:val="20"/>
              </w:rPr>
              <w:t>..</w:t>
            </w:r>
            <w:proofErr w:type="gramEnd"/>
          </w:p>
        </w:tc>
        <w:tc>
          <w:tcPr>
            <w:tcW w:w="898" w:type="pct"/>
            <w:tcBorders>
              <w:top w:val="outset" w:sz="6" w:space="0" w:color="auto"/>
              <w:left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An objective relationship can be established between the fee and such measures of performance as actual costs, delivery dates, performance benchmarks, and the like.</w:t>
            </w:r>
          </w:p>
        </w:tc>
        <w:tc>
          <w:tcPr>
            <w:tcW w:w="866" w:type="pct"/>
            <w:gridSpan w:val="2"/>
            <w:tcBorders>
              <w:top w:val="outset" w:sz="6" w:space="0" w:color="auto"/>
              <w:left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Objective incentive targets are not feasible for critical aspects of performance. Judgmental standards can be fairly applied.</w:t>
            </w:r>
            <w:r w:rsidRPr="000F1508">
              <w:rPr>
                <w:sz w:val="20"/>
                <w:szCs w:val="20"/>
                <w:vertAlign w:val="superscript"/>
              </w:rPr>
              <w:t>1</w:t>
            </w:r>
            <w:r w:rsidRPr="000F1508">
              <w:rPr>
                <w:sz w:val="20"/>
                <w:szCs w:val="20"/>
              </w:rPr>
              <w:t xml:space="preserve"> Potential fee would provide a meaningful incentive.</w:t>
            </w:r>
          </w:p>
        </w:tc>
        <w:tc>
          <w:tcPr>
            <w:tcW w:w="712" w:type="pct"/>
            <w:gridSpan w:val="2"/>
            <w:tcBorders>
              <w:top w:val="outset" w:sz="6" w:space="0" w:color="auto"/>
              <w:left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Relating fee to performance (e.g., to actual costs) would be unworkable or of marginal utility.</w:t>
            </w:r>
          </w:p>
        </w:tc>
        <w:tc>
          <w:tcPr>
            <w:tcW w:w="862" w:type="pct"/>
            <w:tcBorders>
              <w:top w:val="outset" w:sz="6" w:space="0" w:color="auto"/>
              <w:left w:val="outset" w:sz="6" w:space="0" w:color="auto"/>
              <w:bottom w:val="outset" w:sz="6" w:space="0" w:color="auto"/>
              <w:right w:val="outset" w:sz="6" w:space="0" w:color="auto"/>
            </w:tcBorders>
          </w:tcPr>
          <w:p w:rsidR="000F1508" w:rsidRPr="000F1508" w:rsidRDefault="000F1508" w:rsidP="000F1508">
            <w:pPr>
              <w:numPr>
                <w:ilvl w:val="0"/>
                <w:numId w:val="9"/>
              </w:numPr>
              <w:tabs>
                <w:tab w:val="clear" w:pos="720"/>
              </w:tabs>
              <w:spacing w:before="100" w:beforeAutospacing="1" w:after="0" w:line="240" w:lineRule="auto"/>
              <w:ind w:left="93" w:hanging="94"/>
              <w:rPr>
                <w:rFonts w:ascii="Verdana" w:hAnsi="Verdana"/>
                <w:color w:val="000000"/>
                <w:sz w:val="20"/>
                <w:szCs w:val="20"/>
              </w:rPr>
            </w:pPr>
            <w:r w:rsidRPr="000F1508">
              <w:rPr>
                <w:rFonts w:ascii="Verdana" w:hAnsi="Verdana"/>
                <w:color w:val="000000"/>
                <w:sz w:val="20"/>
                <w:szCs w:val="20"/>
              </w:rPr>
              <w:t xml:space="preserve">The contractor expects substantial compensating benefits for absorbing part of the costs and/or foregoing fee or </w:t>
            </w:r>
          </w:p>
          <w:p w:rsidR="000F1508" w:rsidRPr="000F1508" w:rsidRDefault="000F1508" w:rsidP="000F1508">
            <w:pPr>
              <w:numPr>
                <w:ilvl w:val="0"/>
                <w:numId w:val="9"/>
              </w:numPr>
              <w:tabs>
                <w:tab w:val="clear" w:pos="720"/>
              </w:tabs>
              <w:spacing w:before="100" w:beforeAutospacing="1" w:after="0" w:line="240" w:lineRule="auto"/>
              <w:ind w:left="93" w:hanging="94"/>
              <w:rPr>
                <w:rFonts w:ascii="Verdana" w:hAnsi="Verdana"/>
                <w:color w:val="000000"/>
                <w:sz w:val="20"/>
                <w:szCs w:val="20"/>
              </w:rPr>
            </w:pPr>
            <w:r w:rsidRPr="000F1508">
              <w:rPr>
                <w:rFonts w:ascii="Verdana" w:hAnsi="Verdana"/>
                <w:color w:val="000000"/>
                <w:sz w:val="20"/>
                <w:szCs w:val="20"/>
              </w:rPr>
              <w:t xml:space="preserve">The vendor is a non-profit entity </w:t>
            </w:r>
          </w:p>
        </w:tc>
        <w:tc>
          <w:tcPr>
            <w:tcW w:w="937" w:type="pct"/>
            <w:tcBorders>
              <w:top w:val="outset" w:sz="6" w:space="0" w:color="auto"/>
              <w:left w:val="outset" w:sz="6" w:space="0" w:color="auto"/>
              <w:bottom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No other type of contract is suitable (e.g., because costs are too low to justify an audit of the contractor's indirect expenses).</w:t>
            </w:r>
          </w:p>
        </w:tc>
      </w:tr>
      <w:tr w:rsidR="000F1508" w:rsidRPr="000F1508" w:rsidTr="000F1508">
        <w:trPr>
          <w:trHeight w:val="2117"/>
          <w:tblCellSpacing w:w="0" w:type="dxa"/>
        </w:trPr>
        <w:tc>
          <w:tcPr>
            <w:tcW w:w="724" w:type="pct"/>
            <w:tcBorders>
              <w:top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b/>
                <w:bCs/>
                <w:sz w:val="20"/>
                <w:szCs w:val="20"/>
              </w:rPr>
              <w:t>Elements</w:t>
            </w:r>
          </w:p>
        </w:tc>
        <w:tc>
          <w:tcPr>
            <w:tcW w:w="898" w:type="pct"/>
            <w:tcBorders>
              <w:top w:val="outset" w:sz="6" w:space="0" w:color="auto"/>
              <w:left w:val="outset" w:sz="6" w:space="0" w:color="auto"/>
              <w:bottom w:val="outset" w:sz="6" w:space="0" w:color="auto"/>
              <w:right w:val="outset" w:sz="6" w:space="0" w:color="auto"/>
            </w:tcBorders>
          </w:tcPr>
          <w:p w:rsidR="000F1508" w:rsidRPr="000F1508" w:rsidRDefault="000F1508" w:rsidP="000F1508">
            <w:pPr>
              <w:numPr>
                <w:ilvl w:val="0"/>
                <w:numId w:val="10"/>
              </w:numPr>
              <w:tabs>
                <w:tab w:val="clear" w:pos="720"/>
                <w:tab w:val="num" w:pos="213"/>
              </w:tabs>
              <w:spacing w:before="100" w:beforeAutospacing="1" w:after="0" w:line="240" w:lineRule="auto"/>
              <w:ind w:left="123" w:hanging="57"/>
              <w:rPr>
                <w:rFonts w:ascii="Verdana" w:hAnsi="Verdana"/>
                <w:color w:val="000000"/>
                <w:sz w:val="20"/>
                <w:szCs w:val="20"/>
              </w:rPr>
            </w:pPr>
            <w:r w:rsidRPr="000F1508">
              <w:rPr>
                <w:rFonts w:ascii="Verdana" w:hAnsi="Verdana"/>
                <w:color w:val="000000"/>
                <w:sz w:val="20"/>
                <w:szCs w:val="20"/>
              </w:rPr>
              <w:t xml:space="preserve">Target cost </w:t>
            </w:r>
          </w:p>
          <w:p w:rsidR="000F1508" w:rsidRPr="000F1508" w:rsidRDefault="000F1508" w:rsidP="000F1508">
            <w:pPr>
              <w:numPr>
                <w:ilvl w:val="0"/>
                <w:numId w:val="10"/>
              </w:numPr>
              <w:tabs>
                <w:tab w:val="clear" w:pos="720"/>
                <w:tab w:val="num" w:pos="213"/>
              </w:tabs>
              <w:spacing w:before="100" w:beforeAutospacing="1" w:after="0" w:line="240" w:lineRule="auto"/>
              <w:ind w:left="123" w:hanging="57"/>
              <w:rPr>
                <w:rFonts w:ascii="Verdana" w:hAnsi="Verdana"/>
                <w:color w:val="000000"/>
                <w:sz w:val="20"/>
                <w:szCs w:val="20"/>
              </w:rPr>
            </w:pPr>
            <w:r w:rsidRPr="000F1508">
              <w:rPr>
                <w:rFonts w:ascii="Verdana" w:hAnsi="Verdana"/>
                <w:color w:val="000000"/>
                <w:sz w:val="20"/>
                <w:szCs w:val="20"/>
              </w:rPr>
              <w:t xml:space="preserve">Performance targets (optional) </w:t>
            </w:r>
          </w:p>
          <w:p w:rsidR="000F1508" w:rsidRPr="000F1508" w:rsidRDefault="000F1508" w:rsidP="000F1508">
            <w:pPr>
              <w:numPr>
                <w:ilvl w:val="0"/>
                <w:numId w:val="10"/>
              </w:numPr>
              <w:tabs>
                <w:tab w:val="clear" w:pos="720"/>
                <w:tab w:val="num" w:pos="213"/>
              </w:tabs>
              <w:spacing w:before="100" w:beforeAutospacing="1" w:after="0" w:line="240" w:lineRule="auto"/>
              <w:ind w:left="123" w:hanging="57"/>
              <w:rPr>
                <w:rFonts w:ascii="Verdana" w:hAnsi="Verdana"/>
                <w:color w:val="000000"/>
                <w:sz w:val="20"/>
                <w:szCs w:val="20"/>
              </w:rPr>
            </w:pPr>
            <w:r w:rsidRPr="000F1508">
              <w:rPr>
                <w:rFonts w:ascii="Verdana" w:hAnsi="Verdana"/>
                <w:color w:val="000000"/>
                <w:sz w:val="20"/>
                <w:szCs w:val="20"/>
              </w:rPr>
              <w:t xml:space="preserve">A minimum, maximum, and target fee </w:t>
            </w:r>
          </w:p>
          <w:p w:rsidR="000F1508" w:rsidRPr="000F1508" w:rsidRDefault="000F1508" w:rsidP="000F1508">
            <w:pPr>
              <w:numPr>
                <w:ilvl w:val="0"/>
                <w:numId w:val="10"/>
              </w:numPr>
              <w:tabs>
                <w:tab w:val="clear" w:pos="720"/>
                <w:tab w:val="num" w:pos="213"/>
              </w:tabs>
              <w:spacing w:before="100" w:beforeAutospacing="1" w:after="0" w:line="240" w:lineRule="auto"/>
              <w:ind w:left="123" w:hanging="57"/>
              <w:rPr>
                <w:rFonts w:ascii="Verdana" w:hAnsi="Verdana"/>
                <w:color w:val="000000"/>
                <w:sz w:val="20"/>
                <w:szCs w:val="20"/>
              </w:rPr>
            </w:pPr>
            <w:r w:rsidRPr="000F1508">
              <w:rPr>
                <w:rFonts w:ascii="Verdana" w:hAnsi="Verdana"/>
                <w:color w:val="000000"/>
                <w:sz w:val="20"/>
                <w:szCs w:val="20"/>
              </w:rPr>
              <w:t xml:space="preserve">A formula for adjusting fee based on actual costs and/or performance </w:t>
            </w:r>
          </w:p>
        </w:tc>
        <w:tc>
          <w:tcPr>
            <w:tcW w:w="866" w:type="pct"/>
            <w:gridSpan w:val="2"/>
            <w:tcBorders>
              <w:top w:val="outset" w:sz="6" w:space="0" w:color="auto"/>
              <w:left w:val="outset" w:sz="6" w:space="0" w:color="auto"/>
              <w:bottom w:val="outset" w:sz="6" w:space="0" w:color="auto"/>
              <w:right w:val="outset" w:sz="6" w:space="0" w:color="auto"/>
            </w:tcBorders>
          </w:tcPr>
          <w:p w:rsidR="000F1508" w:rsidRPr="000F1508" w:rsidRDefault="000F1508" w:rsidP="000F1508">
            <w:pPr>
              <w:numPr>
                <w:ilvl w:val="0"/>
                <w:numId w:val="11"/>
              </w:numPr>
              <w:tabs>
                <w:tab w:val="clear" w:pos="720"/>
                <w:tab w:val="num" w:pos="1030"/>
              </w:tabs>
              <w:spacing w:before="100" w:beforeAutospacing="1" w:after="0" w:line="240" w:lineRule="auto"/>
              <w:ind w:left="130" w:hanging="140"/>
              <w:rPr>
                <w:rFonts w:ascii="Verdana" w:hAnsi="Verdana"/>
                <w:color w:val="000000"/>
                <w:sz w:val="20"/>
                <w:szCs w:val="20"/>
              </w:rPr>
            </w:pPr>
            <w:r w:rsidRPr="000F1508">
              <w:rPr>
                <w:rFonts w:ascii="Verdana" w:hAnsi="Verdana"/>
                <w:color w:val="000000"/>
                <w:sz w:val="20"/>
                <w:szCs w:val="20"/>
              </w:rPr>
              <w:t xml:space="preserve">Target cost </w:t>
            </w:r>
          </w:p>
          <w:p w:rsidR="000F1508" w:rsidRPr="000F1508" w:rsidRDefault="000F1508" w:rsidP="000F1508">
            <w:pPr>
              <w:numPr>
                <w:ilvl w:val="0"/>
                <w:numId w:val="11"/>
              </w:numPr>
              <w:tabs>
                <w:tab w:val="clear" w:pos="720"/>
                <w:tab w:val="num" w:pos="1030"/>
              </w:tabs>
              <w:spacing w:before="100" w:beforeAutospacing="1" w:after="0" w:line="240" w:lineRule="auto"/>
              <w:ind w:left="130" w:hanging="140"/>
              <w:rPr>
                <w:rFonts w:ascii="Verdana" w:hAnsi="Verdana"/>
                <w:color w:val="000000"/>
                <w:sz w:val="20"/>
                <w:szCs w:val="20"/>
              </w:rPr>
            </w:pPr>
            <w:r w:rsidRPr="000F1508">
              <w:rPr>
                <w:rFonts w:ascii="Verdana" w:hAnsi="Verdana"/>
                <w:color w:val="000000"/>
                <w:sz w:val="20"/>
                <w:szCs w:val="20"/>
              </w:rPr>
              <w:t xml:space="preserve">Standards for evaluating performance </w:t>
            </w:r>
          </w:p>
          <w:p w:rsidR="000F1508" w:rsidRPr="000F1508" w:rsidRDefault="000F1508" w:rsidP="000F1508">
            <w:pPr>
              <w:numPr>
                <w:ilvl w:val="0"/>
                <w:numId w:val="11"/>
              </w:numPr>
              <w:tabs>
                <w:tab w:val="clear" w:pos="720"/>
                <w:tab w:val="num" w:pos="1030"/>
              </w:tabs>
              <w:spacing w:before="100" w:beforeAutospacing="1" w:after="0" w:line="240" w:lineRule="auto"/>
              <w:ind w:left="130" w:hanging="140"/>
              <w:rPr>
                <w:rFonts w:ascii="Verdana" w:hAnsi="Verdana"/>
                <w:color w:val="000000"/>
                <w:sz w:val="20"/>
                <w:szCs w:val="20"/>
              </w:rPr>
            </w:pPr>
            <w:r w:rsidRPr="000F1508">
              <w:rPr>
                <w:rFonts w:ascii="Verdana" w:hAnsi="Verdana"/>
                <w:color w:val="000000"/>
                <w:sz w:val="20"/>
                <w:szCs w:val="20"/>
              </w:rPr>
              <w:t xml:space="preserve">A base and maximum fee </w:t>
            </w:r>
          </w:p>
          <w:p w:rsidR="000F1508" w:rsidRPr="000F1508" w:rsidRDefault="000F1508" w:rsidP="000F1508">
            <w:pPr>
              <w:numPr>
                <w:ilvl w:val="0"/>
                <w:numId w:val="11"/>
              </w:numPr>
              <w:tabs>
                <w:tab w:val="clear" w:pos="720"/>
                <w:tab w:val="num" w:pos="1030"/>
              </w:tabs>
              <w:spacing w:before="100" w:beforeAutospacing="1" w:after="0" w:line="240" w:lineRule="auto"/>
              <w:ind w:left="130" w:hanging="140"/>
              <w:rPr>
                <w:rFonts w:ascii="Verdana" w:hAnsi="Verdana"/>
                <w:color w:val="000000"/>
                <w:sz w:val="20"/>
                <w:szCs w:val="20"/>
              </w:rPr>
            </w:pPr>
            <w:r w:rsidRPr="000F1508">
              <w:rPr>
                <w:rFonts w:ascii="Verdana" w:hAnsi="Verdana"/>
                <w:color w:val="000000"/>
                <w:sz w:val="20"/>
                <w:szCs w:val="20"/>
              </w:rPr>
              <w:t xml:space="preserve">Procedures for adjusting fee, based on performance against the standards </w:t>
            </w:r>
          </w:p>
        </w:tc>
        <w:tc>
          <w:tcPr>
            <w:tcW w:w="712" w:type="pct"/>
            <w:gridSpan w:val="2"/>
            <w:tcBorders>
              <w:top w:val="outset" w:sz="6" w:space="0" w:color="auto"/>
              <w:left w:val="outset" w:sz="6" w:space="0" w:color="auto"/>
              <w:bottom w:val="outset" w:sz="6" w:space="0" w:color="auto"/>
              <w:right w:val="outset" w:sz="6" w:space="0" w:color="auto"/>
            </w:tcBorders>
          </w:tcPr>
          <w:p w:rsidR="000F1508" w:rsidRPr="000F1508" w:rsidRDefault="000F1508" w:rsidP="000F1508">
            <w:pPr>
              <w:numPr>
                <w:ilvl w:val="0"/>
                <w:numId w:val="12"/>
              </w:numPr>
              <w:tabs>
                <w:tab w:val="clear" w:pos="720"/>
                <w:tab w:val="num" w:pos="213"/>
              </w:tabs>
              <w:spacing w:before="100" w:beforeAutospacing="1" w:after="0" w:line="240" w:lineRule="auto"/>
              <w:ind w:left="123" w:hanging="90"/>
              <w:rPr>
                <w:rFonts w:ascii="Verdana" w:hAnsi="Verdana"/>
                <w:color w:val="000000"/>
                <w:sz w:val="20"/>
                <w:szCs w:val="20"/>
              </w:rPr>
            </w:pPr>
            <w:r w:rsidRPr="000F1508">
              <w:rPr>
                <w:rFonts w:ascii="Verdana" w:hAnsi="Verdana"/>
                <w:color w:val="000000"/>
                <w:sz w:val="20"/>
                <w:szCs w:val="20"/>
              </w:rPr>
              <w:t xml:space="preserve">Target cost </w:t>
            </w:r>
          </w:p>
          <w:p w:rsidR="000F1508" w:rsidRPr="000F1508" w:rsidRDefault="000F1508" w:rsidP="000F1508">
            <w:pPr>
              <w:numPr>
                <w:ilvl w:val="0"/>
                <w:numId w:val="12"/>
              </w:numPr>
              <w:tabs>
                <w:tab w:val="clear" w:pos="720"/>
                <w:tab w:val="num" w:pos="213"/>
              </w:tabs>
              <w:spacing w:before="100" w:beforeAutospacing="1" w:after="0" w:line="240" w:lineRule="auto"/>
              <w:ind w:left="123" w:hanging="90"/>
              <w:rPr>
                <w:rFonts w:ascii="Verdana" w:hAnsi="Verdana"/>
                <w:color w:val="000000"/>
                <w:sz w:val="20"/>
                <w:szCs w:val="20"/>
              </w:rPr>
            </w:pPr>
            <w:r w:rsidRPr="000F1508">
              <w:rPr>
                <w:rFonts w:ascii="Verdana" w:hAnsi="Verdana"/>
                <w:color w:val="000000"/>
                <w:sz w:val="20"/>
                <w:szCs w:val="20"/>
              </w:rPr>
              <w:t xml:space="preserve">Fixed fee </w:t>
            </w:r>
          </w:p>
        </w:tc>
        <w:tc>
          <w:tcPr>
            <w:tcW w:w="862" w:type="pct"/>
            <w:tcBorders>
              <w:top w:val="outset" w:sz="6" w:space="0" w:color="auto"/>
              <w:left w:val="outset" w:sz="6" w:space="0" w:color="auto"/>
              <w:bottom w:val="outset" w:sz="6" w:space="0" w:color="auto"/>
              <w:right w:val="outset" w:sz="6" w:space="0" w:color="auto"/>
            </w:tcBorders>
          </w:tcPr>
          <w:p w:rsidR="000F1508" w:rsidRPr="000F1508" w:rsidRDefault="000F1508" w:rsidP="000F1508">
            <w:pPr>
              <w:numPr>
                <w:ilvl w:val="0"/>
                <w:numId w:val="13"/>
              </w:numPr>
              <w:tabs>
                <w:tab w:val="clear" w:pos="720"/>
              </w:tabs>
              <w:spacing w:before="100" w:beforeAutospacing="1" w:after="0" w:line="240" w:lineRule="auto"/>
              <w:ind w:left="93" w:hanging="94"/>
              <w:rPr>
                <w:rFonts w:ascii="Verdana" w:hAnsi="Verdana"/>
                <w:color w:val="000000"/>
                <w:sz w:val="20"/>
                <w:szCs w:val="20"/>
              </w:rPr>
            </w:pPr>
            <w:r w:rsidRPr="000F1508">
              <w:rPr>
                <w:rFonts w:ascii="Verdana" w:hAnsi="Verdana"/>
                <w:color w:val="000000"/>
                <w:sz w:val="20"/>
                <w:szCs w:val="20"/>
              </w:rPr>
              <w:t xml:space="preserve">Target cost </w:t>
            </w:r>
          </w:p>
          <w:p w:rsidR="000F1508" w:rsidRPr="000F1508" w:rsidRDefault="000F1508" w:rsidP="000F1508">
            <w:pPr>
              <w:numPr>
                <w:ilvl w:val="0"/>
                <w:numId w:val="13"/>
              </w:numPr>
              <w:tabs>
                <w:tab w:val="clear" w:pos="720"/>
              </w:tabs>
              <w:spacing w:before="100" w:beforeAutospacing="1" w:after="0" w:line="240" w:lineRule="auto"/>
              <w:ind w:left="93" w:hanging="94"/>
              <w:rPr>
                <w:rFonts w:ascii="Verdana" w:hAnsi="Verdana"/>
                <w:color w:val="000000"/>
                <w:sz w:val="20"/>
                <w:szCs w:val="20"/>
              </w:rPr>
            </w:pPr>
            <w:r w:rsidRPr="000F1508">
              <w:rPr>
                <w:rFonts w:ascii="Verdana" w:hAnsi="Verdana"/>
                <w:color w:val="000000"/>
                <w:sz w:val="20"/>
                <w:szCs w:val="20"/>
              </w:rPr>
              <w:t xml:space="preserve">If CS, an agreement on the Government's share of the cost. </w:t>
            </w:r>
          </w:p>
          <w:p w:rsidR="000F1508" w:rsidRPr="000F1508" w:rsidRDefault="000F1508" w:rsidP="000F1508">
            <w:pPr>
              <w:numPr>
                <w:ilvl w:val="0"/>
                <w:numId w:val="13"/>
              </w:numPr>
              <w:tabs>
                <w:tab w:val="clear" w:pos="720"/>
              </w:tabs>
              <w:spacing w:before="100" w:beforeAutospacing="1" w:after="0" w:line="240" w:lineRule="auto"/>
              <w:ind w:left="93" w:hanging="94"/>
              <w:rPr>
                <w:rFonts w:ascii="Verdana" w:hAnsi="Verdana"/>
                <w:color w:val="000000"/>
                <w:sz w:val="20"/>
                <w:szCs w:val="20"/>
              </w:rPr>
            </w:pPr>
            <w:r w:rsidRPr="000F1508">
              <w:rPr>
                <w:rFonts w:ascii="Verdana" w:hAnsi="Verdana"/>
                <w:color w:val="000000"/>
                <w:sz w:val="20"/>
                <w:szCs w:val="20"/>
              </w:rPr>
              <w:t xml:space="preserve">No fee </w:t>
            </w:r>
          </w:p>
        </w:tc>
        <w:tc>
          <w:tcPr>
            <w:tcW w:w="937" w:type="pct"/>
            <w:tcBorders>
              <w:top w:val="outset" w:sz="6" w:space="0" w:color="auto"/>
              <w:left w:val="outset" w:sz="6" w:space="0" w:color="auto"/>
              <w:bottom w:val="outset" w:sz="6" w:space="0" w:color="auto"/>
            </w:tcBorders>
          </w:tcPr>
          <w:p w:rsidR="000F1508" w:rsidRPr="000F1508" w:rsidRDefault="000F1508" w:rsidP="000F1508">
            <w:pPr>
              <w:numPr>
                <w:ilvl w:val="0"/>
                <w:numId w:val="14"/>
              </w:numPr>
              <w:tabs>
                <w:tab w:val="clear" w:pos="720"/>
                <w:tab w:val="num" w:pos="168"/>
              </w:tabs>
              <w:spacing w:before="100" w:beforeAutospacing="1" w:after="0" w:line="240" w:lineRule="auto"/>
              <w:ind w:left="106" w:hanging="75"/>
              <w:rPr>
                <w:rFonts w:ascii="Verdana" w:hAnsi="Verdana"/>
                <w:color w:val="000000"/>
                <w:sz w:val="20"/>
                <w:szCs w:val="20"/>
              </w:rPr>
            </w:pPr>
            <w:r w:rsidRPr="000F1508">
              <w:rPr>
                <w:rFonts w:ascii="Verdana" w:hAnsi="Verdana"/>
                <w:color w:val="000000"/>
                <w:sz w:val="20"/>
                <w:szCs w:val="20"/>
              </w:rPr>
              <w:t xml:space="preserve">A ceiling price </w:t>
            </w:r>
          </w:p>
          <w:p w:rsidR="000F1508" w:rsidRPr="000F1508" w:rsidRDefault="000F1508" w:rsidP="000F1508">
            <w:pPr>
              <w:numPr>
                <w:ilvl w:val="0"/>
                <w:numId w:val="14"/>
              </w:numPr>
              <w:tabs>
                <w:tab w:val="clear" w:pos="720"/>
                <w:tab w:val="num" w:pos="168"/>
              </w:tabs>
              <w:spacing w:before="100" w:beforeAutospacing="1" w:after="0" w:line="240" w:lineRule="auto"/>
              <w:ind w:left="106" w:hanging="75"/>
              <w:rPr>
                <w:rFonts w:ascii="Verdana" w:hAnsi="Verdana"/>
                <w:color w:val="000000"/>
                <w:sz w:val="20"/>
                <w:szCs w:val="20"/>
              </w:rPr>
            </w:pPr>
            <w:r w:rsidRPr="000F1508">
              <w:rPr>
                <w:rFonts w:ascii="Verdana" w:hAnsi="Verdana"/>
                <w:color w:val="000000"/>
                <w:sz w:val="20"/>
                <w:szCs w:val="20"/>
              </w:rPr>
              <w:t xml:space="preserve">A per-hour labor rate that also covers overhead and profit </w:t>
            </w:r>
          </w:p>
          <w:p w:rsidR="000F1508" w:rsidRPr="000F1508" w:rsidRDefault="000F1508" w:rsidP="000F1508">
            <w:pPr>
              <w:numPr>
                <w:ilvl w:val="0"/>
                <w:numId w:val="14"/>
              </w:numPr>
              <w:tabs>
                <w:tab w:val="clear" w:pos="720"/>
                <w:tab w:val="num" w:pos="168"/>
              </w:tabs>
              <w:spacing w:before="100" w:beforeAutospacing="1" w:after="0" w:line="240" w:lineRule="auto"/>
              <w:ind w:left="106" w:hanging="75"/>
              <w:rPr>
                <w:rFonts w:ascii="Verdana" w:hAnsi="Verdana"/>
                <w:color w:val="000000"/>
                <w:sz w:val="20"/>
                <w:szCs w:val="20"/>
              </w:rPr>
            </w:pPr>
            <w:r w:rsidRPr="000F1508">
              <w:rPr>
                <w:rFonts w:ascii="Verdana" w:hAnsi="Verdana"/>
                <w:color w:val="000000"/>
                <w:sz w:val="20"/>
                <w:szCs w:val="20"/>
              </w:rPr>
              <w:t xml:space="preserve">Provisions for reimbursing direct material costs </w:t>
            </w:r>
          </w:p>
        </w:tc>
      </w:tr>
      <w:tr w:rsidR="000F1508" w:rsidRPr="000F1508" w:rsidTr="000F1508">
        <w:trPr>
          <w:trHeight w:val="1042"/>
          <w:tblCellSpacing w:w="0" w:type="dxa"/>
        </w:trPr>
        <w:tc>
          <w:tcPr>
            <w:tcW w:w="724" w:type="pct"/>
            <w:tcBorders>
              <w:top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b/>
                <w:bCs/>
                <w:sz w:val="20"/>
                <w:szCs w:val="20"/>
              </w:rPr>
              <w:t>Contractor is Obliged to:</w:t>
            </w:r>
          </w:p>
        </w:tc>
        <w:tc>
          <w:tcPr>
            <w:tcW w:w="3339" w:type="pct"/>
            <w:gridSpan w:val="6"/>
            <w:tcBorders>
              <w:top w:val="outset" w:sz="6" w:space="0" w:color="auto"/>
              <w:left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Make a good faith effort to meet the Government's needs within the estimated cost in the Schedule.</w:t>
            </w:r>
          </w:p>
        </w:tc>
        <w:tc>
          <w:tcPr>
            <w:tcW w:w="937" w:type="pct"/>
            <w:tcBorders>
              <w:top w:val="outset" w:sz="6" w:space="0" w:color="auto"/>
              <w:left w:val="outset" w:sz="6" w:space="0" w:color="auto"/>
              <w:bottom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Make a good faith effort to meet the Government's needs within the ceiling price.</w:t>
            </w:r>
          </w:p>
        </w:tc>
      </w:tr>
      <w:tr w:rsidR="000F1508" w:rsidRPr="000F1508" w:rsidTr="000F1508">
        <w:trPr>
          <w:trHeight w:val="443"/>
          <w:tblCellSpacing w:w="0" w:type="dxa"/>
        </w:trPr>
        <w:tc>
          <w:tcPr>
            <w:tcW w:w="724" w:type="pct"/>
            <w:tcBorders>
              <w:top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b/>
                <w:bCs/>
                <w:sz w:val="20"/>
                <w:szCs w:val="20"/>
              </w:rPr>
              <w:t xml:space="preserve">Contractor Incentive </w:t>
            </w:r>
            <w:r w:rsidRPr="000F1508">
              <w:rPr>
                <w:b/>
                <w:bCs/>
                <w:i/>
                <w:iCs/>
                <w:sz w:val="20"/>
                <w:szCs w:val="20"/>
              </w:rPr>
              <w:t>(other than maximizing goodwill)</w:t>
            </w:r>
            <w:r w:rsidRPr="000F1508">
              <w:rPr>
                <w:b/>
                <w:bCs/>
                <w:i/>
                <w:iCs/>
                <w:sz w:val="20"/>
                <w:szCs w:val="20"/>
                <w:vertAlign w:val="superscript"/>
              </w:rPr>
              <w:t>1</w:t>
            </w:r>
          </w:p>
        </w:tc>
        <w:tc>
          <w:tcPr>
            <w:tcW w:w="898" w:type="pct"/>
            <w:tcBorders>
              <w:top w:val="outset" w:sz="6" w:space="0" w:color="auto"/>
              <w:left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Realizes a higher fee by completing the work at a lower cost and/or by meeting other objective performance targets.</w:t>
            </w:r>
          </w:p>
        </w:tc>
        <w:tc>
          <w:tcPr>
            <w:tcW w:w="750" w:type="pct"/>
            <w:tcBorders>
              <w:top w:val="outset" w:sz="6" w:space="0" w:color="auto"/>
              <w:left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Realizes a higher fee by meeting judgmental performance standards.</w:t>
            </w:r>
          </w:p>
        </w:tc>
        <w:tc>
          <w:tcPr>
            <w:tcW w:w="689" w:type="pct"/>
            <w:gridSpan w:val="2"/>
            <w:tcBorders>
              <w:top w:val="outset" w:sz="6" w:space="0" w:color="auto"/>
              <w:left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Realizes a higher rate of return (i.e., fee divided by total cost) as total cost decreases.</w:t>
            </w:r>
          </w:p>
        </w:tc>
        <w:tc>
          <w:tcPr>
            <w:tcW w:w="1001" w:type="pct"/>
            <w:gridSpan w:val="2"/>
            <w:tcBorders>
              <w:top w:val="outset" w:sz="6" w:space="0" w:color="auto"/>
              <w:left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If CS, shares in the cost of providing a deliverable of mutual benefit</w:t>
            </w:r>
          </w:p>
        </w:tc>
        <w:tc>
          <w:tcPr>
            <w:tcW w:w="937" w:type="pct"/>
            <w:tcBorders>
              <w:top w:val="outset" w:sz="6" w:space="0" w:color="auto"/>
              <w:left w:val="outset" w:sz="6" w:space="0" w:color="auto"/>
              <w:bottom w:val="outset" w:sz="6" w:space="0" w:color="auto"/>
            </w:tcBorders>
          </w:tcPr>
          <w:p w:rsidR="000F1508" w:rsidRPr="000F1508" w:rsidRDefault="000F1508" w:rsidP="000F1508">
            <w:pPr>
              <w:spacing w:after="0"/>
              <w:rPr>
                <w:rFonts w:ascii="Verdana" w:hAnsi="Verdana"/>
                <w:color w:val="000000"/>
                <w:sz w:val="20"/>
                <w:szCs w:val="20"/>
              </w:rPr>
            </w:pPr>
            <w:r w:rsidRPr="000F1508">
              <w:rPr>
                <w:rFonts w:ascii="Verdana" w:hAnsi="Verdana"/>
                <w:color w:val="000000"/>
                <w:sz w:val="20"/>
                <w:szCs w:val="20"/>
              </w:rPr>
              <w:t> </w:t>
            </w:r>
          </w:p>
        </w:tc>
      </w:tr>
      <w:tr w:rsidR="000F1508" w:rsidRPr="000F1508" w:rsidTr="000F1508">
        <w:trPr>
          <w:trHeight w:val="1063"/>
          <w:tblCellSpacing w:w="0" w:type="dxa"/>
        </w:trPr>
        <w:tc>
          <w:tcPr>
            <w:tcW w:w="724" w:type="pct"/>
            <w:tcBorders>
              <w:top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b/>
                <w:bCs/>
                <w:sz w:val="20"/>
                <w:szCs w:val="20"/>
              </w:rPr>
              <w:t>Typical Application</w:t>
            </w:r>
          </w:p>
        </w:tc>
        <w:tc>
          <w:tcPr>
            <w:tcW w:w="898" w:type="pct"/>
            <w:tcBorders>
              <w:top w:val="outset" w:sz="6" w:space="0" w:color="auto"/>
              <w:left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Research and development of the prototype for a major system.</w:t>
            </w:r>
          </w:p>
        </w:tc>
        <w:tc>
          <w:tcPr>
            <w:tcW w:w="750" w:type="pct"/>
            <w:tcBorders>
              <w:top w:val="outset" w:sz="6" w:space="0" w:color="auto"/>
              <w:left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Large scale research study.</w:t>
            </w:r>
          </w:p>
        </w:tc>
        <w:tc>
          <w:tcPr>
            <w:tcW w:w="689" w:type="pct"/>
            <w:gridSpan w:val="2"/>
            <w:tcBorders>
              <w:top w:val="outset" w:sz="6" w:space="0" w:color="auto"/>
              <w:left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Research study</w:t>
            </w:r>
          </w:p>
        </w:tc>
        <w:tc>
          <w:tcPr>
            <w:tcW w:w="1001" w:type="pct"/>
            <w:gridSpan w:val="2"/>
            <w:tcBorders>
              <w:top w:val="outset" w:sz="6" w:space="0" w:color="auto"/>
              <w:left w:val="outset" w:sz="6" w:space="0" w:color="auto"/>
              <w:bottom w:val="outset" w:sz="6" w:space="0" w:color="auto"/>
              <w:right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Joint research with educational institutions.</w:t>
            </w:r>
          </w:p>
        </w:tc>
        <w:tc>
          <w:tcPr>
            <w:tcW w:w="937" w:type="pct"/>
            <w:tcBorders>
              <w:top w:val="outset" w:sz="6" w:space="0" w:color="auto"/>
              <w:left w:val="outset" w:sz="6" w:space="0" w:color="auto"/>
              <w:bottom w:val="outset" w:sz="6" w:space="0" w:color="auto"/>
            </w:tcBorders>
          </w:tcPr>
          <w:p w:rsidR="000F1508" w:rsidRPr="000F1508" w:rsidRDefault="000F1508" w:rsidP="000F1508">
            <w:pPr>
              <w:pStyle w:val="NormalWeb"/>
              <w:spacing w:after="0" w:afterAutospacing="0"/>
              <w:rPr>
                <w:sz w:val="20"/>
                <w:szCs w:val="20"/>
              </w:rPr>
            </w:pPr>
            <w:r w:rsidRPr="000F1508">
              <w:rPr>
                <w:sz w:val="20"/>
                <w:szCs w:val="20"/>
              </w:rPr>
              <w:t>Emergency repairs to heating plants and aircraft engines.</w:t>
            </w:r>
          </w:p>
        </w:tc>
      </w:tr>
    </w:tbl>
    <w:p w:rsidR="000F1508" w:rsidRPr="003B648E" w:rsidRDefault="000F1508" w:rsidP="000F1508">
      <w:pPr>
        <w:jc w:val="both"/>
        <w:rPr>
          <w:sz w:val="28"/>
          <w:szCs w:val="28"/>
        </w:rPr>
      </w:pPr>
    </w:p>
    <w:sectPr w:rsidR="000F1508" w:rsidRPr="003B648E" w:rsidSect="00612B37">
      <w:headerReference w:type="default" r:id="rId8"/>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7F2" w:rsidRDefault="00CD67F2" w:rsidP="003B648E">
      <w:pPr>
        <w:spacing w:after="0" w:line="240" w:lineRule="auto"/>
      </w:pPr>
      <w:r>
        <w:separator/>
      </w:r>
    </w:p>
  </w:endnote>
  <w:endnote w:type="continuationSeparator" w:id="0">
    <w:p w:rsidR="00CD67F2" w:rsidRDefault="00CD67F2" w:rsidP="003B6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7F2" w:rsidRDefault="00CD67F2" w:rsidP="003B648E">
      <w:pPr>
        <w:spacing w:after="0" w:line="240" w:lineRule="auto"/>
      </w:pPr>
      <w:r>
        <w:separator/>
      </w:r>
    </w:p>
  </w:footnote>
  <w:footnote w:type="continuationSeparator" w:id="0">
    <w:p w:rsidR="00CD67F2" w:rsidRDefault="00CD67F2" w:rsidP="003B6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48E" w:rsidRPr="00B6495A" w:rsidRDefault="00B6495A" w:rsidP="00B6495A">
    <w:pPr>
      <w:pStyle w:val="Header"/>
      <w:jc w:val="center"/>
      <w:rPr>
        <w:b/>
        <w:sz w:val="36"/>
        <w:szCs w:val="28"/>
      </w:rPr>
    </w:pPr>
    <w:r w:rsidRPr="00B6495A">
      <w:rPr>
        <w:b/>
        <w:sz w:val="36"/>
        <w:szCs w:val="28"/>
      </w:rPr>
      <w:t xml:space="preserve">Simple </w:t>
    </w:r>
    <w:r w:rsidR="003B648E" w:rsidRPr="00B6495A">
      <w:rPr>
        <w:b/>
        <w:sz w:val="36"/>
        <w:szCs w:val="28"/>
      </w:rPr>
      <w:t>Contract Exercises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30F09"/>
    <w:multiLevelType w:val="multilevel"/>
    <w:tmpl w:val="0AD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F3167"/>
    <w:multiLevelType w:val="multilevel"/>
    <w:tmpl w:val="079C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B1FA7"/>
    <w:multiLevelType w:val="multilevel"/>
    <w:tmpl w:val="15AC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F363C"/>
    <w:multiLevelType w:val="hybridMultilevel"/>
    <w:tmpl w:val="D7A69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C0E9C"/>
    <w:multiLevelType w:val="multilevel"/>
    <w:tmpl w:val="323C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16B7F"/>
    <w:multiLevelType w:val="multilevel"/>
    <w:tmpl w:val="8214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E5CDB"/>
    <w:multiLevelType w:val="multilevel"/>
    <w:tmpl w:val="1650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E463D"/>
    <w:multiLevelType w:val="multilevel"/>
    <w:tmpl w:val="C1B4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91969"/>
    <w:multiLevelType w:val="multilevel"/>
    <w:tmpl w:val="26F4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A0D9C"/>
    <w:multiLevelType w:val="multilevel"/>
    <w:tmpl w:val="7204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10ECD"/>
    <w:multiLevelType w:val="hybridMultilevel"/>
    <w:tmpl w:val="1654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C20AA4"/>
    <w:multiLevelType w:val="hybridMultilevel"/>
    <w:tmpl w:val="7E72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64399"/>
    <w:multiLevelType w:val="multilevel"/>
    <w:tmpl w:val="20AA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D55EC"/>
    <w:multiLevelType w:val="multilevel"/>
    <w:tmpl w:val="FCCA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9"/>
  </w:num>
  <w:num w:numId="4">
    <w:abstractNumId w:val="8"/>
  </w:num>
  <w:num w:numId="5">
    <w:abstractNumId w:val="2"/>
  </w:num>
  <w:num w:numId="6">
    <w:abstractNumId w:val="1"/>
  </w:num>
  <w:num w:numId="7">
    <w:abstractNumId w:val="7"/>
  </w:num>
  <w:num w:numId="8">
    <w:abstractNumId w:val="10"/>
  </w:num>
  <w:num w:numId="9">
    <w:abstractNumId w:val="0"/>
  </w:num>
  <w:num w:numId="10">
    <w:abstractNumId w:val="13"/>
  </w:num>
  <w:num w:numId="11">
    <w:abstractNumId w:val="5"/>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795"/>
    <w:rsid w:val="000F1508"/>
    <w:rsid w:val="001817C9"/>
    <w:rsid w:val="003B648E"/>
    <w:rsid w:val="005C78EF"/>
    <w:rsid w:val="005F1159"/>
    <w:rsid w:val="00612B37"/>
    <w:rsid w:val="00632795"/>
    <w:rsid w:val="007B3253"/>
    <w:rsid w:val="0081571A"/>
    <w:rsid w:val="00B6495A"/>
    <w:rsid w:val="00CD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F44D"/>
  <w15:chartTrackingRefBased/>
  <w15:docId w15:val="{2E67EDDB-EA3E-4054-9C6C-8B8C096F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795"/>
    <w:pPr>
      <w:ind w:left="720"/>
      <w:contextualSpacing/>
    </w:pPr>
  </w:style>
  <w:style w:type="paragraph" w:styleId="Header">
    <w:name w:val="header"/>
    <w:basedOn w:val="Normal"/>
    <w:link w:val="HeaderChar"/>
    <w:uiPriority w:val="99"/>
    <w:unhideWhenUsed/>
    <w:rsid w:val="003B6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48E"/>
  </w:style>
  <w:style w:type="paragraph" w:styleId="Footer">
    <w:name w:val="footer"/>
    <w:basedOn w:val="Normal"/>
    <w:link w:val="FooterChar"/>
    <w:uiPriority w:val="99"/>
    <w:unhideWhenUsed/>
    <w:rsid w:val="003B6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48E"/>
  </w:style>
  <w:style w:type="paragraph" w:styleId="NormalWeb">
    <w:name w:val="Normal (Web)"/>
    <w:basedOn w:val="Normal"/>
    <w:uiPriority w:val="99"/>
    <w:rsid w:val="007B3253"/>
    <w:pPr>
      <w:spacing w:before="100" w:beforeAutospacing="1" w:after="100" w:afterAutospacing="1" w:line="240" w:lineRule="auto"/>
    </w:pPr>
    <w:rPr>
      <w:rFonts w:ascii="Verdana" w:eastAsia="Times New Roman" w:hAnsi="Verdana" w:cs="Times New Roman"/>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0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cq.osd.mil/dpap/contractpricing/vol4chap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Saldanha</dc:creator>
  <cp:keywords/>
  <dc:description/>
  <cp:lastModifiedBy>Saldanha</cp:lastModifiedBy>
  <cp:revision>6</cp:revision>
  <dcterms:created xsi:type="dcterms:W3CDTF">2019-02-01T17:15:00Z</dcterms:created>
  <dcterms:modified xsi:type="dcterms:W3CDTF">2019-02-01T17:57:00Z</dcterms:modified>
</cp:coreProperties>
</file>