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6"/>
          <w:szCs w:val="26"/>
        </w:rPr>
        <w:t xml:space="preserve">SENAI CIC</w:t>
      </w:r>
    </w:p>
    <w:p>
      <w:pPr>
        <w:jc w:val="center"/>
      </w:pPr>
      <w:r>
        <w:rPr>
          <w:sz w:val="24"/>
          <w:szCs w:val="24"/>
        </w:rPr>
        <w:t xml:space="preserve">Unidade Curricular: Visualização de Dados – Turma Bosch</w:t>
      </w:r>
    </w:p>
    <w:p/>
    <w:p/>
    <w:p/>
    <w:p/>
    <w:p/>
    <w:p/>
    <w:p>
      <w:pPr>
        <w:jc w:val="center"/>
      </w:pPr>
      <w:r>
        <w:rPr>
          <w:sz w:val="24"/>
          <w:szCs w:val="24"/>
        </w:rPr>
        <w:t xml:space="preserve">Luan Saviski</w:t>
      </w:r>
    </w:p>
    <w:p>
      <w:pPr>
        <w:jc w:val="center"/>
      </w:pPr>
      <w:r>
        <w:rPr>
          <w:sz w:val="24"/>
          <w:szCs w:val="24"/>
        </w:rPr>
        <w:t xml:space="preserve">Miguel Gradella</w:t>
      </w:r>
    </w:p>
    <w:p>
      <w:pPr>
        <w:jc w:val="center"/>
      </w:pPr>
      <w:r>
        <w:rPr>
          <w:sz w:val="24"/>
          <w:szCs w:val="24"/>
        </w:rPr>
        <w:t xml:space="preserve">Gabriel Wendt</w:t>
      </w:r>
    </w:p>
    <w:p/>
    <w:p/>
    <w:p/>
    <w:p/>
    <w:p/>
    <w:p>
      <w:pPr>
        <w:jc w:val="center"/>
      </w:pPr>
      <w:r>
        <w:rPr>
          <w:b/>
          <w:bCs/>
          <w:sz w:val="30"/>
          <w:szCs w:val="30"/>
        </w:rPr>
        <w:t xml:space="preserve">FUTEBOL E ECONOMIA:</w:t>
      </w:r>
    </w:p>
    <w:p>
      <w:pPr>
        <w:jc w:val="center"/>
      </w:pPr>
      <w:r>
        <w:rPr>
          <w:b/>
          <w:bCs/>
          <w:sz w:val="30"/>
          <w:szCs w:val="30"/>
        </w:rPr>
        <w:t xml:space="preserve">o país mais rico ganha a Copa?</w:t>
      </w:r>
    </w:p>
    <w:p/>
    <w:p/>
    <w:p>
      <w:pPr>
        <w:jc w:val="center"/>
      </w:pPr>
      <w:r>
        <w:rPr>
          <w:sz w:val="24"/>
          <w:szCs w:val="24"/>
        </w:rPr>
        <w:t xml:space="preserve">Documentação técnica do projeto final</w:t>
      </w:r>
    </w:p>
    <w:p>
      <w:pPr>
        <w:jc w:val="center"/>
      </w:pPr>
      <w:r>
        <w:rPr>
          <w:sz w:val="24"/>
          <w:szCs w:val="24"/>
        </w:rPr>
        <w:t xml:space="preserve">Professora: Lívia Stein Freitas</w:t>
      </w:r>
    </w:p>
    <w:p/>
    <w:p/>
    <w:p/>
    <w:p/>
    <w:p/>
    <w:p/>
    <w:p/>
    <w:p/>
    <w:p/>
    <w:p>
      <w:pPr>
        <w:jc w:val="center"/>
      </w:pPr>
      <w:r>
        <w:rPr>
          <w:sz w:val="24"/>
          <w:szCs w:val="24"/>
        </w:rPr>
        <w:t xml:space="preserve">Curitiba</w:t>
      </w:r>
    </w:p>
    <w:p>
      <w:pPr>
        <w:jc w:val="center"/>
      </w:pPr>
      <w:r>
        <w:rPr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</w:pPr>
      <w:r>
        <w:t xml:space="preserve">1. Introdução</w:t>
      </w:r>
    </w:p>
    <w:p>
      <w:pPr>
        <w:spacing w:after="160" w:line="300" w:lineRule="auto"/>
        <w:jc w:val="both"/>
      </w:pPr>
      <w:r>
        <w:t xml:space="preserve">Muita gente diz que o futebol é o esporte mais democrático do mundo, porque qualquer país pode montar uma seleção e vencer uma potência. Por outro lado, países mais ricos conseguem investir mais em estrutura, categorias de base e preparação dos atletas. Por isso, escolhemos o tema futebol e economia e quisemos descobrir se a riqueza de um país influencia o resultado das suas seleções em Copas do Mundo.</w:t>
      </w:r>
    </w:p>
    <w:p>
      <w:pPr>
        <w:spacing w:after="160" w:line="300" w:lineRule="auto"/>
        <w:jc w:val="both"/>
      </w:pPr>
      <w:r>
        <w:t xml:space="preserve">Para isso, juntamos todos os jogos das Copas de 1990 a 2018 com a renda per capita e o IDH (Índice de Desenvolvimento Humano) de cada país no ano da Copa. As perguntas que guiaram o trabalho foram:</w:t>
      </w:r>
    </w:p>
    <w:p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 xml:space="preserve">Em jogos de Copa (1990–2018), a seleção do país com maior renda per capita vence com mais frequência?</w:t>
      </w:r>
    </w:p>
    <w:p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 xml:space="preserve">A diferença de renda entre os dois times é maior quando o mais rico vence do que quando empata ou perde?</w:t>
      </w:r>
    </w:p>
    <w:p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 xml:space="preserve">A vantagem do país mais rico mudou de 1990 a 2018?</w:t>
      </w:r>
    </w:p>
    <w:p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 xml:space="preserve">Onde estão os países que mais venceram jogos de Copa desde 1990?</w:t>
      </w:r>
    </w:p>
    <w:p>
      <w:pPr>
        <w:pStyle w:val="ListParagraph"/>
        <w:numPr>
          <w:ilvl w:val="0"/>
          <w:numId w:val="2"/>
        </w:numPr>
        <w:spacing w:after="80" w:line="300" w:lineRule="auto"/>
        <w:jc w:val="both"/>
      </w:pPr>
      <w:r>
        <w:t xml:space="preserve">Seleções de países com IDH maior marcam mais gols por jogo?</w:t>
      </w:r>
    </w:p>
    <w:p>
      <w:pPr>
        <w:pStyle w:val="Heading1"/>
      </w:pPr>
      <w:r>
        <w:t xml:space="preserve">2. Dados</w:t>
      </w:r>
    </w:p>
    <w:p>
      <w:pPr>
        <w:spacing w:after="160" w:line="300" w:lineRule="auto"/>
        <w:jc w:val="both"/>
      </w:pPr>
      <w:r>
        <w:t xml:space="preserve">Usamos dois conjuntos de dados da Maven Analytics, que estão disponíveis de graça no site deles. A tabela abaixo resume o que usamos de cada um.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900"/>
        <w:gridCol w:w="1150"/>
        <w:gridCol w:w="3388"/>
      </w:tblGrid>
      <w:tr>
        <w:trPr>
          <w:tblHeader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Arquivo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Linhas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Período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Colunas usadas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World Cup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world_cup_matches.csv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900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1930–2018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Year, Stage, Home Team, Home Goals, Away Goals, Away Team, Win Conditions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World Cup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world_cups.csv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1930–2022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Year, Host Country, Winner</w:t>
            </w:r>
          </w:p>
        </w:tc>
      </w:tr>
      <w:tr>
        <w:trPr>
          <w:cantSplit/>
        </w:trPr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World Economic Indicators (dados do PNUD)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HDI.csv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206</w:t>
            </w:r>
          </w:p>
        </w:tc>
        <w:tc>
          <w:tcPr>
            <w:tcW w:type="dxa" w:w="11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1990–2021</w:t>
            </w:r>
          </w:p>
        </w:tc>
        <w:tc>
          <w:tcPr>
            <w:tcW w:type="dxa" w:w="338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iso3, country, region, gnipc_ano, hdi_ano</w:t>
            </w:r>
          </w:p>
        </w:tc>
      </w:tr>
    </w:tbl>
    <w:p>
      <w:pPr>
        <w:spacing w:after="160" w:line="300" w:lineRule="auto"/>
        <w:jc w:val="both"/>
      </w:pPr>
    </w:p>
    <w:p>
      <w:pPr>
        <w:spacing w:after="160" w:line="300" w:lineRule="auto"/>
        <w:jc w:val="both"/>
      </w:pPr>
      <w:r>
        <w:t xml:space="preserve">A coluna gnipc é a renda nacional bruta por pessoa, em dólares ajustados pelo custo de vida de cada país (paridade de poder de compra). A coluna hdi é o IDH, que vai de 0 a 1.</w:t>
      </w:r>
    </w:p>
    <w:p>
      <w:pPr>
        <w:spacing w:after="160" w:line="300" w:lineRule="auto"/>
        <w:jc w:val="both"/>
      </w:pPr>
      <w:r>
        <w:t xml:space="preserve">Como os dados econômicos só começam em 1990 e o arquivo da Copa de 2022 não tem o placar dos jogos, ficamos com </w:t>
      </w:r>
      <w:r>
        <w:rPr>
          <w:b/>
          <w:bCs/>
        </w:rPr>
        <w:t xml:space="preserve">8 Copas (1990 a 2018) e 488 jogos</w:t>
      </w:r>
      <w:r>
        <w:t xml:space="preserve">.</w:t>
      </w:r>
    </w:p>
    <w:p>
      <w:pPr>
        <w:pStyle w:val="Heading1"/>
      </w:pPr>
      <w:r>
        <w:t xml:space="preserve">3. Preparação dos dados</w:t>
      </w:r>
    </w:p>
    <w:p>
      <w:pPr>
        <w:spacing w:after="160" w:line="300" w:lineRule="auto"/>
        <w:jc w:val="both"/>
      </w:pPr>
      <w:r>
        <w:t xml:space="preserve">A limpeza foi feita no notebook 01_limpeza.ipynb, com pandas. Os principais passos foram:</w:t>
      </w:r>
    </w:p>
    <w:p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rPr>
          <w:b/>
          <w:bCs/>
        </w:rPr>
        <w:t xml:space="preserve">Leitura dos arquivos:</w:t>
      </w:r>
      <w:r>
        <w:t xml:space="preserve"> um dos arquivos dava erro de acentuação em UTF-8, então lemos ele com encoding latin-1.</w:t>
      </w:r>
    </w:p>
    <w:p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rPr>
          <w:b/>
          <w:bCs/>
        </w:rPr>
        <w:t xml:space="preserve">Formato da tabela de renda:</w:t>
      </w:r>
      <w:r>
        <w:t xml:space="preserve"> o HDI.csv tinha uma coluna para cada ano (gnipc_1990, gnipc_1991...). Usamos o pd.melt() para transformar essas colunas em linhas, ficando com uma linha por país e por ano (195 países × 32 anos = 6.240 linhas).</w:t>
      </w:r>
    </w:p>
    <w:p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rPr>
          <w:b/>
          <w:bCs/>
        </w:rPr>
        <w:t xml:space="preserve">Linhas que não eram países:</w:t>
      </w:r>
      <w:r>
        <w:t xml:space="preserve"> removemos 11 linhas de regiões e grupos (como "Very high human development"), porque não são países.</w:t>
      </w:r>
    </w:p>
    <w:p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rPr>
          <w:b/>
          <w:bCs/>
        </w:rPr>
        <w:t xml:space="preserve">Valores faltando:</w:t>
      </w:r>
      <w:r>
        <w:t xml:space="preserve"> nenhum jogo do período estava sem placar ou repetido (os 488 jogos batem com o total oficial das Copas). Na tabela de renda havia 132 valores vazios, que deixamos vazios em vez de preencher com a média, porque isso seria inventar dados.</w:t>
      </w:r>
    </w:p>
    <w:p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rPr>
          <w:b/>
          <w:bCs/>
        </w:rPr>
        <w:t xml:space="preserve">Pênaltis:</w:t>
      </w:r>
      <w:r>
        <w:t xml:space="preserve"> os 26 jogos decididos nos pênaltis foram contados como empate, porque o placar do jogo mostra melhor a força dos times do que a disputa de pênaltis.</w:t>
      </w:r>
    </w:p>
    <w:p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rPr>
          <w:b/>
          <w:bCs/>
        </w:rPr>
        <w:t xml:space="preserve">Nomes dos países:</w:t>
      </w:r>
      <w:r>
        <w:t xml:space="preserve"> os nomes das seleções não eram iguais aos do HDI. Criamos uma tabela que liga cada seleção ao código do país (por exemplo, Inglaterra e Escócia viraram Reino Unido, porque o PNUD só tem dados do Reino Unido).</w:t>
      </w:r>
    </w:p>
    <w:p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rPr>
          <w:b/>
          <w:bCs/>
        </w:rPr>
        <w:t xml:space="preserve">Junção:</w:t>
      </w:r>
      <w:r>
        <w:t xml:space="preserve"> juntamos a renda e o IDH de cada time no ano da Copa com merge(). Conferimos que o número de jogos continuou 488 depois da junção.</w:t>
      </w:r>
    </w:p>
    <w:p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rPr>
          <w:b/>
          <w:bCs/>
        </w:rPr>
        <w:t xml:space="preserve">Jogos sem renda:</w:t>
      </w:r>
      <w:r>
        <w:t xml:space="preserve"> 8 jogos (1,6%) ficaram sem renda: 5 da Iugoslávia em 1990 e 3 da Coreia do Norte em 2010. Eles ficaram fora das perguntas 1 a 3.</w:t>
      </w:r>
    </w:p>
    <w:p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rPr>
          <w:b/>
          <w:bCs/>
        </w:rPr>
        <w:t xml:space="preserve">Novas colunas:</w:t>
      </w:r>
      <w:r>
        <w:t xml:space="preserve"> criamos uma coluna dizendo se o time mais rico venceu, empatou ou perdeu, e outra com a diferença de renda entre os dois times.</w:t>
      </w:r>
    </w:p>
    <w:p>
      <w:pPr>
        <w:pStyle w:val="Heading1"/>
      </w:pPr>
      <w:r>
        <w:t xml:space="preserve">4. Análise e visualizações</w:t>
      </w:r>
    </w:p>
    <w:p>
      <w:pPr>
        <w:spacing w:after="160" w:line="300" w:lineRule="auto"/>
        <w:jc w:val="both"/>
      </w:pPr>
      <w:r>
        <w:t xml:space="preserve">Os gráficos foram feitos no notebook 02_visualizacoes.ipynb, com matplotlib, seaborn e cartopy. Em todos usamos o azul para destacar o que é mais importante e o cinza para o resto, e o título de cada gráfico já diz a conclusão.</w:t>
      </w:r>
    </w:p>
    <w:p>
      <w:pPr>
        <w:pStyle w:val="Heading2"/>
      </w:pPr>
      <w:r>
        <w:t xml:space="preserve">Pergunta 1 – O país mais rico vence com mais frequência?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4095750" cy="2600325"/>
            <wp:effectExtent t="0" r="0" b="0" l="0"/>
            <wp:docPr id="1" name="01_resultado_mais_rico.png" descr="Resultado do país mais rico nos jogos de Copa" title="Resultado do país mais rico nos jogos de Co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Figura 1 – Resultado do país mais rico nos jogos de Copa</w:t>
      </w:r>
    </w:p>
    <w:p>
      <w:pPr>
        <w:spacing w:after="160" w:line="300" w:lineRule="auto"/>
        <w:jc w:val="both"/>
      </w:pPr>
      <w:r>
        <w:t xml:space="preserve">Escolhemos um gráfico de barras porque são só três categorias (vitória, empate e derrota) e fica fácil comparar. Nos 480 jogos com renda dos dois países, o mais rico venceu 44% e perdeu 33%. Para ver se isso podia ser sorte, comparamos as 209 vitórias com as 157 derrotas em um teste binomial, e a chance de ser acaso deu menor que 1%.</w:t>
      </w:r>
    </w:p>
    <w:p>
      <w:pPr>
        <w:pStyle w:val="Heading2"/>
      </w:pPr>
      <w:r>
        <w:t xml:space="preserve">Pergunta 2 – A diferença de renda é maior quando o rico vence?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4095750" cy="2743200"/>
            <wp:effectExtent t="0" r="0" b="0" l="0"/>
            <wp:docPr id="1" name="02_diferenca_renda_por_resultado.png" descr="Diferença de renda entre os times, por resultado" title="Diferença de renda entre os times, por resulta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Figura 2 – Diferença de renda entre os times, por resultado</w:t>
      </w:r>
    </w:p>
    <w:p>
      <w:pPr>
        <w:spacing w:after="160" w:line="300" w:lineRule="auto"/>
        <w:jc w:val="both"/>
      </w:pPr>
      <w:r>
        <w:t xml:space="preserve">Usamos um boxplot (seaborn) porque ele mostra a distribuição de cada grupo e não só a média. A diferença de renda no meio dos dados (mediana) foi de US$ 22 mil nas vitórias do mais rico e de US$ 15 mil nas derrotas. Ou seja, quando a diferença é maior, o rico vence um pouco mais, mas as caixas ficam bem parecidas.</w:t>
      </w:r>
    </w:p>
    <w:p>
      <w:pPr>
        <w:pStyle w:val="Heading2"/>
      </w:pPr>
      <w:r>
        <w:t xml:space="preserve">Pergunta 3 – A vantagem mudou com o tempo?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4095750" cy="2486025"/>
            <wp:effectExtent t="0" r="0" b="0" l="0"/>
            <wp:docPr id="1" name="03_vantagem_mais_rico_por_copa.png" descr="Porcentagem de vitórias do país mais rico em cada Copa" title="Porcentagem de vitórias do país mais rico em cada Co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Figura 3 – Porcentagem de vitórias do país mais rico em cada Copa</w:t>
      </w:r>
    </w:p>
    <w:p>
      <w:pPr>
        <w:spacing w:after="160" w:line="300" w:lineRule="auto"/>
        <w:jc w:val="both"/>
      </w:pPr>
      <w:r>
        <w:t xml:space="preserve">Como a pergunta é sobre o tempo, usamos um gráfico de linha. A vantagem do mais rico subiu de 34% em 1990 para 53% em 2006 e depois caiu para 44% em 2018, que é a média do período. Como cada Copa tem só uns 60 jogos, essas mudanças podem ser acaso, então não dá para dizer que existe uma tendência.</w:t>
      </w:r>
    </w:p>
    <w:p>
      <w:pPr>
        <w:pStyle w:val="Heading2"/>
      </w:pPr>
      <w:r>
        <w:t xml:space="preserve">Pergunta 4 – Onde estão os países que mais venceram?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4095750" cy="2962275"/>
            <wp:effectExtent t="0" r="0" b="0" l="0"/>
            <wp:docPr id="1" name="04_mapa_vitorias.png" descr="Vitórias em Copas por país (1990–2018)" title="Vitórias em Copas por país (1990–2018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Figura 4 – Vitórias em Copas por país (1990–2018)</w:t>
      </w:r>
    </w:p>
    <w:p>
      <w:pPr>
        <w:spacing w:after="160" w:line="300" w:lineRule="auto"/>
        <w:jc w:val="both"/>
      </w:pPr>
      <w:r>
        <w:t xml:space="preserve">Para uma pergunta sobre lugares, o mapa (cartopy) é o gráfico mais natural. Quanto mais escuro o país, mais vitórias ele tem. A Europa e a América do Sul somam 83% das vitórias, enquanto a África, a Ásia e a Oceania aparecem bem claras.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4095750" cy="2924175"/>
            <wp:effectExtent t="0" r="0" b="0" l="0"/>
            <wp:docPr id="1" name="05_top10_vitorias.png" descr="Os 10 países com mais vitórias" title="Os 10 países com mais vitóri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Figura 5 – Os 10 países com mais vitórias</w:t>
      </w:r>
    </w:p>
    <w:p>
      <w:pPr>
        <w:spacing w:after="160" w:line="300" w:lineRule="auto"/>
        <w:jc w:val="both"/>
      </w:pPr>
      <w:r>
        <w:t xml:space="preserve">No ranking, os países em azul têm renda acima da mediana. 7 dos 10 que mais venceram são ricos, mas o Brasil (2º) e a Argentina (3º) não são, o que mostra que a tradição no futebol também pesa muito.</w:t>
      </w:r>
    </w:p>
    <w:p>
      <w:pPr>
        <w:pStyle w:val="Heading2"/>
      </w:pPr>
      <w:r>
        <w:t xml:space="preserve">Pergunta 5 – Países com IDH maior marcam mais gols?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4095750" cy="3057525"/>
            <wp:effectExtent t="0" r="0" b="0" l="0"/>
            <wp:docPr id="1" name="06_idh_x_gols.png" descr="IDH do país e gols por jogo de cada seleção" title="IDH do país e gols por jogo de cada seleçã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Figura 6 – IDH do país e gols por jogo de cada seleção</w:t>
      </w:r>
    </w:p>
    <w:p>
      <w:pPr>
        <w:spacing w:after="160" w:line="300" w:lineRule="auto"/>
        <w:jc w:val="both"/>
      </w:pPr>
      <w:r>
        <w:t xml:space="preserve">Como são duas variáveis numéricas, usamos um gráfico de dispersão com linha de tendência (seaborn). A correlação foi de 0,17, que é fraca: os pontos ficam muito espalhados.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4095750" cy="2695575"/>
            <wp:effectExtent t="0" r="0" b="0" l="0"/>
            <wp:docPr id="1" name="07_aproveitamento_por_faixa_idh.png" descr="Porcentagem de vitórias por faixa de IDH" title="Porcentagem de vitórias por faixa de ID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69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Figura 7 – Porcentagem de vitórias por faixa de IDH</w:t>
      </w:r>
    </w:p>
    <w:p>
      <w:pPr>
        <w:spacing w:after="160" w:line="300" w:lineRule="auto"/>
        <w:jc w:val="both"/>
      </w:pPr>
      <w:r>
        <w:t xml:space="preserve">Também separamos as seleções em quatro grupos de IDH. As do grupo com IDH mais alto venceram 43% dos jogos, e as do grupo mais baixo, 33%.</w:t>
      </w:r>
    </w:p>
    <w:p>
      <w:pPr>
        <w:pStyle w:val="Heading2"/>
      </w:pPr>
      <w:r>
        <w:t xml:space="preserve">Outros gráficos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4095750" cy="2762250"/>
            <wp:effectExtent t="0" r="0" b="0" l="0"/>
            <wp:docPr id="1" name="08_distribuicao_renda.png" descr="Distribuição da renda dos países participantes" title="Distribuição da renda dos países participant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Figura 8 – Distribuição da renda dos países participantes</w:t>
      </w:r>
    </w:p>
    <w:p>
      <w:pPr>
        <w:spacing w:after="160" w:line="300" w:lineRule="auto"/>
        <w:jc w:val="both"/>
      </w:pPr>
      <w:r>
        <w:t xml:space="preserve">O histograma (seaborn) mostra que a renda dos países da Copa tem dois grupos: um abaixo de US$ 20 mil (principalmente América Latina e África) e outro perto de US$ 40 mil (principalmente Europa).</w:t>
      </w:r>
    </w:p>
    <w:p>
      <w:pPr>
        <w:keepNext/>
        <w:spacing w:after="40" w:before="120" w:line="240" w:lineRule="auto"/>
        <w:jc w:val="center"/>
      </w:pPr>
      <w:r>
        <w:drawing>
          <wp:inline distT="0" distB="0" distL="0" distR="0">
            <wp:extent cx="4095750" cy="3190875"/>
            <wp:effectExtent t="0" r="0" b="0" l="0"/>
            <wp:docPr id="1" name="09_correlacao_indicadores.png" descr="Correlação entre os indicadores" title="Correlação entre os indicador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sz w:val="18"/>
          <w:szCs w:val="18"/>
        </w:rPr>
        <w:t xml:space="preserve">Figura 9 – Correlação entre os indicadores</w:t>
      </w:r>
    </w:p>
    <w:p>
      <w:pPr>
        <w:spacing w:after="160" w:line="300" w:lineRule="auto"/>
        <w:jc w:val="both"/>
      </w:pPr>
      <w:r>
        <w:t xml:space="preserve">No mapa de calor (seaborn), a renda e o IDH andam juntos (0,82), mas os dois têm pouca relação com o aproveitamento (0,13 e 0,18). O que mais se relaciona com o aproveitamento são os gols marcados (0,68) e sofridos (−0,56).</w:t>
      </w:r>
    </w:p>
    <w:p>
      <w:pPr>
        <w:pStyle w:val="Heading1"/>
      </w:pPr>
      <w:r>
        <w:t xml:space="preserve">5. Conclusões</w:t>
      </w:r>
    </w:p>
    <w:p>
      <w:pPr>
        <w:spacing w:after="160" w:line="300" w:lineRule="auto"/>
        <w:jc w:val="both"/>
      </w:pPr>
      <w:r>
        <w:t xml:space="preserve">A nossa conclusão é que </w:t>
      </w:r>
      <w:r>
        <w:rPr>
          <w:b/>
          <w:bCs/>
        </w:rPr>
        <w:t xml:space="preserve">o dinheiro ajuda, mas não decide</w:t>
      </w:r>
      <w:r>
        <w:t xml:space="preserve">. O país mais rico vence mais do que perde, mas em mais da metade dos jogos ele empata ou perde. Resumindo cada pergunta:</w:t>
      </w:r>
    </w:p>
    <w:p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rPr>
          <w:b/>
          <w:bCs/>
        </w:rPr>
        <w:t xml:space="preserve">Pergunta 1:</w:t>
      </w:r>
      <w:r>
        <w:t xml:space="preserve"> sim, o mais rico vence mais (44% de vitórias e 33% de derrotas).</w:t>
      </w:r>
    </w:p>
    <w:p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rPr>
          <w:b/>
          <w:bCs/>
        </w:rPr>
        <w:t xml:space="preserve">Pergunta 2:</w:t>
      </w:r>
      <w:r>
        <w:t xml:space="preserve"> a diferença de renda pesa um pouco (US$ 22 mil nas vitórias e US$ 15 mil nas derrotas).</w:t>
      </w:r>
    </w:p>
    <w:p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rPr>
          <w:b/>
          <w:bCs/>
        </w:rPr>
        <w:t xml:space="preserve">Pergunta 3:</w:t>
      </w:r>
      <w:r>
        <w:t xml:space="preserve"> a vantagem subiu e desceu ao longo dos anos, sem uma tendência clara.</w:t>
      </w:r>
    </w:p>
    <w:p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rPr>
          <w:b/>
          <w:bCs/>
        </w:rPr>
        <w:t xml:space="preserve">Pergunta 4:</w:t>
      </w:r>
      <w:r>
        <w:t xml:space="preserve"> as vitórias estão na Europa e na América do Sul (83%), e Brasil e Argentina vencem muito mesmo sem ser países ricos.</w:t>
      </w:r>
    </w:p>
    <w:p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rPr>
          <w:b/>
          <w:bCs/>
        </w:rPr>
        <w:t xml:space="preserve">Pergunta 5:</w:t>
      </w:r>
      <w:r>
        <w:t xml:space="preserve"> a relação entre IDH e gols é fraca, mas seleções de IDH mais alto vencem um pouco mais.</w:t>
      </w:r>
    </w:p>
    <w:p>
      <w:pPr>
        <w:pStyle w:val="Heading2"/>
      </w:pPr>
      <w:r>
        <w:t xml:space="preserve">Limitações</w:t>
      </w:r>
    </w:p>
    <w:p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 xml:space="preserve">Os dados econômicos só existem a partir de 1990, e a Copa de 2022 não tem placar no dataset.</w:t>
      </w:r>
    </w:p>
    <w:p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 xml:space="preserve">A renda do país não mostra quanto ele investe no futebol.</w:t>
      </w:r>
    </w:p>
    <w:p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 xml:space="preserve">Inglaterra e Escócia ficaram com o mesmo dado do Reino Unido.</w:t>
      </w:r>
    </w:p>
    <w:p>
      <w:pPr>
        <w:pStyle w:val="ListParagraph"/>
        <w:numPr>
          <w:ilvl w:val="0"/>
          <w:numId w:val="3"/>
        </w:numPr>
        <w:spacing w:after="80" w:line="300" w:lineRule="auto"/>
        <w:jc w:val="both"/>
      </w:pPr>
      <w:r>
        <w:t xml:space="preserve">Correlação não quer dizer causa: os dados mostram que os ricos vencem um pouco mais, mas não explicam o porquê.</w:t>
      </w:r>
    </w:p>
    <w:p>
      <w:pPr>
        <w:pStyle w:val="Heading2"/>
      </w:pPr>
      <w:r>
        <w:t xml:space="preserve">Próximos passos</w:t>
      </w:r>
    </w:p>
    <w:p>
      <w:pPr>
        <w:spacing w:after="160" w:line="300" w:lineRule="auto"/>
        <w:jc w:val="both"/>
      </w:pPr>
      <w:r>
        <w:t xml:space="preserve">Se fôssemos continuar, usaríamos o valor de mercado dos jogadores e o ranking da FIFA, e também os mais de 17 mil jogos internacionais do dataset, para ter mais dados.</w:t>
      </w:r>
    </w:p>
    <w:p>
      <w:pPr>
        <w:pStyle w:val="Heading1"/>
      </w:pPr>
      <w:r>
        <w:t xml:space="preserve">6. Referências</w:t>
      </w:r>
    </w:p>
    <w:p>
      <w:pPr>
        <w:spacing w:after="120"/>
      </w:pPr>
      <w:r>
        <w:t xml:space="preserve">MAVEN ANALYTICS. World Cup. Disponível em: https://mavenanalytics.io/data-playground/world-cup.</w:t>
      </w:r>
    </w:p>
    <w:p>
      <w:pPr>
        <w:spacing w:after="120"/>
      </w:pPr>
      <w:r>
        <w:t xml:space="preserve">MAVEN ANALYTICS. World Economic Indicators. Disponível em: https://mavenanalytics.io/data-playground.</w:t>
      </w:r>
    </w:p>
    <w:p>
      <w:pPr>
        <w:spacing w:after="120"/>
      </w:pPr>
      <w:r>
        <w:t xml:space="preserve">PNUD. Human Development Reports – Data Center. Disponível em: https://hdr.undp.org/data-center.</w:t>
      </w:r>
    </w:p>
    <w:p>
      <w:pPr>
        <w:spacing w:after="120"/>
      </w:pPr>
      <w:r>
        <w:t xml:space="preserve">NATURAL EARTH. Admin 0 – Countries. Disponível em: https://www.naturalearthdata.com.</w:t>
      </w:r>
    </w:p>
    <w:p>
      <w:pPr>
        <w:spacing w:after="120"/>
      </w:pPr>
      <w:r>
        <w:t xml:space="preserve">PANDAS. Documentação. Disponível em: https://pandas.pydata.org/docs/.</w:t>
      </w:r>
    </w:p>
    <w:p>
      <w:pPr>
        <w:spacing w:after="120"/>
      </w:pPr>
      <w:r>
        <w:t xml:space="preserve">MATPLOTLIB. Documentação. Disponível em: https://matplotlib.org/stable/.</w:t>
      </w:r>
    </w:p>
    <w:p>
      <w:pPr>
        <w:spacing w:after="120"/>
      </w:pPr>
      <w:r>
        <w:t xml:space="preserve">SEABORN. Documentação. Disponível em: https://seaborn.pydata.org/.</w:t>
      </w:r>
    </w:p>
    <w:p>
      <w:pPr>
        <w:spacing w:after="120"/>
      </w:pPr>
      <w:r>
        <w:t xml:space="preserve">CARTOPY. Documentação. Disponível em: https://scitools.org.uk/cartopy/docs/latest/.</w:t>
      </w:r>
    </w:p>
    <w:sectPr>
      <w:footerReference w:type="default" r:id="rId7"/>
      <w:footerReference w:type="first" r:id="rId8"/>
      <w:pgSz w:w="11906" w:h="16838" w:orient="portrait"/>
      <w:pgMar w:top="1701" w:right="1134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2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60" w:before="360"/>
      <w:outlineLvl w:val="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120" w:before="240"/>
      <w:outlineLvl w:val="1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image" Target="media/fec489ce3bc186af10fd2b703520e5d068c6d780.png"/><Relationship Id="rId10" Type="http://schemas.openxmlformats.org/officeDocument/2006/relationships/image" Target="media/ffa21f4ad4acbb22d44d3b9efafb4923b068e1fe.png"/><Relationship Id="rId11" Type="http://schemas.openxmlformats.org/officeDocument/2006/relationships/image" Target="media/3ab681bc9f2d52167cbd93bc67bcaef7e71e199b.png"/><Relationship Id="rId12" Type="http://schemas.openxmlformats.org/officeDocument/2006/relationships/image" Target="media/708c34dd3b83fc7445ead9aa924963aa632d3977.png"/><Relationship Id="rId13" Type="http://schemas.openxmlformats.org/officeDocument/2006/relationships/image" Target="media/a789a68818446735d9a70d7260e939a72b6f090d.png"/><Relationship Id="rId14" Type="http://schemas.openxmlformats.org/officeDocument/2006/relationships/image" Target="media/dddf21f1c4787dc1ca04d69260659e4897333f02.png"/><Relationship Id="rId15" Type="http://schemas.openxmlformats.org/officeDocument/2006/relationships/image" Target="media/cf55acd51fd86e39cb342c3cded882391c0df63d.png"/><Relationship Id="rId16" Type="http://schemas.openxmlformats.org/officeDocument/2006/relationships/image" Target="media/a1836ae1575e8f39e8909a02aa3772a096fc95ed.png"/><Relationship Id="rId17" Type="http://schemas.openxmlformats.org/officeDocument/2006/relationships/image" Target="media/a9e8cbd7ee3962fe1842a32d0ccb3e9e5b4ff72d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Futebol e economia – Documentação técnica</dc:title>
  <dc:creator>Luan Saviski, Miguel Gradella, Gabriel Wendt</dc:creator>
  <cp:lastModifiedBy>Un-named</cp:lastModifiedBy>
  <cp:revision>1</cp:revision>
  <dcterms:created xsi:type="dcterms:W3CDTF">2026-10-08T13:35:07.341Z</dcterms:created>
  <dcterms:modified xsi:type="dcterms:W3CDTF">2026-10-08T13:35:07.346Z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